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11F3" w14:textId="77777777" w:rsidR="00EF6EE1" w:rsidRPr="00BE6215" w:rsidRDefault="00EF6EE1"/>
    <w:p w14:paraId="4623388F" w14:textId="0492AF55" w:rsidR="00EF6EE1" w:rsidRPr="00BE6215" w:rsidRDefault="00BE6215" w:rsidP="00BE6215">
      <w:pPr>
        <w:jc w:val="center"/>
        <w:rPr>
          <w:i/>
          <w:iCs/>
          <w:sz w:val="36"/>
          <w:szCs w:val="36"/>
        </w:rPr>
      </w:pPr>
      <w:r w:rsidRPr="00BE6215">
        <w:rPr>
          <w:i/>
          <w:iCs/>
          <w:sz w:val="36"/>
          <w:szCs w:val="36"/>
        </w:rPr>
        <w:t>Supplementary Information to:</w:t>
      </w:r>
    </w:p>
    <w:p w14:paraId="2BD55D10" w14:textId="77777777" w:rsidR="00BE6215" w:rsidRPr="00BE6215" w:rsidRDefault="00BE6215"/>
    <w:p w14:paraId="170CCE71" w14:textId="77777777" w:rsidR="00BE6215" w:rsidRPr="00BE6215" w:rsidRDefault="00BE6215" w:rsidP="00BE6215">
      <w:pPr>
        <w:spacing w:line="360" w:lineRule="auto"/>
        <w:jc w:val="center"/>
        <w:rPr>
          <w:rFonts w:cs="Calibri"/>
          <w:b/>
          <w:bCs/>
          <w:sz w:val="32"/>
          <w:szCs w:val="32"/>
        </w:rPr>
      </w:pPr>
      <w:bookmarkStart w:id="0" w:name="_Hlk195112201"/>
      <w:bookmarkEnd w:id="0"/>
      <w:r w:rsidRPr="00BE6215">
        <w:rPr>
          <w:rFonts w:cs="Calibri"/>
          <w:b/>
          <w:bCs/>
          <w:sz w:val="32"/>
          <w:szCs w:val="32"/>
        </w:rPr>
        <w:t xml:space="preserve">Corrosion inhibition mechanisms of </w:t>
      </w:r>
      <w:r w:rsidRPr="00BE6215">
        <w:rPr>
          <w:rFonts w:cs="Calibri"/>
          <w:b/>
          <w:bCs/>
          <w:sz w:val="32"/>
          <w:szCs w:val="32"/>
        </w:rPr>
        <w:br/>
        <w:t xml:space="preserve">2-mercaptobenzothiazole on AA2024 T3 aluminium alloy </w:t>
      </w:r>
    </w:p>
    <w:p w14:paraId="36A6CDA0" w14:textId="77777777" w:rsidR="00BE6215" w:rsidRPr="00BE6215" w:rsidRDefault="00BE6215" w:rsidP="00BE6215">
      <w:pPr>
        <w:spacing w:line="360" w:lineRule="auto"/>
        <w:jc w:val="center"/>
        <w:rPr>
          <w:rFonts w:cs="Calibri"/>
          <w:b/>
          <w:bCs/>
          <w:sz w:val="32"/>
          <w:szCs w:val="32"/>
        </w:rPr>
      </w:pPr>
    </w:p>
    <w:p w14:paraId="2990E884" w14:textId="77777777" w:rsidR="00BE6215" w:rsidRPr="00BE6215" w:rsidRDefault="00BE6215" w:rsidP="00BE6215">
      <w:pPr>
        <w:spacing w:line="360" w:lineRule="auto"/>
        <w:jc w:val="center"/>
        <w:rPr>
          <w:rFonts w:cs="Calibri"/>
        </w:rPr>
      </w:pPr>
      <w:r w:rsidRPr="00BE6215">
        <w:rPr>
          <w:rFonts w:cs="Calibri"/>
        </w:rPr>
        <w:t>Vishant Garg</w:t>
      </w:r>
      <w:r w:rsidRPr="00BE6215">
        <w:rPr>
          <w:rFonts w:ascii="Calibri" w:hAnsi="Calibri" w:cs="Calibri"/>
          <w:vertAlign w:val="superscript"/>
        </w:rPr>
        <w:t>†</w:t>
      </w:r>
      <w:r w:rsidRPr="00BE6215">
        <w:rPr>
          <w:rFonts w:cs="Calibri"/>
          <w:vertAlign w:val="superscript"/>
        </w:rPr>
        <w:t xml:space="preserve">, </w:t>
      </w:r>
      <w:r w:rsidRPr="00BE6215">
        <w:rPr>
          <w:rFonts w:cs="Calibri"/>
        </w:rPr>
        <w:t xml:space="preserve">*, Maxime Magnan, Sandrine Zanna, Antoine </w:t>
      </w:r>
      <w:proofErr w:type="spellStart"/>
      <w:r w:rsidRPr="00BE6215">
        <w:rPr>
          <w:rFonts w:cs="Calibri"/>
        </w:rPr>
        <w:t>Seyeux</w:t>
      </w:r>
      <w:proofErr w:type="spellEnd"/>
      <w:r w:rsidRPr="00BE6215">
        <w:rPr>
          <w:rFonts w:cs="Calibri"/>
        </w:rPr>
        <w:t xml:space="preserve">, </w:t>
      </w:r>
      <w:r w:rsidRPr="00BE6215">
        <w:rPr>
          <w:rFonts w:cs="Calibri"/>
        </w:rPr>
        <w:br/>
        <w:t>Frédéric Wiame, Vincent Maurice, Philippe Marcus*</w:t>
      </w:r>
    </w:p>
    <w:p w14:paraId="3734CCB9" w14:textId="77777777" w:rsidR="00BE6215" w:rsidRPr="00BE6215" w:rsidRDefault="00BE6215" w:rsidP="00BE6215">
      <w:pPr>
        <w:spacing w:line="360" w:lineRule="auto"/>
        <w:jc w:val="center"/>
        <w:rPr>
          <w:rFonts w:cs="Calibri"/>
          <w:i/>
          <w:iCs/>
        </w:rPr>
      </w:pPr>
      <w:r w:rsidRPr="00BE6215">
        <w:rPr>
          <w:rFonts w:cs="Calibri"/>
          <w:vertAlign w:val="superscript"/>
        </w:rPr>
        <w:t xml:space="preserve">1 </w:t>
      </w:r>
      <w:r w:rsidRPr="00BE6215">
        <w:rPr>
          <w:rFonts w:cs="Calibri"/>
          <w:i/>
          <w:iCs/>
        </w:rPr>
        <w:t xml:space="preserve">PSL University, CNRS – Chimie ParisTech, </w:t>
      </w:r>
      <w:proofErr w:type="spellStart"/>
      <w:r w:rsidRPr="00BE6215">
        <w:rPr>
          <w:rFonts w:cs="Calibri"/>
          <w:i/>
          <w:iCs/>
        </w:rPr>
        <w:t>Institut</w:t>
      </w:r>
      <w:proofErr w:type="spellEnd"/>
      <w:r w:rsidRPr="00BE6215">
        <w:rPr>
          <w:rFonts w:cs="Calibri"/>
          <w:i/>
          <w:iCs/>
        </w:rPr>
        <w:t xml:space="preserve"> de Recherche de Chimie Paris, Physical Chemistry of Surfaces Research Group, </w:t>
      </w:r>
      <w:r w:rsidRPr="00BE6215">
        <w:rPr>
          <w:rFonts w:cs="Calibri"/>
          <w:i/>
          <w:iCs/>
        </w:rPr>
        <w:br/>
        <w:t>11 rue Pierre et Marie Curie, 75005 Paris, France</w:t>
      </w:r>
    </w:p>
    <w:p w14:paraId="7F9E9498" w14:textId="77777777" w:rsidR="00BE6215" w:rsidRPr="00BE6215" w:rsidRDefault="00BE6215" w:rsidP="00BE6215">
      <w:pPr>
        <w:spacing w:line="360" w:lineRule="auto"/>
        <w:rPr>
          <w:rFonts w:cs="Calibri"/>
          <w:vertAlign w:val="superscript"/>
        </w:rPr>
      </w:pPr>
    </w:p>
    <w:p w14:paraId="01B77EB0" w14:textId="77777777" w:rsidR="00BE6215" w:rsidRPr="00BE6215" w:rsidRDefault="00BE6215" w:rsidP="00BE6215">
      <w:pPr>
        <w:spacing w:line="360" w:lineRule="auto"/>
        <w:rPr>
          <w:rFonts w:cs="Calibri"/>
          <w:i/>
          <w:iCs/>
        </w:rPr>
      </w:pPr>
      <w:bookmarkStart w:id="1" w:name="_Hlk191289508"/>
      <w:r w:rsidRPr="00BE6215">
        <w:rPr>
          <w:rFonts w:ascii="Calibri" w:hAnsi="Calibri" w:cs="Calibri"/>
          <w:vertAlign w:val="superscript"/>
        </w:rPr>
        <w:t xml:space="preserve">† </w:t>
      </w:r>
      <w:r w:rsidRPr="00BE6215">
        <w:rPr>
          <w:rFonts w:cs="Calibri"/>
        </w:rPr>
        <w:t xml:space="preserve">Present address: </w:t>
      </w:r>
      <w:r w:rsidRPr="00BE6215">
        <w:rPr>
          <w:rFonts w:cs="Calibri"/>
          <w:i/>
          <w:iCs/>
        </w:rPr>
        <w:t>Institute of Research and Technology – Materials, Metallurgy, and Processes</w:t>
      </w:r>
      <w:bookmarkEnd w:id="1"/>
      <w:r w:rsidRPr="00BE6215">
        <w:rPr>
          <w:rFonts w:cs="Calibri"/>
          <w:i/>
          <w:iCs/>
        </w:rPr>
        <w:t xml:space="preserve"> (IRT-M2P), 12 rue de </w:t>
      </w:r>
      <w:proofErr w:type="spellStart"/>
      <w:r w:rsidRPr="00BE6215">
        <w:rPr>
          <w:rFonts w:cs="Calibri"/>
          <w:i/>
          <w:iCs/>
        </w:rPr>
        <w:t>l’Artisanat</w:t>
      </w:r>
      <w:proofErr w:type="spellEnd"/>
      <w:r w:rsidRPr="00BE6215">
        <w:rPr>
          <w:rFonts w:cs="Calibri"/>
          <w:i/>
          <w:iCs/>
        </w:rPr>
        <w:t xml:space="preserve">, 67120 </w:t>
      </w:r>
      <w:proofErr w:type="spellStart"/>
      <w:r w:rsidRPr="00BE6215">
        <w:rPr>
          <w:rFonts w:cs="Calibri"/>
          <w:i/>
          <w:iCs/>
        </w:rPr>
        <w:t>Duppigheim</w:t>
      </w:r>
      <w:proofErr w:type="spellEnd"/>
      <w:r w:rsidRPr="00BE6215">
        <w:rPr>
          <w:rFonts w:cs="Calibri"/>
          <w:i/>
          <w:iCs/>
        </w:rPr>
        <w:t>, France</w:t>
      </w:r>
    </w:p>
    <w:p w14:paraId="7783D5F7" w14:textId="77777777" w:rsidR="00BE6215" w:rsidRPr="00BE6215" w:rsidRDefault="00BE6215" w:rsidP="00BE6215">
      <w:pPr>
        <w:spacing w:line="360" w:lineRule="auto"/>
        <w:rPr>
          <w:rFonts w:cs="Calibri"/>
        </w:rPr>
      </w:pPr>
    </w:p>
    <w:p w14:paraId="17B44F22" w14:textId="77777777" w:rsidR="00BE6215" w:rsidRPr="00BE6215" w:rsidRDefault="00BE6215" w:rsidP="00BE6215">
      <w:pPr>
        <w:spacing w:line="360" w:lineRule="auto"/>
        <w:rPr>
          <w:rFonts w:cs="Calibri"/>
        </w:rPr>
      </w:pPr>
      <w:r w:rsidRPr="00BE6215">
        <w:rPr>
          <w:rFonts w:cs="Calibri"/>
        </w:rPr>
        <w:t xml:space="preserve">* Corresponding authors for the work: </w:t>
      </w:r>
    </w:p>
    <w:p w14:paraId="7B4C9334" w14:textId="77777777" w:rsidR="00BE6215" w:rsidRPr="00BE6215" w:rsidRDefault="00BE6215" w:rsidP="00BE6215">
      <w:pPr>
        <w:spacing w:line="360" w:lineRule="auto"/>
        <w:rPr>
          <w:color w:val="000000" w:themeColor="text1"/>
        </w:rPr>
      </w:pPr>
      <w:hyperlink r:id="rId4" w:history="1">
        <w:r w:rsidRPr="00BE6215">
          <w:rPr>
            <w:rStyle w:val="Hyperlink"/>
            <w:rFonts w:cs="Calibri"/>
          </w:rPr>
          <w:t>vishant.garg@chimieparistech.psl.eu</w:t>
        </w:r>
      </w:hyperlink>
      <w:r w:rsidRPr="00BE6215">
        <w:rPr>
          <w:color w:val="000000" w:themeColor="text1"/>
        </w:rPr>
        <w:t xml:space="preserve"> </w:t>
      </w:r>
    </w:p>
    <w:p w14:paraId="43B83983" w14:textId="77777777" w:rsidR="00BE6215" w:rsidRPr="00BE6215" w:rsidRDefault="00BE6215" w:rsidP="00BE6215">
      <w:pPr>
        <w:spacing w:line="360" w:lineRule="auto"/>
        <w:rPr>
          <w:color w:val="000000" w:themeColor="text1"/>
        </w:rPr>
      </w:pPr>
      <w:hyperlink r:id="rId5" w:history="1">
        <w:r w:rsidRPr="00BE6215">
          <w:rPr>
            <w:rStyle w:val="Hyperlink"/>
            <w:rFonts w:cs="Calibri"/>
          </w:rPr>
          <w:t>philippe.marcus@chimieparistech.psl.eu</w:t>
        </w:r>
      </w:hyperlink>
      <w:r w:rsidRPr="00BE6215">
        <w:rPr>
          <w:rFonts w:cs="Calibri"/>
          <w:color w:val="000000" w:themeColor="text1"/>
        </w:rPr>
        <w:t xml:space="preserve"> </w:t>
      </w:r>
    </w:p>
    <w:p w14:paraId="6C3ADF2E" w14:textId="77777777" w:rsidR="00BE6215" w:rsidRPr="00BE6215" w:rsidRDefault="00BE6215" w:rsidP="00BE6215">
      <w:pPr>
        <w:spacing w:line="360" w:lineRule="auto"/>
        <w:jc w:val="center"/>
        <w:rPr>
          <w:rFonts w:cs="Calibri"/>
          <w:b/>
          <w:bCs/>
          <w:sz w:val="32"/>
          <w:szCs w:val="32"/>
        </w:rPr>
      </w:pPr>
    </w:p>
    <w:p w14:paraId="02AC6936" w14:textId="77777777" w:rsidR="00BE6215" w:rsidRPr="00BE6215" w:rsidRDefault="00BE6215"/>
    <w:p w14:paraId="65BDAA59" w14:textId="383D0641" w:rsidR="00EF6EE1" w:rsidRPr="00BE6215" w:rsidRDefault="00EF6EE1">
      <w:r w:rsidRPr="00BE6215">
        <w:lastRenderedPageBreak/>
        <w:drawing>
          <wp:inline distT="0" distB="0" distL="0" distR="0" wp14:anchorId="1825B100" wp14:editId="57AE467B">
            <wp:extent cx="5605153" cy="3624384"/>
            <wp:effectExtent l="0" t="0" r="0" b="0"/>
            <wp:docPr id="88263468" name="Picture 4" descr="A graph with red and blu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63468" name="Picture 4" descr="A graph with red and blue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940" cy="364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4AB96" w14:textId="3E69723F" w:rsidR="00BE6215" w:rsidRPr="00BE6215" w:rsidRDefault="00BE6215" w:rsidP="00BE6215">
      <w:pPr>
        <w:jc w:val="both"/>
        <w:rPr>
          <w:i/>
          <w:iCs/>
        </w:rPr>
      </w:pPr>
      <w:r w:rsidRPr="00BE6215">
        <w:rPr>
          <w:i/>
          <w:iCs/>
        </w:rPr>
        <w:t>Figure S1: Anodic polarisation curves of the AA2024 T3 samples obtained after 24 hours immersion in the reference NaCl solution and the 2-MBT-containing NaCl solution.</w:t>
      </w:r>
      <w:r>
        <w:rPr>
          <w:i/>
          <w:iCs/>
        </w:rPr>
        <w:t xml:space="preserve"> The scans were performed from -0.05 V to +0.50 V vs OCP using a scan rate of 1 mV/s.</w:t>
      </w:r>
    </w:p>
    <w:p w14:paraId="1765144A" w14:textId="26FC50A8" w:rsidR="003D340C" w:rsidRDefault="000F7410" w:rsidP="00206733">
      <w:pPr>
        <w:jc w:val="center"/>
      </w:pPr>
      <w:r>
        <w:rPr>
          <w:noProof/>
        </w:rPr>
        <w:drawing>
          <wp:inline distT="0" distB="0" distL="0" distR="0" wp14:anchorId="7A73E4F4" wp14:editId="4E7D4C7D">
            <wp:extent cx="2450592" cy="2454330"/>
            <wp:effectExtent l="0" t="0" r="6985" b="3175"/>
            <wp:docPr id="4596375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775" cy="246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F8980" w14:textId="5DF935AB" w:rsidR="00206733" w:rsidRPr="000F7410" w:rsidRDefault="00206733" w:rsidP="000F7410">
      <w:pPr>
        <w:jc w:val="both"/>
        <w:rPr>
          <w:i/>
          <w:iCs/>
        </w:rPr>
      </w:pPr>
      <w:r w:rsidRPr="000F7410">
        <w:rPr>
          <w:i/>
          <w:iCs/>
        </w:rPr>
        <w:t xml:space="preserve">Figure S2: </w:t>
      </w:r>
      <w:r w:rsidR="000F7410" w:rsidRPr="000F7410">
        <w:rPr>
          <w:i/>
          <w:iCs/>
        </w:rPr>
        <w:t xml:space="preserve">Image showing the area analysed by ToF-SIMS on the AA2024 alloy sample immersed in the NaCl reference solution. The green box represents the area that was sputtered during the ToF-SIMS measurements while the red box represents the area that was analysed </w:t>
      </w:r>
      <w:r w:rsidR="000F7410" w:rsidRPr="000F7410">
        <w:rPr>
          <w:i/>
          <w:iCs/>
        </w:rPr>
        <w:t>to obtain the 3D chemical maps and the depth profiles</w:t>
      </w:r>
      <w:r w:rsidR="000F7410">
        <w:rPr>
          <w:i/>
          <w:iCs/>
        </w:rPr>
        <w:t xml:space="preserve"> presented in Figures 12, 13, and 14</w:t>
      </w:r>
      <w:r w:rsidR="000F7410" w:rsidRPr="000F7410">
        <w:rPr>
          <w:i/>
          <w:iCs/>
        </w:rPr>
        <w:t>.</w:t>
      </w:r>
    </w:p>
    <w:p w14:paraId="582FCC71" w14:textId="77777777" w:rsidR="00206733" w:rsidRDefault="00206733"/>
    <w:p w14:paraId="521A03DA" w14:textId="48271A36" w:rsidR="00206733" w:rsidRDefault="000F7410" w:rsidP="000F7410">
      <w:pPr>
        <w:jc w:val="center"/>
      </w:pPr>
      <w:r>
        <w:rPr>
          <w:noProof/>
        </w:rPr>
        <w:lastRenderedPageBreak/>
        <w:drawing>
          <wp:inline distT="0" distB="0" distL="0" distR="0" wp14:anchorId="2F08C116" wp14:editId="1DF481DF">
            <wp:extent cx="2435860" cy="2435860"/>
            <wp:effectExtent l="0" t="0" r="2540" b="2540"/>
            <wp:docPr id="2564475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B78C6" w14:textId="479F1EB0" w:rsidR="000F7410" w:rsidRPr="000F7410" w:rsidRDefault="000F7410" w:rsidP="000F7410">
      <w:pPr>
        <w:jc w:val="both"/>
        <w:rPr>
          <w:i/>
          <w:iCs/>
        </w:rPr>
      </w:pPr>
      <w:r w:rsidRPr="000F7410">
        <w:rPr>
          <w:i/>
          <w:iCs/>
        </w:rPr>
        <w:t>Figure S</w:t>
      </w:r>
      <w:r>
        <w:rPr>
          <w:i/>
          <w:iCs/>
        </w:rPr>
        <w:t>3</w:t>
      </w:r>
      <w:r w:rsidRPr="000F7410">
        <w:rPr>
          <w:i/>
          <w:iCs/>
        </w:rPr>
        <w:t xml:space="preserve">: Image showing the area analysed by ToF-SIMS on the AA2024 alloy sample immersed in the </w:t>
      </w:r>
      <w:r>
        <w:rPr>
          <w:i/>
          <w:iCs/>
        </w:rPr>
        <w:t xml:space="preserve">2-MBT containing </w:t>
      </w:r>
      <w:r w:rsidRPr="000F7410">
        <w:rPr>
          <w:i/>
          <w:iCs/>
        </w:rPr>
        <w:t>NaCl solution. The green box represents the area that was sputtered during the ToF-SIMS measurements while the red box represents the area that was analysed to obtain the 3D chemical maps and the depth profiles</w:t>
      </w:r>
      <w:r w:rsidR="0016341F">
        <w:rPr>
          <w:i/>
          <w:iCs/>
        </w:rPr>
        <w:t xml:space="preserve"> presented in Figures 16, 17, 18, and 19</w:t>
      </w:r>
      <w:r w:rsidRPr="000F7410">
        <w:rPr>
          <w:i/>
          <w:iCs/>
        </w:rPr>
        <w:t>.</w:t>
      </w:r>
    </w:p>
    <w:p w14:paraId="1BCF8203" w14:textId="77777777" w:rsidR="000F7410" w:rsidRDefault="000F7410" w:rsidP="000F7410">
      <w:pPr>
        <w:jc w:val="center"/>
      </w:pPr>
    </w:p>
    <w:sectPr w:rsidR="000F7410" w:rsidSect="00BE6215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13"/>
    <w:rsid w:val="00076D11"/>
    <w:rsid w:val="000F7410"/>
    <w:rsid w:val="0016341F"/>
    <w:rsid w:val="00206733"/>
    <w:rsid w:val="003D340C"/>
    <w:rsid w:val="003E4B69"/>
    <w:rsid w:val="006C18F9"/>
    <w:rsid w:val="009D10B7"/>
    <w:rsid w:val="00BC4835"/>
    <w:rsid w:val="00BE6215"/>
    <w:rsid w:val="00C42912"/>
    <w:rsid w:val="00C76913"/>
    <w:rsid w:val="00D47FC5"/>
    <w:rsid w:val="00E81737"/>
    <w:rsid w:val="00EF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CD63B"/>
  <w15:chartTrackingRefBased/>
  <w15:docId w15:val="{8C394241-FF80-4029-B038-A94FF6FF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9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9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9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9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9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9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6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9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9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9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9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9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9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6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9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9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9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9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9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621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philippe.marcus@chimieparistech.psl.e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ishant.garg@chimieparistech.psl.e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Vishant GARG</dc:creator>
  <cp:keywords/>
  <dc:description/>
  <cp:lastModifiedBy>Vishant GARG</cp:lastModifiedBy>
  <cp:revision>10</cp:revision>
  <dcterms:created xsi:type="dcterms:W3CDTF">2025-07-15T14:13:00Z</dcterms:created>
  <dcterms:modified xsi:type="dcterms:W3CDTF">2025-07-15T14:48:00Z</dcterms:modified>
</cp:coreProperties>
</file>