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15E01" w14:textId="6B37BA4E" w:rsidR="003D10AC" w:rsidRDefault="00807210">
      <w:pPr>
        <w:spacing w:after="200" w:line="480" w:lineRule="auto"/>
      </w:pPr>
      <w:r>
        <w:rPr>
          <w:rFonts w:ascii="Times New Roman" w:hAnsi="Times New Roman" w:cs="Times New Roman"/>
          <w:b/>
          <w:sz w:val="24"/>
          <w:szCs w:val="24"/>
        </w:rPr>
        <w:t>Supplementary Results</w:t>
      </w:r>
      <w:r>
        <w:rPr>
          <w:rFonts w:ascii="Times New Roman" w:hAnsi="Times New Roman" w:cs="Times New Roman"/>
          <w:sz w:val="24"/>
          <w:szCs w:val="24"/>
        </w:rPr>
        <w:t xml:space="preserve">. To more directly examine how disease duration may interact with medication status in PD, we examined data from the 10 studies that met our inclusion criteria  and reported data comparing individuals with PD </w:t>
      </w:r>
      <w:r w:rsidR="00DD11F8">
        <w:rPr>
          <w:rFonts w:ascii="Times New Roman" w:hAnsi="Times New Roman" w:cs="Times New Roman"/>
          <w:sz w:val="24"/>
          <w:szCs w:val="24"/>
        </w:rPr>
        <w:t>“off” vs “on”</w:t>
      </w:r>
      <w:r>
        <w:rPr>
          <w:rFonts w:ascii="Times New Roman" w:hAnsi="Times New Roman" w:cs="Times New Roman"/>
          <w:sz w:val="24"/>
          <w:szCs w:val="24"/>
        </w:rPr>
        <w:t xml:space="preserve"> medication using a within-subject design,. This sample was inadequately powered for a reliable meta-regression analysis and had an uneven distribution of disease duration. Nevertheless, we conducted a preliminary meta-regression and it yielded an effect (Supplementary Figure 1) in the same direction as shown in Figure 3 of the main text. In studies with shorter average disease duration, patients tended to show better response inhibition performance in the “on” relative to the “off” medication state, whereas in studies with longer average disease duration, there was less of a benefit from medication (</w:t>
      </w:r>
      <w:r>
        <w:rPr>
          <w:rFonts w:ascii="Times New Roman" w:hAnsi="Times New Roman" w:cs="Times New Roman"/>
          <w:i/>
          <w:sz w:val="24"/>
          <w:szCs w:val="24"/>
        </w:rPr>
        <w:t xml:space="preserve">z </w:t>
      </w:r>
      <w:r>
        <w:rPr>
          <w:rFonts w:ascii="Times New Roman" w:hAnsi="Times New Roman" w:cs="Times New Roman"/>
          <w:sz w:val="24"/>
          <w:szCs w:val="24"/>
        </w:rPr>
        <w:t xml:space="preserve">= 1.54, </w:t>
      </w:r>
      <w:r>
        <w:rPr>
          <w:rFonts w:ascii="Times New Roman" w:hAnsi="Times New Roman" w:cs="Times New Roman"/>
          <w:i/>
          <w:sz w:val="24"/>
          <w:szCs w:val="24"/>
        </w:rPr>
        <w:t xml:space="preserve">p </w:t>
      </w:r>
      <w:r>
        <w:rPr>
          <w:rFonts w:ascii="Times New Roman" w:hAnsi="Times New Roman" w:cs="Times New Roman"/>
          <w:sz w:val="24"/>
          <w:szCs w:val="24"/>
        </w:rPr>
        <w:t xml:space="preserve">= .12; </w:t>
      </w:r>
      <w:r>
        <w:rPr>
          <w:rFonts w:ascii="Times New Roman" w:hAnsi="Times New Roman" w:cs="Times New Roman"/>
          <w:i/>
          <w:sz w:val="24"/>
          <w:szCs w:val="24"/>
        </w:rPr>
        <w:t>r</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 .35). Across all 10 studies, there was a significant benefit of medication on response inhibition performance (random effects model; </w:t>
      </w:r>
      <w:r>
        <w:rPr>
          <w:rFonts w:ascii="Times New Roman" w:hAnsi="Times New Roman" w:cs="Times New Roman"/>
          <w:i/>
          <w:sz w:val="24"/>
          <w:szCs w:val="24"/>
        </w:rPr>
        <w:t xml:space="preserve">z </w:t>
      </w:r>
      <w:r>
        <w:rPr>
          <w:rFonts w:ascii="Times New Roman" w:hAnsi="Times New Roman" w:cs="Times New Roman"/>
          <w:sz w:val="24"/>
          <w:szCs w:val="24"/>
        </w:rPr>
        <w:t xml:space="preserve">= 4.21, </w:t>
      </w:r>
      <w:r>
        <w:rPr>
          <w:rFonts w:ascii="Times New Roman" w:hAnsi="Times New Roman" w:cs="Times New Roman"/>
          <w:i/>
          <w:sz w:val="24"/>
          <w:szCs w:val="24"/>
        </w:rPr>
        <w:t xml:space="preserve">p </w:t>
      </w:r>
      <w:r>
        <w:rPr>
          <w:rFonts w:ascii="Times New Roman" w:hAnsi="Times New Roman" w:cs="Times New Roman"/>
          <w:sz w:val="24"/>
          <w:szCs w:val="24"/>
        </w:rPr>
        <w:t xml:space="preserve">&lt; .001). This was driven by the studies with shorter average disease duration. That is, using median split, the 5 studies with “short” average disease duration of 2.97 years had significantly greater medication-based benefits in response inhibition performance than the 5 studies with “long” average disease duration of 9.05 years; Hedges’ g = -.64 “short” vs. -.21 “long” (two-sample </w:t>
      </w:r>
      <w:r>
        <w:rPr>
          <w:rFonts w:ascii="Times New Roman" w:hAnsi="Times New Roman" w:cs="Times New Roman"/>
          <w:i/>
          <w:sz w:val="24"/>
          <w:szCs w:val="24"/>
        </w:rPr>
        <w:t>t</w:t>
      </w:r>
      <w:r>
        <w:rPr>
          <w:rFonts w:ascii="Times New Roman" w:hAnsi="Times New Roman" w:cs="Times New Roman"/>
          <w:i/>
          <w:sz w:val="24"/>
          <w:szCs w:val="24"/>
        </w:rPr>
        <w:softHyphen/>
      </w:r>
      <w:r>
        <w:rPr>
          <w:rFonts w:ascii="Times New Roman" w:hAnsi="Times New Roman" w:cs="Times New Roman"/>
          <w:sz w:val="24"/>
          <w:szCs w:val="24"/>
        </w:rPr>
        <w:t xml:space="preserve">-test, </w:t>
      </w:r>
      <w:r>
        <w:rPr>
          <w:rFonts w:ascii="Times New Roman" w:hAnsi="Times New Roman" w:cs="Times New Roman"/>
          <w:i/>
          <w:sz w:val="24"/>
          <w:szCs w:val="24"/>
        </w:rPr>
        <w:t xml:space="preserve">p </w:t>
      </w:r>
      <w:r>
        <w:rPr>
          <w:rFonts w:ascii="Times New Roman" w:hAnsi="Times New Roman" w:cs="Times New Roman"/>
          <w:sz w:val="24"/>
          <w:szCs w:val="24"/>
        </w:rPr>
        <w:t>= .030). See Supplementary Table 1 for more details about these 10 studies.</w:t>
      </w:r>
    </w:p>
    <w:p w14:paraId="14102CB9" w14:textId="77777777" w:rsidR="003D10AC" w:rsidRDefault="003D10AC">
      <w:pPr>
        <w:spacing w:after="200" w:line="240" w:lineRule="auto"/>
        <w:rPr>
          <w:rFonts w:ascii="Times New Roman" w:hAnsi="Times New Roman" w:cs="Times New Roman"/>
          <w:b/>
          <w:sz w:val="24"/>
          <w:szCs w:val="24"/>
        </w:rPr>
      </w:pPr>
    </w:p>
    <w:p w14:paraId="4B907F76" w14:textId="77777777" w:rsidR="003D10AC" w:rsidRDefault="00807210">
      <w:pPr>
        <w:suppressAutoHyphens w:val="0"/>
        <w:rPr>
          <w:rFonts w:ascii="Times New Roman" w:hAnsi="Times New Roman" w:cs="Times New Roman"/>
          <w:b/>
          <w:sz w:val="24"/>
          <w:szCs w:val="24"/>
        </w:rPr>
      </w:pPr>
      <w:r>
        <w:br w:type="page"/>
      </w:r>
    </w:p>
    <w:p w14:paraId="0176ABEF" w14:textId="6E91CCBA" w:rsidR="003D10AC" w:rsidRDefault="00807210">
      <w:pPr>
        <w:spacing w:after="200" w:line="240" w:lineRule="auto"/>
      </w:pPr>
      <w:r>
        <w:rPr>
          <w:rFonts w:ascii="Times New Roman" w:hAnsi="Times New Roman" w:cs="Times New Roman"/>
          <w:b/>
          <w:sz w:val="24"/>
          <w:szCs w:val="24"/>
        </w:rPr>
        <w:lastRenderedPageBreak/>
        <w:t>Supplementary Figure 1</w:t>
      </w:r>
      <w:r>
        <w:rPr>
          <w:rFonts w:ascii="Times New Roman" w:hAnsi="Times New Roman" w:cs="Times New Roman"/>
          <w:sz w:val="24"/>
          <w:szCs w:val="24"/>
        </w:rPr>
        <w:t xml:space="preserve">. Regression plot of response inhibition deficits on average disease duration for the </w:t>
      </w:r>
      <w:r w:rsidR="00DD11F8">
        <w:rPr>
          <w:rFonts w:ascii="Times New Roman" w:hAnsi="Times New Roman" w:cs="Times New Roman"/>
          <w:sz w:val="24"/>
          <w:szCs w:val="24"/>
        </w:rPr>
        <w:t>ten</w:t>
      </w:r>
      <w:bookmarkStart w:id="0" w:name="_GoBack"/>
      <w:bookmarkEnd w:id="0"/>
      <w:r>
        <w:rPr>
          <w:rFonts w:ascii="Times New Roman" w:hAnsi="Times New Roman" w:cs="Times New Roman"/>
          <w:sz w:val="24"/>
          <w:szCs w:val="24"/>
        </w:rPr>
        <w:t xml:space="preserve"> studies that included a direct “</w:t>
      </w:r>
      <w:r w:rsidR="00DD11F8">
        <w:rPr>
          <w:rFonts w:ascii="Times New Roman" w:hAnsi="Times New Roman" w:cs="Times New Roman"/>
          <w:sz w:val="24"/>
          <w:szCs w:val="24"/>
        </w:rPr>
        <w:t>off” vs. “on</w:t>
      </w:r>
      <w:r>
        <w:rPr>
          <w:rFonts w:ascii="Times New Roman" w:hAnsi="Times New Roman" w:cs="Times New Roman"/>
          <w:sz w:val="24"/>
          <w:szCs w:val="24"/>
        </w:rPr>
        <w:t xml:space="preserve">” medication comparison using a within-subject design (see </w:t>
      </w:r>
      <w:r>
        <w:rPr>
          <w:rFonts w:ascii="Times New Roman" w:hAnsi="Times New Roman" w:cs="Times New Roman"/>
          <w:b/>
          <w:sz w:val="24"/>
          <w:szCs w:val="24"/>
        </w:rPr>
        <w:t>Supplementary Table 1</w:t>
      </w:r>
      <w:r>
        <w:rPr>
          <w:rFonts w:ascii="Times New Roman" w:hAnsi="Times New Roman" w:cs="Times New Roman"/>
          <w:sz w:val="24"/>
          <w:szCs w:val="24"/>
        </w:rPr>
        <w:t xml:space="preserve"> for a summary). Effect sizes less than 0 indicate that PD patients demonstrated poorer response inhibition performance when “off” compared to “on” medication. Each bubble represents a comparison from one study, weighted by within-study variance. Smaller bubbles represent studies with higher variance than others and thus, have less influence on the regression. The regression line of best fit is also shown. Note that all studies, especially those with low average disease duration, have a negative effect size, a potential effect predicted from the meta-regression analysis of “on” versus control groups. </w:t>
      </w:r>
    </w:p>
    <w:p w14:paraId="40AEB00A" w14:textId="5B3121DC" w:rsidR="003D10AC" w:rsidRDefault="00DD11F8">
      <w:pPr>
        <w:spacing w:after="200" w:line="240" w:lineRule="auto"/>
        <w:rPr>
          <w:rFonts w:ascii="Times New Roman" w:hAnsi="Times New Roman" w:cs="Times New Roman"/>
          <w:b/>
          <w:sz w:val="24"/>
          <w:szCs w:val="24"/>
        </w:rPr>
      </w:pPr>
      <w:r>
        <w:rPr>
          <w:noProof/>
        </w:rPr>
        <w:drawing>
          <wp:inline distT="0" distB="0" distL="0" distR="0" wp14:anchorId="527D3BC2" wp14:editId="3217EECE">
            <wp:extent cx="5943600" cy="4238625"/>
            <wp:effectExtent l="0" t="0" r="0" b="9525"/>
            <wp:docPr id="2" name="Picture 2" descr="G:\Dissertation\CCM_PD\Submission_npjPD\R2\Supp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issertation\CCM_PD\Submission_npjPD\R2\SuppFig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238625"/>
                    </a:xfrm>
                    <a:prstGeom prst="rect">
                      <a:avLst/>
                    </a:prstGeom>
                    <a:noFill/>
                    <a:ln>
                      <a:noFill/>
                    </a:ln>
                  </pic:spPr>
                </pic:pic>
              </a:graphicData>
            </a:graphic>
          </wp:inline>
        </w:drawing>
      </w:r>
    </w:p>
    <w:p w14:paraId="08A43CAA" w14:textId="77777777" w:rsidR="003D10AC" w:rsidRDefault="003D10AC">
      <w:pPr>
        <w:spacing w:line="240" w:lineRule="auto"/>
      </w:pPr>
    </w:p>
    <w:p w14:paraId="1FB7FA36" w14:textId="77777777" w:rsidR="003D10AC" w:rsidRDefault="00807210">
      <w:pPr>
        <w:suppressAutoHyphens w:val="0"/>
        <w:rPr>
          <w:rFonts w:ascii="Times New Roman" w:hAnsi="Times New Roman" w:cs="Times New Roman"/>
          <w:b/>
          <w:sz w:val="24"/>
          <w:szCs w:val="24"/>
        </w:rPr>
      </w:pPr>
      <w:r>
        <w:br w:type="page"/>
      </w:r>
    </w:p>
    <w:p w14:paraId="7006A2C9" w14:textId="77777777" w:rsidR="003D10AC" w:rsidRDefault="00807210">
      <w:pPr>
        <w:rPr>
          <w:rFonts w:ascii="Times New Roman" w:hAnsi="Times New Roman" w:cs="Times New Roman"/>
        </w:rPr>
      </w:pPr>
      <w:r>
        <w:rPr>
          <w:rFonts w:ascii="Times New Roman" w:hAnsi="Times New Roman" w:cs="Times New Roman"/>
          <w:b/>
          <w:sz w:val="24"/>
          <w:szCs w:val="24"/>
        </w:rPr>
        <w:lastRenderedPageBreak/>
        <w:t>Supplementary Table 1</w:t>
      </w:r>
      <w:r>
        <w:rPr>
          <w:rFonts w:ascii="Times New Roman" w:hAnsi="Times New Roman" w:cs="Times New Roman"/>
          <w:sz w:val="24"/>
          <w:szCs w:val="24"/>
        </w:rPr>
        <w:t xml:space="preserve">. </w:t>
      </w:r>
      <w:r>
        <w:rPr>
          <w:rFonts w:ascii="Times New Roman" w:hAnsi="Times New Roman" w:cs="Times New Roman"/>
        </w:rPr>
        <w:t xml:space="preserve">Studies containing a within-subject “on” vs. “off” design that fit inclusion criteria and report all key statistics for differences in response inhibition performance. </w:t>
      </w:r>
    </w:p>
    <w:tbl>
      <w:tblPr>
        <w:tblW w:w="9360" w:type="dxa"/>
        <w:tblBorders>
          <w:bottom w:val="single" w:sz="4" w:space="0" w:color="00000A"/>
          <w:insideH w:val="single" w:sz="4" w:space="0" w:color="00000A"/>
        </w:tblBorders>
        <w:tblLook w:val="04A0" w:firstRow="1" w:lastRow="0" w:firstColumn="1" w:lastColumn="0" w:noHBand="0" w:noVBand="1"/>
      </w:tblPr>
      <w:tblGrid>
        <w:gridCol w:w="1819"/>
        <w:gridCol w:w="1422"/>
        <w:gridCol w:w="685"/>
        <w:gridCol w:w="81"/>
        <w:gridCol w:w="940"/>
        <w:gridCol w:w="884"/>
        <w:gridCol w:w="946"/>
        <w:gridCol w:w="772"/>
        <w:gridCol w:w="839"/>
        <w:gridCol w:w="972"/>
      </w:tblGrid>
      <w:tr w:rsidR="00807210" w14:paraId="479216C8" w14:textId="77777777" w:rsidTr="00807210">
        <w:trPr>
          <w:trHeight w:val="330"/>
        </w:trPr>
        <w:tc>
          <w:tcPr>
            <w:tcW w:w="1819" w:type="dxa"/>
            <w:tcBorders>
              <w:bottom w:val="single" w:sz="4" w:space="0" w:color="00000A"/>
            </w:tcBorders>
            <w:shd w:val="clear" w:color="auto" w:fill="auto"/>
            <w:vAlign w:val="center"/>
          </w:tcPr>
          <w:p w14:paraId="499FE990" w14:textId="77777777" w:rsidR="003D10AC" w:rsidRDefault="003D10AC">
            <w:pPr>
              <w:rPr>
                <w:rFonts w:ascii="Times New Roman" w:eastAsia="Times New Roman" w:hAnsi="Times New Roman" w:cs="Times New Roman"/>
                <w:b/>
                <w:bCs/>
                <w:color w:val="000000"/>
                <w:sz w:val="20"/>
                <w:szCs w:val="20"/>
              </w:rPr>
            </w:pPr>
          </w:p>
          <w:p w14:paraId="16D00C90" w14:textId="77777777" w:rsidR="003D10AC" w:rsidRDefault="003D10AC">
            <w:pPr>
              <w:rPr>
                <w:rFonts w:ascii="Times New Roman" w:eastAsia="Times New Roman" w:hAnsi="Times New Roman" w:cs="Times New Roman"/>
                <w:b/>
                <w:bCs/>
                <w:color w:val="000000"/>
                <w:sz w:val="20"/>
                <w:szCs w:val="20"/>
              </w:rPr>
            </w:pPr>
          </w:p>
          <w:p w14:paraId="467E9C38" w14:textId="77777777" w:rsidR="003D10AC" w:rsidRDefault="00807210">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First Author Last Name, Date</w:t>
            </w:r>
          </w:p>
        </w:tc>
        <w:tc>
          <w:tcPr>
            <w:tcW w:w="1422" w:type="dxa"/>
            <w:tcBorders>
              <w:bottom w:val="single" w:sz="4" w:space="0" w:color="00000A"/>
            </w:tcBorders>
            <w:shd w:val="clear" w:color="auto" w:fill="auto"/>
            <w:vAlign w:val="center"/>
          </w:tcPr>
          <w:p w14:paraId="023BFB1F" w14:textId="77777777" w:rsidR="003D10AC" w:rsidRDefault="003D10AC">
            <w:pPr>
              <w:rPr>
                <w:rFonts w:ascii="Times New Roman" w:eastAsia="Times New Roman" w:hAnsi="Times New Roman" w:cs="Times New Roman"/>
                <w:b/>
                <w:bCs/>
                <w:color w:val="000000"/>
                <w:sz w:val="20"/>
                <w:szCs w:val="20"/>
              </w:rPr>
            </w:pPr>
          </w:p>
          <w:p w14:paraId="521D8185" w14:textId="77777777" w:rsidR="003D10AC" w:rsidRDefault="003D10AC">
            <w:pPr>
              <w:rPr>
                <w:rFonts w:ascii="Times New Roman" w:eastAsia="Times New Roman" w:hAnsi="Times New Roman" w:cs="Times New Roman"/>
                <w:b/>
                <w:bCs/>
                <w:color w:val="000000"/>
                <w:sz w:val="20"/>
                <w:szCs w:val="20"/>
              </w:rPr>
            </w:pPr>
          </w:p>
          <w:p w14:paraId="50FE9A11" w14:textId="77777777" w:rsidR="003D10AC" w:rsidRDefault="003D10AC">
            <w:pPr>
              <w:rPr>
                <w:rFonts w:ascii="Times New Roman" w:eastAsia="Times New Roman" w:hAnsi="Times New Roman" w:cs="Times New Roman"/>
                <w:b/>
                <w:bCs/>
                <w:color w:val="000000"/>
                <w:sz w:val="20"/>
                <w:szCs w:val="20"/>
              </w:rPr>
            </w:pPr>
          </w:p>
          <w:p w14:paraId="52696B58" w14:textId="77777777" w:rsidR="003D10AC" w:rsidRDefault="00807210">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Task</w:t>
            </w:r>
          </w:p>
        </w:tc>
        <w:tc>
          <w:tcPr>
            <w:tcW w:w="685" w:type="dxa"/>
            <w:tcBorders>
              <w:bottom w:val="single" w:sz="4" w:space="0" w:color="00000A"/>
            </w:tcBorders>
            <w:shd w:val="clear" w:color="auto" w:fill="auto"/>
            <w:vAlign w:val="bottom"/>
          </w:tcPr>
          <w:p w14:paraId="314801C3" w14:textId="77777777" w:rsidR="003D10AC" w:rsidRDefault="0080721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Age</w:t>
            </w:r>
          </w:p>
        </w:tc>
        <w:tc>
          <w:tcPr>
            <w:tcW w:w="1021" w:type="dxa"/>
            <w:gridSpan w:val="2"/>
            <w:tcBorders>
              <w:bottom w:val="single" w:sz="4" w:space="0" w:color="00000A"/>
            </w:tcBorders>
            <w:shd w:val="clear" w:color="auto" w:fill="auto"/>
            <w:vAlign w:val="bottom"/>
          </w:tcPr>
          <w:p w14:paraId="327853CF" w14:textId="77777777" w:rsidR="003D10AC" w:rsidRDefault="0080721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Disease Duration (Years)</w:t>
            </w:r>
          </w:p>
        </w:tc>
        <w:tc>
          <w:tcPr>
            <w:tcW w:w="884" w:type="dxa"/>
            <w:tcBorders>
              <w:bottom w:val="single" w:sz="4" w:space="0" w:color="00000A"/>
            </w:tcBorders>
            <w:shd w:val="clear" w:color="auto" w:fill="auto"/>
            <w:vAlign w:val="bottom"/>
          </w:tcPr>
          <w:p w14:paraId="4D33E7FE" w14:textId="77777777" w:rsidR="003D10AC" w:rsidRDefault="0080721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UPDRS On</w:t>
            </w:r>
          </w:p>
        </w:tc>
        <w:tc>
          <w:tcPr>
            <w:tcW w:w="946" w:type="dxa"/>
            <w:tcBorders>
              <w:bottom w:val="single" w:sz="4" w:space="0" w:color="00000A"/>
            </w:tcBorders>
            <w:shd w:val="clear" w:color="auto" w:fill="auto"/>
            <w:vAlign w:val="bottom"/>
          </w:tcPr>
          <w:p w14:paraId="5B57D32A" w14:textId="77777777" w:rsidR="003D10AC" w:rsidRDefault="0080721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UPDRS Off</w:t>
            </w:r>
          </w:p>
        </w:tc>
        <w:tc>
          <w:tcPr>
            <w:tcW w:w="772" w:type="dxa"/>
            <w:tcBorders>
              <w:bottom w:val="single" w:sz="4" w:space="0" w:color="00000A"/>
            </w:tcBorders>
            <w:shd w:val="clear" w:color="auto" w:fill="auto"/>
            <w:vAlign w:val="bottom"/>
          </w:tcPr>
          <w:p w14:paraId="534CCE92" w14:textId="77777777" w:rsidR="003D10AC" w:rsidRDefault="0080721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LEDD</w:t>
            </w:r>
          </w:p>
        </w:tc>
        <w:tc>
          <w:tcPr>
            <w:tcW w:w="839" w:type="dxa"/>
            <w:tcBorders>
              <w:bottom w:val="single" w:sz="4" w:space="0" w:color="00000A"/>
            </w:tcBorders>
            <w:shd w:val="clear" w:color="auto" w:fill="auto"/>
            <w:vAlign w:val="bottom"/>
          </w:tcPr>
          <w:p w14:paraId="449D887C" w14:textId="77777777" w:rsidR="003D10AC" w:rsidRDefault="0080721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MMSE</w:t>
            </w:r>
          </w:p>
        </w:tc>
        <w:tc>
          <w:tcPr>
            <w:tcW w:w="972" w:type="dxa"/>
            <w:tcBorders>
              <w:bottom w:val="single" w:sz="4" w:space="0" w:color="00000A"/>
            </w:tcBorders>
            <w:shd w:val="clear" w:color="auto" w:fill="auto"/>
            <w:vAlign w:val="bottom"/>
          </w:tcPr>
          <w:p w14:paraId="6A89E7E4" w14:textId="77777777" w:rsidR="003D10AC" w:rsidRDefault="0080721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Hedges' g (effect size)</w:t>
            </w:r>
          </w:p>
        </w:tc>
      </w:tr>
      <w:tr w:rsidR="00807210" w14:paraId="13C639F7" w14:textId="77777777" w:rsidTr="00807210">
        <w:trPr>
          <w:trHeight w:val="330"/>
        </w:trPr>
        <w:tc>
          <w:tcPr>
            <w:tcW w:w="1819" w:type="dxa"/>
            <w:tcBorders>
              <w:top w:val="single" w:sz="4" w:space="0" w:color="00000A"/>
              <w:bottom w:val="single" w:sz="4" w:space="0" w:color="00000A"/>
            </w:tcBorders>
            <w:shd w:val="clear" w:color="auto" w:fill="auto"/>
            <w:vAlign w:val="center"/>
          </w:tcPr>
          <w:p w14:paraId="4A80C149" w14:textId="77777777" w:rsidR="003D10AC" w:rsidRDefault="008072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Cameron, 2012</w:t>
            </w:r>
          </w:p>
        </w:tc>
        <w:tc>
          <w:tcPr>
            <w:tcW w:w="1422" w:type="dxa"/>
            <w:tcBorders>
              <w:top w:val="single" w:sz="4" w:space="0" w:color="00000A"/>
              <w:bottom w:val="single" w:sz="4" w:space="0" w:color="00000A"/>
            </w:tcBorders>
            <w:shd w:val="clear" w:color="auto" w:fill="auto"/>
            <w:vAlign w:val="center"/>
          </w:tcPr>
          <w:p w14:paraId="4883E410" w14:textId="77777777" w:rsidR="003D10AC" w:rsidRDefault="00807210">
            <w:r>
              <w:rPr>
                <w:rFonts w:ascii="Times New Roman" w:eastAsia="Times New Roman" w:hAnsi="Times New Roman" w:cs="Times New Roman"/>
                <w:color w:val="000000"/>
                <w:sz w:val="20"/>
                <w:szCs w:val="20"/>
              </w:rPr>
              <w:t>Antisaccade</w:t>
            </w:r>
            <w:r>
              <w:fldChar w:fldCharType="begin" w:fldLock="1"/>
            </w:r>
            <w:r>
              <w:instrText>ADDIN CSL_CITATION { "citationItems" : [ { "id" : "ITEM-1", "itemData" : { "DOI" : "10.1016/j.neuroimage.2012.01.057", "ISSN" : "1095-9572", "PMID" : "22270353", "abstract" : "Recent evidence has shown that patients with Parkinson's disease (PD) often display deficits in executive functions, such as planning for future behavior, and these deficits may stem from pathologies in prefrontal cortex and basal ganglia circuits that are critical to executive control. Using the antisaccade task (look away from a visual stimulus), we show that when the preparatory 'readiness' to perform a given action is dissociated from the actual execution of that action, PD patients off and on dopamine medication display behavioral impairments and reduced cortical brain activation that cannot be explained by a pathology related to dysfunction in movement execution. Rather, they show that the appropriate task set signals were not in place in motor regions prior to execution, resulting in impairments in the control of subsequent voluntary movement. This is the first fMRI study of antisaccade deficits in Parkinson's disease, and importantly, the findings point to a critical role of the basal ganglia in translating signals related to rule representation (executive) into those governing voluntary motor behavior.", "author" : [ { "dropping-particle" : "", "family" : "Cameron", "given" : "Ian G M", "non-dropping-particle" : "", "parse-names" : false, "suffix" : "" }, { "dropping-particle" : "", "family" : "Pari", "given" : "Giovanna", "non-dropping-particle" : "", "parse-names" : false, "suffix" : "" }, { "dropping-particle" : "", "family" : "Alahyane", "given" : "Nadia", "non-dropping-particle" : "", "parse-names" : false, "suffix" : "" }, { "dropping-particle" : "", "family" : "Brien", "given" : "Donald C", "non-dropping-particle" : "", "parse-names" : false, "suffix" : "" }, { "dropping-particle" : "", "family" : "Coe", "given" : "Brian C", "non-dropping-particle" : "", "parse-names" : false, "suffix" : "" }, { "dropping-particle" : "", "family" : "Stroman", "given" : "Patrick W", "non-dropping-particle" : "", "parse-names" : false, "suffix" : "" }, { "dropping-particle" : "", "family" : "Munoz", "given" : "Douglas P", "non-dropping-particle" : "", "parse-names" : false, "suffix" : "" } ], "container-title" : "NeuroImage", "id" : "ITEM-1", "issue" : "2", "issued" : { "date-parts" : [ [ "2012", "4", "2" ] ] }, "page" : "1156-70", "publisher" : "Elsevier Inc.", "title" : "Impaired executive function signals in motor brain regions in Parkinson's disease.", "type" : "article-journal", "volume" : "60" }, "uris" : [ "http://www.mendeley.com/documents/?uuid=ff239844-983f-43ce-b27e-7b18dcaefed5" ] } ], "mendeley" : { "formattedCitation" : "&lt;sup&gt;1&lt;/sup&gt;", "plainTextFormattedCitation" : "1", "previouslyFormattedCitation" : "&lt;sup&gt;1&lt;/sup&gt;" }, "properties" : { "noteIndex" : 0 }, "schema" : "https://github.com/citation-style-language/schema/raw/master/csl-citation.json" }</w:instrText>
            </w:r>
            <w:r>
              <w:fldChar w:fldCharType="separate"/>
            </w:r>
            <w:r>
              <w:rPr>
                <w:rFonts w:ascii="Times New Roman" w:eastAsia="Times New Roman" w:hAnsi="Times New Roman" w:cs="Times New Roman"/>
                <w:noProof/>
                <w:color w:val="000000"/>
                <w:sz w:val="20"/>
                <w:szCs w:val="20"/>
                <w:vertAlign w:val="superscript"/>
              </w:rPr>
              <w:t>1</w:t>
            </w:r>
            <w:r>
              <w:fldChar w:fldCharType="end"/>
            </w:r>
          </w:p>
        </w:tc>
        <w:tc>
          <w:tcPr>
            <w:tcW w:w="766" w:type="dxa"/>
            <w:gridSpan w:val="2"/>
            <w:tcBorders>
              <w:top w:val="single" w:sz="4" w:space="0" w:color="00000A"/>
              <w:bottom w:val="single" w:sz="4" w:space="0" w:color="00000A"/>
            </w:tcBorders>
            <w:shd w:val="clear" w:color="auto" w:fill="auto"/>
            <w:vAlign w:val="bottom"/>
          </w:tcPr>
          <w:p w14:paraId="06D10BCA"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64.2</w:t>
            </w:r>
          </w:p>
        </w:tc>
        <w:tc>
          <w:tcPr>
            <w:tcW w:w="940" w:type="dxa"/>
            <w:tcBorders>
              <w:top w:val="single" w:sz="4" w:space="0" w:color="00000A"/>
              <w:bottom w:val="single" w:sz="4" w:space="0" w:color="00000A"/>
            </w:tcBorders>
            <w:shd w:val="clear" w:color="auto" w:fill="auto"/>
            <w:vAlign w:val="bottom"/>
          </w:tcPr>
          <w:p w14:paraId="1CBDECEC"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3.62</w:t>
            </w:r>
          </w:p>
        </w:tc>
        <w:tc>
          <w:tcPr>
            <w:tcW w:w="884" w:type="dxa"/>
            <w:tcBorders>
              <w:top w:val="single" w:sz="4" w:space="0" w:color="00000A"/>
              <w:bottom w:val="single" w:sz="4" w:space="0" w:color="00000A"/>
            </w:tcBorders>
            <w:shd w:val="clear" w:color="auto" w:fill="auto"/>
            <w:vAlign w:val="bottom"/>
          </w:tcPr>
          <w:p w14:paraId="3D36D77A" w14:textId="77777777" w:rsidR="003D10AC" w:rsidRDefault="0080721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23.2</w:t>
            </w:r>
          </w:p>
        </w:tc>
        <w:tc>
          <w:tcPr>
            <w:tcW w:w="946" w:type="dxa"/>
            <w:tcBorders>
              <w:top w:val="single" w:sz="4" w:space="0" w:color="00000A"/>
              <w:bottom w:val="single" w:sz="4" w:space="0" w:color="00000A"/>
            </w:tcBorders>
            <w:shd w:val="clear" w:color="auto" w:fill="auto"/>
            <w:vAlign w:val="bottom"/>
          </w:tcPr>
          <w:p w14:paraId="7BF53091" w14:textId="77777777" w:rsidR="003D10AC" w:rsidRDefault="0080721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28.6</w:t>
            </w:r>
          </w:p>
        </w:tc>
        <w:tc>
          <w:tcPr>
            <w:tcW w:w="772" w:type="dxa"/>
            <w:tcBorders>
              <w:top w:val="single" w:sz="4" w:space="0" w:color="00000A"/>
              <w:bottom w:val="single" w:sz="4" w:space="0" w:color="00000A"/>
            </w:tcBorders>
            <w:shd w:val="clear" w:color="auto" w:fill="auto"/>
            <w:vAlign w:val="bottom"/>
          </w:tcPr>
          <w:p w14:paraId="0855354C" w14:textId="77777777" w:rsidR="003D10AC" w:rsidRDefault="0080721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517.39</w:t>
            </w:r>
          </w:p>
        </w:tc>
        <w:tc>
          <w:tcPr>
            <w:tcW w:w="839" w:type="dxa"/>
            <w:tcBorders>
              <w:top w:val="single" w:sz="4" w:space="0" w:color="00000A"/>
              <w:bottom w:val="single" w:sz="4" w:space="0" w:color="00000A"/>
            </w:tcBorders>
            <w:shd w:val="clear" w:color="auto" w:fill="auto"/>
            <w:vAlign w:val="bottom"/>
          </w:tcPr>
          <w:p w14:paraId="47EA5995" w14:textId="77777777" w:rsidR="003D10AC" w:rsidRDefault="0080721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972" w:type="dxa"/>
            <w:tcBorders>
              <w:top w:val="single" w:sz="4" w:space="0" w:color="00000A"/>
              <w:bottom w:val="single" w:sz="4" w:space="0" w:color="00000A"/>
            </w:tcBorders>
            <w:shd w:val="clear" w:color="auto" w:fill="auto"/>
            <w:vAlign w:val="bottom"/>
          </w:tcPr>
          <w:p w14:paraId="047B9315"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-0.35</w:t>
            </w:r>
          </w:p>
        </w:tc>
      </w:tr>
      <w:tr w:rsidR="00807210" w14:paraId="6AE6E2A7" w14:textId="77777777" w:rsidTr="00807210">
        <w:trPr>
          <w:trHeight w:val="330"/>
        </w:trPr>
        <w:tc>
          <w:tcPr>
            <w:tcW w:w="1819" w:type="dxa"/>
            <w:tcBorders>
              <w:top w:val="single" w:sz="4" w:space="0" w:color="00000A"/>
              <w:bottom w:val="single" w:sz="4" w:space="0" w:color="00000A"/>
            </w:tcBorders>
            <w:shd w:val="clear" w:color="auto" w:fill="auto"/>
            <w:vAlign w:val="center"/>
          </w:tcPr>
          <w:p w14:paraId="36AA6816" w14:textId="77777777" w:rsidR="003D10AC" w:rsidRDefault="008072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Hood, 2007</w:t>
            </w:r>
          </w:p>
        </w:tc>
        <w:tc>
          <w:tcPr>
            <w:tcW w:w="1422" w:type="dxa"/>
            <w:tcBorders>
              <w:top w:val="single" w:sz="4" w:space="0" w:color="00000A"/>
              <w:bottom w:val="single" w:sz="4" w:space="0" w:color="00000A"/>
            </w:tcBorders>
            <w:shd w:val="clear" w:color="auto" w:fill="auto"/>
            <w:vAlign w:val="center"/>
          </w:tcPr>
          <w:p w14:paraId="4267E60A" w14:textId="77777777" w:rsidR="003D10AC" w:rsidRDefault="00807210">
            <w:r>
              <w:rPr>
                <w:rFonts w:ascii="Times New Roman" w:eastAsia="Times New Roman" w:hAnsi="Times New Roman" w:cs="Times New Roman"/>
                <w:color w:val="000000"/>
                <w:sz w:val="20"/>
                <w:szCs w:val="20"/>
              </w:rPr>
              <w:t>Antisaccade</w:t>
            </w:r>
            <w:r>
              <w:fldChar w:fldCharType="begin" w:fldLock="1"/>
            </w:r>
            <w:r>
              <w:instrText>ADDIN CSL_CITATION { "citationItems" : [ { "id" : "ITEM-1", "itemData" : { "DOI" : "10.1136/jnnp.2006.099754", "ISBN" : "1468-330X (Electronic)\\r0022-3050 (Linking)", "ISSN" : "0022-3050", "PMID" : "17178817", "abstract" : "Abstract\\r\\nBackground: The integrity of frontal systems responsible for voluntary control and their interaction with subcortical regions involved in reflexive responses were studied in patients with Parkinson\u2019s disease (PD). Previous studies have shown that patients with PD have impaired executive function, including deficits in attention, motor planning and decision making.\\r\\n\\r\\nMethods: Executive function was measured through eye movements: reflexive (stimulus driven) prosaccades and voluntary (internally guided) antisaccades. Patients with advanced idiopathic PD, off and on their optimal levodopa therapy, were tested on a prosaccade and an antisaccade task and compared with matched controls.\\r\\n\\r\\nResults: Levodopa significantly increased response time for reflexive prosaccades and reduced error rate for voluntary antisaccades.\\r\\n\\r\\nConclusions: Consistent with our proposed model, patients with PD in the medicated state are better able to plan and execute voluntary eye movements. These findings suggest levodopa improves function of the voluntary frontostriatal system, which is deficient in PD.", "author" : [ { "dropping-particle" : "", "family" : "Hood", "given" : "Ashley J", "non-dropping-particle" : "", "parse-names" : false, "suffix" : "" }, { "dropping-particle" : "", "family" : "Amador", "given" : "Silvia C", "non-dropping-particle" : "", "parse-names" : false, "suffix" : "" }, { "dropping-particle" : "", "family" : "Cain", "given" : "Ashley E", "non-dropping-particle" : "", "parse-names" : false, "suffix" : "" }, { "dropping-particle" : "", "family" : "Briand", "given" : "Kevin A", "non-dropping-particle" : "", "parse-names" : false, "suffix" : "" }, { "dropping-particle" : "", "family" : "Al-Refai", "given" : "A. H", "non-dropping-particle" : "", "parse-names" : false, "suffix" : "" }, { "dropping-particle" : "", "family" : "Schiess", "given" : "Mya C", "non-dropping-particle" : "", "parse-names" : false, "suffix" : "" }, { "dropping-particle" : "", "family" : "Sereno", "given" : "A. B", "non-dropping-particle" : "", "parse-names" : false, "suffix" : "" } ], "container-title" : "Journal of Neurology, Neurosurgery &amp; Psychiatry", "id" : "ITEM-1", "issue" : "6", "issued" : { "date-parts" : [ [ "2007" ] ] }, "page" : "565-570", "title" : "Levodopa slows prosaccades and improves antisaccades: an eye movement study in Parkinson's disease", "type" : "article-journal", "volume" : "78" }, "uris" : [ "http://www.mendeley.com/documents/?uuid=d696d585-df38-43d8-b79d-9eb8dde4cd5e" ] } ], "mendeley" : { "formattedCitation" : "&lt;sup&gt;2&lt;/sup&gt;", "plainTextFormattedCitation" : "2", "previouslyFormattedCitation" : "&lt;sup&gt;2&lt;/sup&gt;" }, "properties" : { "noteIndex" : 0 }, "schema" : "https://github.com/citation-style-language/schema/raw/master/csl-citation.json" }</w:instrText>
            </w:r>
            <w:r>
              <w:fldChar w:fldCharType="separate"/>
            </w:r>
            <w:bookmarkStart w:id="1" w:name="__Fieldmark__5373_1786654960"/>
            <w:r>
              <w:rPr>
                <w:rFonts w:ascii="Times New Roman" w:eastAsia="Times New Roman" w:hAnsi="Times New Roman" w:cs="Times New Roman"/>
                <w:noProof/>
                <w:color w:val="000000"/>
                <w:sz w:val="20"/>
                <w:szCs w:val="20"/>
                <w:vertAlign w:val="superscript"/>
              </w:rPr>
              <w:t>2</w:t>
            </w:r>
            <w:bookmarkEnd w:id="1"/>
            <w:r>
              <w:fldChar w:fldCharType="end"/>
            </w:r>
          </w:p>
        </w:tc>
        <w:tc>
          <w:tcPr>
            <w:tcW w:w="766" w:type="dxa"/>
            <w:gridSpan w:val="2"/>
            <w:tcBorders>
              <w:top w:val="single" w:sz="4" w:space="0" w:color="00000A"/>
              <w:bottom w:val="single" w:sz="4" w:space="0" w:color="00000A"/>
            </w:tcBorders>
            <w:shd w:val="clear" w:color="auto" w:fill="auto"/>
            <w:vAlign w:val="bottom"/>
          </w:tcPr>
          <w:p w14:paraId="26F0E381"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59.9</w:t>
            </w:r>
          </w:p>
        </w:tc>
        <w:tc>
          <w:tcPr>
            <w:tcW w:w="940" w:type="dxa"/>
            <w:tcBorders>
              <w:top w:val="single" w:sz="4" w:space="0" w:color="00000A"/>
              <w:bottom w:val="single" w:sz="4" w:space="0" w:color="00000A"/>
            </w:tcBorders>
            <w:shd w:val="clear" w:color="auto" w:fill="auto"/>
            <w:vAlign w:val="bottom"/>
          </w:tcPr>
          <w:p w14:paraId="0254857D"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14.71</w:t>
            </w:r>
          </w:p>
        </w:tc>
        <w:tc>
          <w:tcPr>
            <w:tcW w:w="884" w:type="dxa"/>
            <w:tcBorders>
              <w:top w:val="single" w:sz="4" w:space="0" w:color="00000A"/>
              <w:bottom w:val="single" w:sz="4" w:space="0" w:color="00000A"/>
            </w:tcBorders>
            <w:shd w:val="clear" w:color="auto" w:fill="auto"/>
            <w:vAlign w:val="bottom"/>
          </w:tcPr>
          <w:p w14:paraId="7F91B3AB"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946" w:type="dxa"/>
            <w:tcBorders>
              <w:top w:val="single" w:sz="4" w:space="0" w:color="00000A"/>
              <w:bottom w:val="single" w:sz="4" w:space="0" w:color="00000A"/>
            </w:tcBorders>
            <w:shd w:val="clear" w:color="auto" w:fill="auto"/>
            <w:vAlign w:val="bottom"/>
          </w:tcPr>
          <w:p w14:paraId="13A6AE39"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772" w:type="dxa"/>
            <w:tcBorders>
              <w:top w:val="single" w:sz="4" w:space="0" w:color="00000A"/>
              <w:bottom w:val="single" w:sz="4" w:space="0" w:color="00000A"/>
            </w:tcBorders>
            <w:shd w:val="clear" w:color="auto" w:fill="auto"/>
            <w:vAlign w:val="bottom"/>
          </w:tcPr>
          <w:p w14:paraId="7C7677ED"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c>
          <w:tcPr>
            <w:tcW w:w="839" w:type="dxa"/>
            <w:tcBorders>
              <w:top w:val="single" w:sz="4" w:space="0" w:color="00000A"/>
              <w:bottom w:val="single" w:sz="4" w:space="0" w:color="00000A"/>
            </w:tcBorders>
            <w:shd w:val="clear" w:color="auto" w:fill="auto"/>
            <w:vAlign w:val="bottom"/>
          </w:tcPr>
          <w:p w14:paraId="67E3BA47"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27.89</w:t>
            </w:r>
          </w:p>
        </w:tc>
        <w:tc>
          <w:tcPr>
            <w:tcW w:w="972" w:type="dxa"/>
            <w:tcBorders>
              <w:top w:val="single" w:sz="4" w:space="0" w:color="00000A"/>
              <w:bottom w:val="single" w:sz="4" w:space="0" w:color="00000A"/>
            </w:tcBorders>
            <w:shd w:val="clear" w:color="auto" w:fill="auto"/>
            <w:vAlign w:val="bottom"/>
          </w:tcPr>
          <w:p w14:paraId="266E2750"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-0.54</w:t>
            </w:r>
          </w:p>
        </w:tc>
      </w:tr>
      <w:tr w:rsidR="00807210" w14:paraId="2C8DCE00" w14:textId="77777777" w:rsidTr="00807210">
        <w:trPr>
          <w:trHeight w:val="330"/>
        </w:trPr>
        <w:tc>
          <w:tcPr>
            <w:tcW w:w="1819" w:type="dxa"/>
            <w:tcBorders>
              <w:top w:val="single" w:sz="4" w:space="0" w:color="00000A"/>
              <w:bottom w:val="single" w:sz="4" w:space="0" w:color="00000A"/>
            </w:tcBorders>
            <w:shd w:val="clear" w:color="auto" w:fill="auto"/>
            <w:vAlign w:val="center"/>
          </w:tcPr>
          <w:p w14:paraId="36922285" w14:textId="77777777" w:rsidR="00807210" w:rsidRDefault="00807210" w:rsidP="00807210">
            <w:pP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Van Wouwe, 2016</w:t>
            </w:r>
          </w:p>
        </w:tc>
        <w:tc>
          <w:tcPr>
            <w:tcW w:w="1422" w:type="dxa"/>
            <w:tcBorders>
              <w:top w:val="single" w:sz="4" w:space="0" w:color="00000A"/>
              <w:bottom w:val="single" w:sz="4" w:space="0" w:color="00000A"/>
            </w:tcBorders>
            <w:shd w:val="clear" w:color="auto" w:fill="auto"/>
            <w:vAlign w:val="center"/>
          </w:tcPr>
          <w:p w14:paraId="1F4319EA" w14:textId="77777777" w:rsidR="00807210" w:rsidRDefault="00807210" w:rsidP="00807210">
            <w:pP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Simon</w:t>
            </w:r>
            <w:r>
              <w:fldChar w:fldCharType="begin" w:fldLock="1"/>
            </w:r>
            <w:r>
              <w:instrText>ADDIN CSL_CITATION { "citationItems" : [ { "id" : "ITEM-1", "itemData" : { "DOI" : "10.1162/jocn", "ISBN" : "9780192880512", "ISSN" : "09528229", "PMID" : "23647519", "abstract" : "The negotiation of social order is intimately connected to the capacity to infer and track status relationships. Despite the foundational role of status in social cognition, we know little about how the brain constructs status from social interactions that display it. Although emerging cognitive neuroscience reveals that status judgments depend on the intraparietal sulcus, a brain region that supports the comparison of targets along a quantitative continuum, we present evidence that status judgments do not necessarily reduce to ranking targets along a quantitative continuum. The process of judging status also fits a social interdependence analysis. Consistent with third-party perceivers judging status by inferring whose goals are dictating the terms of the interaction and who is subordinating their desires to whom, status judgments were associated with increased recruitment of medial pFC and STS, brain regions implicated in mental state inference", "author" : [ { "dropping-particle" : "", "family" : "Wouwe", "given" : "Nelleke C.", "non-dropping-particle" : "van", "parse-names" : false, "suffix" : "" }, { "dropping-particle" : "", "family" : "Kanoff", "given" : "Kristen", "non-dropping-particle" : "", "parse-names" : false, "suffix" : "" }, { "dropping-particle" : "", "family" : "Claassen", "given" : "Daniel O.", "non-dropping-particle" : "", "parse-names" : false, "suffix" : "" }, { "dropping-particle" : "", "family" : "Spears", "given" : "Charis A.", "non-dropping-particle" : "", "parse-names" : false, "suffix" : "" }, { "dropping-particle" : "", "family" : "Neimat", "given" : "Joseph S.", "non-dropping-particle" : "", "parse-names" : false, "suffix" : "" }, { "dropping-particle" : "", "family" : "Wildenberg", "given" : "Wery P.M.", "non-dropping-particle" : "van den", "parse-names" : false, "suffix" : "" }, { "dropping-particle" : "", "family" : "Wylie", "given" : "Scott a.", "non-dropping-particle" : "", "parse-names" : false, "suffix" : "" } ], "container-title" : "Journal of Cognitive Neuroscience", "id" : "ITEM-1", "issue" : "5", "issued" : { "date-parts" : [ [ "2016" ] ] }, "page" : "710-723", "title" : "Dissociable Effects of Dopamine on the Initial Capture and the Reactive Inhibition of Impulsive Actions in Parkinson\u2019s Disease", "type" : "article-journal", "volume" : "28" }, "uris" : [ "http://www.mendeley.com/documents/?uuid=2e60aece-2778-4c2f-a214-1d24f119dceb" ] } ], "mendeley" : { "formattedCitation" : "&lt;sup&gt;3&lt;/sup&gt;", "plainTextFormattedCitation" : "3", "previouslyFormattedCitation" : "&lt;sup&gt;10&lt;/sup&gt;" }, "properties" : { "noteIndex" : 0 }, "schema" : "https://github.com/citation-style-language/schema/raw/master/csl-citation.json" }</w:instrText>
            </w:r>
            <w:r>
              <w:fldChar w:fldCharType="separate"/>
            </w:r>
            <w:r w:rsidRPr="00807210">
              <w:rPr>
                <w:rFonts w:ascii="Times New Roman" w:hAnsi="Times New Roman" w:cs="Times New Roman"/>
                <w:noProof/>
                <w:color w:val="000000"/>
                <w:sz w:val="20"/>
                <w:szCs w:val="20"/>
                <w:vertAlign w:val="superscript"/>
              </w:rPr>
              <w:t>3</w:t>
            </w:r>
            <w:r>
              <w:fldChar w:fldCharType="end"/>
            </w:r>
          </w:p>
        </w:tc>
        <w:tc>
          <w:tcPr>
            <w:tcW w:w="766" w:type="dxa"/>
            <w:gridSpan w:val="2"/>
            <w:tcBorders>
              <w:top w:val="single" w:sz="4" w:space="0" w:color="00000A"/>
              <w:bottom w:val="single" w:sz="4" w:space="0" w:color="00000A"/>
            </w:tcBorders>
            <w:shd w:val="clear" w:color="auto" w:fill="auto"/>
            <w:vAlign w:val="bottom"/>
          </w:tcPr>
          <w:p w14:paraId="6C45F86D" w14:textId="77777777" w:rsidR="00807210" w:rsidRDefault="00807210" w:rsidP="00807210">
            <w:pPr>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63.7</w:t>
            </w:r>
          </w:p>
        </w:tc>
        <w:tc>
          <w:tcPr>
            <w:tcW w:w="940" w:type="dxa"/>
            <w:tcBorders>
              <w:top w:val="single" w:sz="4" w:space="0" w:color="00000A"/>
              <w:bottom w:val="single" w:sz="4" w:space="0" w:color="00000A"/>
            </w:tcBorders>
            <w:shd w:val="clear" w:color="auto" w:fill="auto"/>
            <w:vAlign w:val="bottom"/>
          </w:tcPr>
          <w:p w14:paraId="5358664E" w14:textId="77777777" w:rsidR="00807210" w:rsidRDefault="00807210" w:rsidP="00807210">
            <w:pPr>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4.4</w:t>
            </w:r>
          </w:p>
        </w:tc>
        <w:tc>
          <w:tcPr>
            <w:tcW w:w="884" w:type="dxa"/>
            <w:tcBorders>
              <w:top w:val="single" w:sz="4" w:space="0" w:color="00000A"/>
              <w:bottom w:val="single" w:sz="4" w:space="0" w:color="00000A"/>
            </w:tcBorders>
            <w:shd w:val="clear" w:color="auto" w:fill="auto"/>
            <w:vAlign w:val="bottom"/>
          </w:tcPr>
          <w:p w14:paraId="0159B028" w14:textId="77777777" w:rsidR="00807210" w:rsidRDefault="00807210" w:rsidP="00807210">
            <w:pPr>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N/A</w:t>
            </w:r>
          </w:p>
        </w:tc>
        <w:tc>
          <w:tcPr>
            <w:tcW w:w="946" w:type="dxa"/>
            <w:tcBorders>
              <w:top w:val="single" w:sz="4" w:space="0" w:color="00000A"/>
              <w:bottom w:val="single" w:sz="4" w:space="0" w:color="00000A"/>
            </w:tcBorders>
            <w:shd w:val="clear" w:color="auto" w:fill="auto"/>
            <w:vAlign w:val="bottom"/>
          </w:tcPr>
          <w:p w14:paraId="68C79EA2" w14:textId="77777777" w:rsidR="00807210" w:rsidRDefault="00807210" w:rsidP="00807210">
            <w:pPr>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26.9</w:t>
            </w:r>
          </w:p>
        </w:tc>
        <w:tc>
          <w:tcPr>
            <w:tcW w:w="772" w:type="dxa"/>
            <w:tcBorders>
              <w:top w:val="single" w:sz="4" w:space="0" w:color="00000A"/>
              <w:bottom w:val="single" w:sz="4" w:space="0" w:color="00000A"/>
            </w:tcBorders>
            <w:shd w:val="clear" w:color="auto" w:fill="auto"/>
            <w:vAlign w:val="bottom"/>
          </w:tcPr>
          <w:p w14:paraId="4D1D9E38" w14:textId="77777777" w:rsidR="00807210" w:rsidRDefault="00807210" w:rsidP="00807210">
            <w:pPr>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732</w:t>
            </w:r>
          </w:p>
        </w:tc>
        <w:tc>
          <w:tcPr>
            <w:tcW w:w="839" w:type="dxa"/>
            <w:tcBorders>
              <w:top w:val="single" w:sz="4" w:space="0" w:color="00000A"/>
              <w:bottom w:val="single" w:sz="4" w:space="0" w:color="00000A"/>
            </w:tcBorders>
            <w:shd w:val="clear" w:color="auto" w:fill="auto"/>
            <w:vAlign w:val="bottom"/>
          </w:tcPr>
          <w:p w14:paraId="044BA8D5" w14:textId="77777777" w:rsidR="00807210" w:rsidRDefault="00807210" w:rsidP="00807210">
            <w:pPr>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N/A</w:t>
            </w:r>
          </w:p>
        </w:tc>
        <w:tc>
          <w:tcPr>
            <w:tcW w:w="972" w:type="dxa"/>
            <w:tcBorders>
              <w:top w:val="single" w:sz="4" w:space="0" w:color="00000A"/>
              <w:bottom w:val="single" w:sz="4" w:space="0" w:color="00000A"/>
            </w:tcBorders>
            <w:shd w:val="clear" w:color="auto" w:fill="auto"/>
            <w:vAlign w:val="bottom"/>
          </w:tcPr>
          <w:p w14:paraId="6598A8BA" w14:textId="77777777" w:rsidR="00807210" w:rsidRDefault="00807210" w:rsidP="00807210">
            <w:pPr>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-0.33</w:t>
            </w:r>
          </w:p>
        </w:tc>
      </w:tr>
      <w:tr w:rsidR="00807210" w14:paraId="18CEF5D9" w14:textId="77777777" w:rsidTr="00807210">
        <w:trPr>
          <w:trHeight w:val="330"/>
        </w:trPr>
        <w:tc>
          <w:tcPr>
            <w:tcW w:w="1819" w:type="dxa"/>
            <w:tcBorders>
              <w:top w:val="single" w:sz="4" w:space="0" w:color="00000A"/>
              <w:bottom w:val="single" w:sz="4" w:space="0" w:color="00000A"/>
            </w:tcBorders>
            <w:shd w:val="clear" w:color="auto" w:fill="auto"/>
            <w:vAlign w:val="center"/>
          </w:tcPr>
          <w:p w14:paraId="57249517" w14:textId="77777777" w:rsidR="003D10AC" w:rsidRDefault="008072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George, 2013</w:t>
            </w:r>
          </w:p>
        </w:tc>
        <w:tc>
          <w:tcPr>
            <w:tcW w:w="1422" w:type="dxa"/>
            <w:tcBorders>
              <w:top w:val="single" w:sz="4" w:space="0" w:color="00000A"/>
              <w:bottom w:val="single" w:sz="4" w:space="0" w:color="00000A"/>
            </w:tcBorders>
            <w:shd w:val="clear" w:color="auto" w:fill="auto"/>
            <w:vAlign w:val="center"/>
          </w:tcPr>
          <w:p w14:paraId="31786AF3" w14:textId="77777777" w:rsidR="003D10AC" w:rsidRDefault="00807210" w:rsidP="00807210">
            <w:r>
              <w:rPr>
                <w:rFonts w:ascii="Times New Roman" w:eastAsia="Times New Roman" w:hAnsi="Times New Roman" w:cs="Times New Roman"/>
                <w:color w:val="000000"/>
                <w:sz w:val="20"/>
                <w:szCs w:val="20"/>
              </w:rPr>
              <w:t>SST</w:t>
            </w:r>
            <w:r>
              <w:fldChar w:fldCharType="begin" w:fldLock="1"/>
            </w:r>
            <w:r>
              <w:instrText>ADDIN CSL_CITATION { "citationItems" : [ { "id" : "ITEM-1", "itemData" : { "DOI" : "10.1016/j.nicl.2013.07.013", "ISSN" : "22131582", "PMID" : "24273711", "abstract" : "It is not yet well understood how dopaminergic therapy improves cognitive and motor function in Parkinson's disease (PD). One possibility is that it reduces the pathological synchronization within and between the cortex and basal ganglia, thus improving neural communication. We tested this hypothesis by recording scalp electroencephalography (EEG) in PD patients when On and Off medication, during a brief resting state epoch (no task), and during performance of a stop signal task that is thought to engage two partially overlapping (or different) frontal-basal-ganglia circuits. For resting state EEG, we measured pair-wise coherence between scalp electrodes in several frequency bands. Consistent with previous studies, in the Off medication state, those patients with the greatest clinical impairment had the strongest coherence, especially in the beta band, indicating pathological over-synchronization. Dopaminergic medication reduced this coherence. For the stop signal task, On vs. Off medication increased beta band power over right frontal cortex for successful stopping and over bilateral sensorimotor cortex for going, especially for those patients who showed greater clinical improvement. Thus, medication reduced pathological coherence in beta band at rest and increased task related beta power for two potentially dissociable cortico-basal ganglia circuits. These results support the hypothesis that dopaminergic medication in PD improves neural communication both at rest and for executive and motor function. ?? 2013 The Authors.", "author" : [ { "dropping-particle" : "", "family" : "George", "given" : "Jobi S.", "non-dropping-particle" : "", "parse-names" : false, "suffix" : "" }, { "dropping-particle" : "", "family" : "Strunk", "given" : "Jon", "non-dropping-particle" : "", "parse-names" : false, "suffix" : "" }, { "dropping-particle" : "", "family" : "Mak-Mccully", "given" : "Rachel", "non-dropping-particle" : "", "parse-names" : false, "suffix" : "" }, { "dropping-particle" : "", "family" : "Houser", "given" : "Melissa", "non-dropping-particle" : "", "parse-names" : false, "suffix" : "" }, { "dropping-particle" : "", "family" : "Poizner", "given" : "Howard", "non-dropping-particle" : "", "parse-names" : false, "suffix" : "" }, { "dropping-particle" : "", "family" : "Aron", "given" : "Adam R.", "non-dropping-particle" : "", "parse-names" : false, "suffix" : "" } ], "container-title" : "NeuroImage: Clinical", "id" : "ITEM-1", "issued" : { "date-parts" : [ [ "2013" ] ] }, "page" : "261-270", "publisher" : "The Authors", "title" : "Dopaminergic therapy in Parkinson's disease decreases cortical beta band coherence in the resting state and increases cortical beta band power during executive control", "type" : "article-journal", "volume" : "3" }, "uris" : [ "http://www.mendeley.com/documents/?uuid=7f46a3df-d72d-4c2a-a63e-2ee0a9a5ab27" ] } ], "mendeley" : { "formattedCitation" : "&lt;sup&gt;4&lt;/sup&gt;", "plainTextFormattedCitation" : "4", "previouslyFormattedCitation" : "&lt;sup&gt;3&lt;/sup&gt;" }, "properties" : { "noteIndex" : 0 }, "schema" : "https://github.com/citation-style-language/schema/raw/master/csl-citation.json" }</w:instrText>
            </w:r>
            <w:r>
              <w:fldChar w:fldCharType="separate"/>
            </w:r>
            <w:r w:rsidRPr="00807210">
              <w:rPr>
                <w:rFonts w:ascii="Times New Roman" w:eastAsia="Times New Roman" w:hAnsi="Times New Roman" w:cs="Times New Roman"/>
                <w:noProof/>
                <w:color w:val="000000"/>
                <w:sz w:val="20"/>
                <w:szCs w:val="20"/>
                <w:vertAlign w:val="superscript"/>
              </w:rPr>
              <w:t>4</w:t>
            </w:r>
            <w:r>
              <w:fldChar w:fldCharType="end"/>
            </w:r>
          </w:p>
        </w:tc>
        <w:tc>
          <w:tcPr>
            <w:tcW w:w="766" w:type="dxa"/>
            <w:gridSpan w:val="2"/>
            <w:tcBorders>
              <w:top w:val="single" w:sz="4" w:space="0" w:color="00000A"/>
              <w:bottom w:val="single" w:sz="4" w:space="0" w:color="00000A"/>
            </w:tcBorders>
            <w:shd w:val="clear" w:color="auto" w:fill="auto"/>
            <w:vAlign w:val="bottom"/>
          </w:tcPr>
          <w:p w14:paraId="73ABACB6"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63.5</w:t>
            </w:r>
          </w:p>
        </w:tc>
        <w:tc>
          <w:tcPr>
            <w:tcW w:w="940" w:type="dxa"/>
            <w:tcBorders>
              <w:top w:val="single" w:sz="4" w:space="0" w:color="00000A"/>
              <w:bottom w:val="single" w:sz="4" w:space="0" w:color="00000A"/>
            </w:tcBorders>
            <w:shd w:val="clear" w:color="auto" w:fill="auto"/>
            <w:vAlign w:val="bottom"/>
          </w:tcPr>
          <w:p w14:paraId="1C0DCA6A"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4.93</w:t>
            </w:r>
          </w:p>
        </w:tc>
        <w:tc>
          <w:tcPr>
            <w:tcW w:w="884" w:type="dxa"/>
            <w:tcBorders>
              <w:top w:val="single" w:sz="4" w:space="0" w:color="00000A"/>
              <w:bottom w:val="single" w:sz="4" w:space="0" w:color="00000A"/>
            </w:tcBorders>
            <w:shd w:val="clear" w:color="auto" w:fill="auto"/>
            <w:vAlign w:val="bottom"/>
          </w:tcPr>
          <w:p w14:paraId="581B0791"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33.68</w:t>
            </w:r>
          </w:p>
        </w:tc>
        <w:tc>
          <w:tcPr>
            <w:tcW w:w="946" w:type="dxa"/>
            <w:tcBorders>
              <w:top w:val="single" w:sz="4" w:space="0" w:color="00000A"/>
              <w:bottom w:val="single" w:sz="4" w:space="0" w:color="00000A"/>
            </w:tcBorders>
            <w:shd w:val="clear" w:color="auto" w:fill="auto"/>
            <w:vAlign w:val="bottom"/>
          </w:tcPr>
          <w:p w14:paraId="1FFE3552"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41.5</w:t>
            </w:r>
          </w:p>
        </w:tc>
        <w:tc>
          <w:tcPr>
            <w:tcW w:w="772" w:type="dxa"/>
            <w:tcBorders>
              <w:top w:val="single" w:sz="4" w:space="0" w:color="00000A"/>
              <w:bottom w:val="single" w:sz="4" w:space="0" w:color="00000A"/>
            </w:tcBorders>
            <w:shd w:val="clear" w:color="auto" w:fill="auto"/>
            <w:vAlign w:val="bottom"/>
          </w:tcPr>
          <w:p w14:paraId="765056FD"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c>
          <w:tcPr>
            <w:tcW w:w="839" w:type="dxa"/>
            <w:tcBorders>
              <w:top w:val="single" w:sz="4" w:space="0" w:color="00000A"/>
              <w:bottom w:val="single" w:sz="4" w:space="0" w:color="00000A"/>
            </w:tcBorders>
            <w:shd w:val="clear" w:color="auto" w:fill="auto"/>
            <w:vAlign w:val="bottom"/>
          </w:tcPr>
          <w:p w14:paraId="03261DB4"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28.94</w:t>
            </w:r>
          </w:p>
        </w:tc>
        <w:tc>
          <w:tcPr>
            <w:tcW w:w="972" w:type="dxa"/>
            <w:tcBorders>
              <w:top w:val="single" w:sz="4" w:space="0" w:color="00000A"/>
              <w:bottom w:val="single" w:sz="4" w:space="0" w:color="00000A"/>
            </w:tcBorders>
            <w:shd w:val="clear" w:color="auto" w:fill="auto"/>
            <w:vAlign w:val="bottom"/>
          </w:tcPr>
          <w:p w14:paraId="684E242E"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-0.13</w:t>
            </w:r>
          </w:p>
        </w:tc>
      </w:tr>
      <w:tr w:rsidR="00807210" w14:paraId="4A1A7583" w14:textId="77777777" w:rsidTr="00807210">
        <w:trPr>
          <w:trHeight w:val="330"/>
        </w:trPr>
        <w:tc>
          <w:tcPr>
            <w:tcW w:w="1819" w:type="dxa"/>
            <w:tcBorders>
              <w:top w:val="single" w:sz="4" w:space="0" w:color="00000A"/>
              <w:bottom w:val="single" w:sz="4" w:space="0" w:color="00000A"/>
            </w:tcBorders>
            <w:shd w:val="clear" w:color="auto" w:fill="auto"/>
            <w:vAlign w:val="center"/>
          </w:tcPr>
          <w:p w14:paraId="56BA36FC" w14:textId="77777777" w:rsidR="003D10AC" w:rsidRDefault="008072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Manza, Under Review</w:t>
            </w:r>
          </w:p>
        </w:tc>
        <w:tc>
          <w:tcPr>
            <w:tcW w:w="1422" w:type="dxa"/>
            <w:tcBorders>
              <w:top w:val="single" w:sz="4" w:space="0" w:color="00000A"/>
              <w:bottom w:val="single" w:sz="4" w:space="0" w:color="00000A"/>
            </w:tcBorders>
            <w:shd w:val="clear" w:color="auto" w:fill="auto"/>
            <w:vAlign w:val="center"/>
          </w:tcPr>
          <w:p w14:paraId="40DC4161" w14:textId="77777777" w:rsidR="003D10AC" w:rsidRDefault="00807210" w:rsidP="00807210">
            <w:r>
              <w:rPr>
                <w:rFonts w:ascii="Times New Roman" w:eastAsia="Times New Roman" w:hAnsi="Times New Roman" w:cs="Times New Roman"/>
                <w:color w:val="000000"/>
                <w:sz w:val="20"/>
                <w:szCs w:val="20"/>
              </w:rPr>
              <w:t>SST</w:t>
            </w:r>
            <w:r>
              <w:fldChar w:fldCharType="begin" w:fldLock="1"/>
            </w:r>
            <w:r>
              <w:instrText>ADDIN CSL_CITATION { "citationItems" : [ { "id" : "ITEM-1", "itemData" : { "author" : [ { "dropping-particle" : "", "family" : "Manza", "given" : "Peter", "non-dropping-particle" : "", "parse-names" : false, "suffix" : "" }, { "dropping-particle" : "", "family" : "Schwartz", "given" : "Guy", "non-dropping-particle" : "", "parse-names" : false, "suffix" : "" }, { "dropping-particle" : "", "family" : "Masson", "given" : "Mala", "non-dropping-particle" : "", "parse-names" : false, "suffix" : "" }, { "dropping-particle" : "", "family" : "Ide", "given" : "Jaime S", "non-dropping-particle" : "", "parse-names" : false, "suffix" : "" }, { "dropping-particle" : "", "family" : "Kann", "given" : "Sarah", "non-dropping-particle" : "", "parse-names" : false, "suffix" : "" }, { "dropping-particle" : "", "family" : "Li", "given" : "Chiang-Shan Ray", "non-dropping-particle" : "", "parse-names" : false, "suffix" : "" }, { "dropping-particle" : "", "family" : "Leung", "given" : "Hoi-chung", "non-dropping-particle" : "", "parse-names" : false, "suffix" : "" } ], "container-title" : "Under Review", "id" : "ITEM-1", "issued" : { "date-parts" : [ [ "0" ] ] }, "title" : "Levodopa restores response inhibition and neurobehavioral signatures of proactive control in Parkinson\u2019s disease", "type" : "article-journal" }, "uris" : [ "http://www.mendeley.com/documents/?uuid=618e327f-555f-47b4-a0db-1bafe9f3231d" ] } ], "mendeley" : { "formattedCitation" : "&lt;sup&gt;5&lt;/sup&gt;", "plainTextFormattedCitation" : "5", "previouslyFormattedCitation" : "&lt;sup&gt;4&lt;/sup&gt;" }, "properties" : { "noteIndex" : 0 }, "schema" : "https://github.com/citation-style-language/schema/raw/master/csl-citation.json" }</w:instrText>
            </w:r>
            <w:r>
              <w:fldChar w:fldCharType="separate"/>
            </w:r>
            <w:r w:rsidRPr="00807210">
              <w:rPr>
                <w:rFonts w:ascii="Times New Roman" w:eastAsia="Times New Roman" w:hAnsi="Times New Roman" w:cs="Times New Roman"/>
                <w:noProof/>
                <w:color w:val="000000"/>
                <w:sz w:val="20"/>
                <w:szCs w:val="20"/>
                <w:vertAlign w:val="superscript"/>
              </w:rPr>
              <w:t>5</w:t>
            </w:r>
            <w:r>
              <w:fldChar w:fldCharType="end"/>
            </w:r>
          </w:p>
        </w:tc>
        <w:tc>
          <w:tcPr>
            <w:tcW w:w="766" w:type="dxa"/>
            <w:gridSpan w:val="2"/>
            <w:tcBorders>
              <w:top w:val="single" w:sz="4" w:space="0" w:color="00000A"/>
              <w:bottom w:val="single" w:sz="4" w:space="0" w:color="00000A"/>
            </w:tcBorders>
            <w:shd w:val="clear" w:color="auto" w:fill="auto"/>
            <w:vAlign w:val="bottom"/>
          </w:tcPr>
          <w:p w14:paraId="5CC50C4A"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63.2</w:t>
            </w:r>
          </w:p>
        </w:tc>
        <w:tc>
          <w:tcPr>
            <w:tcW w:w="940" w:type="dxa"/>
            <w:tcBorders>
              <w:top w:val="single" w:sz="4" w:space="0" w:color="00000A"/>
              <w:bottom w:val="single" w:sz="4" w:space="0" w:color="00000A"/>
            </w:tcBorders>
            <w:shd w:val="clear" w:color="auto" w:fill="auto"/>
            <w:vAlign w:val="bottom"/>
          </w:tcPr>
          <w:p w14:paraId="0E755BDC"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884" w:type="dxa"/>
            <w:tcBorders>
              <w:top w:val="single" w:sz="4" w:space="0" w:color="00000A"/>
              <w:bottom w:val="single" w:sz="4" w:space="0" w:color="00000A"/>
            </w:tcBorders>
            <w:shd w:val="clear" w:color="auto" w:fill="auto"/>
            <w:vAlign w:val="bottom"/>
          </w:tcPr>
          <w:p w14:paraId="4751CCC1"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w:t>
            </w:r>
          </w:p>
        </w:tc>
        <w:tc>
          <w:tcPr>
            <w:tcW w:w="946" w:type="dxa"/>
            <w:tcBorders>
              <w:top w:val="single" w:sz="4" w:space="0" w:color="00000A"/>
              <w:bottom w:val="single" w:sz="4" w:space="0" w:color="00000A"/>
            </w:tcBorders>
            <w:shd w:val="clear" w:color="auto" w:fill="auto"/>
            <w:vAlign w:val="bottom"/>
          </w:tcPr>
          <w:p w14:paraId="2828ED0B"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20.14</w:t>
            </w:r>
          </w:p>
        </w:tc>
        <w:tc>
          <w:tcPr>
            <w:tcW w:w="772" w:type="dxa"/>
            <w:tcBorders>
              <w:top w:val="single" w:sz="4" w:space="0" w:color="00000A"/>
              <w:bottom w:val="single" w:sz="4" w:space="0" w:color="00000A"/>
            </w:tcBorders>
            <w:shd w:val="clear" w:color="auto" w:fill="auto"/>
            <w:vAlign w:val="bottom"/>
          </w:tcPr>
          <w:p w14:paraId="451A8C2C"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454</w:t>
            </w:r>
          </w:p>
        </w:tc>
        <w:tc>
          <w:tcPr>
            <w:tcW w:w="839" w:type="dxa"/>
            <w:tcBorders>
              <w:top w:val="single" w:sz="4" w:space="0" w:color="00000A"/>
              <w:bottom w:val="single" w:sz="4" w:space="0" w:color="00000A"/>
            </w:tcBorders>
            <w:shd w:val="clear" w:color="auto" w:fill="auto"/>
            <w:vAlign w:val="bottom"/>
          </w:tcPr>
          <w:p w14:paraId="26805146"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c>
          <w:tcPr>
            <w:tcW w:w="972" w:type="dxa"/>
            <w:tcBorders>
              <w:top w:val="single" w:sz="4" w:space="0" w:color="00000A"/>
              <w:bottom w:val="single" w:sz="4" w:space="0" w:color="00000A"/>
            </w:tcBorders>
            <w:shd w:val="clear" w:color="auto" w:fill="auto"/>
            <w:vAlign w:val="bottom"/>
          </w:tcPr>
          <w:p w14:paraId="23BAA361"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w:t>
            </w:r>
          </w:p>
        </w:tc>
      </w:tr>
      <w:tr w:rsidR="00807210" w14:paraId="5ADB7AF7" w14:textId="77777777" w:rsidTr="00807210">
        <w:trPr>
          <w:trHeight w:val="330"/>
        </w:trPr>
        <w:tc>
          <w:tcPr>
            <w:tcW w:w="1819" w:type="dxa"/>
            <w:tcBorders>
              <w:top w:val="single" w:sz="4" w:space="0" w:color="00000A"/>
              <w:bottom w:val="single" w:sz="4" w:space="0" w:color="00000A"/>
            </w:tcBorders>
            <w:shd w:val="clear" w:color="auto" w:fill="auto"/>
            <w:vAlign w:val="center"/>
          </w:tcPr>
          <w:p w14:paraId="741B020C" w14:textId="77777777" w:rsidR="003D10AC" w:rsidRDefault="008072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Obeso, 2011</w:t>
            </w:r>
          </w:p>
        </w:tc>
        <w:tc>
          <w:tcPr>
            <w:tcW w:w="1422" w:type="dxa"/>
            <w:tcBorders>
              <w:top w:val="single" w:sz="4" w:space="0" w:color="00000A"/>
              <w:bottom w:val="single" w:sz="4" w:space="0" w:color="00000A"/>
            </w:tcBorders>
            <w:shd w:val="clear" w:color="auto" w:fill="auto"/>
            <w:vAlign w:val="center"/>
          </w:tcPr>
          <w:p w14:paraId="4B2A6FEF" w14:textId="77777777" w:rsidR="003D10AC" w:rsidRDefault="00807210" w:rsidP="00807210">
            <w:r>
              <w:rPr>
                <w:rFonts w:ascii="Times New Roman" w:eastAsia="Times New Roman" w:hAnsi="Times New Roman" w:cs="Times New Roman"/>
                <w:color w:val="000000"/>
                <w:sz w:val="20"/>
                <w:szCs w:val="20"/>
              </w:rPr>
              <w:t>SST</w:t>
            </w:r>
            <w:r>
              <w:fldChar w:fldCharType="begin" w:fldLock="1"/>
            </w:r>
            <w:r>
              <w:instrText>ADDIN CSL_CITATION { "citationItems" : [ { "id" : "ITEM-1", "itemData" : { "DOI" : "10.1007/s00221-011-2793-x", "ISBN" : "1432-1106 (Electronic) 0014-4819 (Linking)", "ISSN" : "00144819", "PMID" : "21796541", "abstract" : "Evidence from animal, clinical, and imaging studies suggests that the basal ganglia and their frontal connections mediate motor inhibition, but the role of dopamine remains unclear. The aim of our study was to investigate, for the first time, whether levodopa medication influences motor inhibition and conflict resolution on the conditional stop-signal reaction time task in patients with Parkinson's disease (PD) tested on or off their medication. Sixteen PD patients and 17 healthy controls performed the conditional stop-signal reaction time (SSRT) task, which requires inhibition of responses when a stop signal is presented on \"critical\" trials. Additionally, on \"non-critical\" trials, participants are instructed to ignore the stop signal and respond, thus generating conflict between motor inhibition and initiation; and conflict-induced slowing (CIS) on these \"non-critical\" trials. Levodopa medication did not significantly influence response initiation, inhibition (SSRT) or the measure of conflict resolution (CIS). Compared to healthy controls, PD patients showed significantly worse response initiation and inhibition both on and off their levodopa medication. Our results suggest that motor inhibition or conflict-induced slowing on the conditional stop-signal RT task are not altered by dopamine replacement in PD. This conclusion is consistent with evidence from animal studies and clinical pharmacological investigations suggesting a role for noradrenaline in motor inhibition and impulsivity.", "author" : [ { "dropping-particle" : "", "family" : "Obeso", "given" : "Ignacio", "non-dropping-particle" : "", "parse-names" : false, "suffix" : "" }, { "dropping-particle" : "", "family" : "Wilkinson", "given" : "Leonora", "non-dropping-particle" : "", "parse-names" : false, "suffix" : "" }, { "dropping-particle" : "", "family" : "Jahanshahi", "given" : "Marjan", "non-dropping-particle" : "", "parse-names" : false, "suffix" : "" } ], "container-title" : "Experimental Brain Research", "id" : "ITEM-1", "issue" : "4", "issued" : { "date-parts" : [ [ "2011" ] ] }, "page" : "435-445", "title" : "Levodopa medication does not influence motor inhibition or conflict resolution in a conditional stop-signal task in Parkinson's disease", "type" : "article-journal", "volume" : "213" }, "uris" : [ "http://www.mendeley.com/documents/?uuid=9d85d096-3a3e-4b5f-a9c0-552a7ce2b40d" ] } ], "mendeley" : { "formattedCitation" : "&lt;sup&gt;6&lt;/sup&gt;", "plainTextFormattedCitation" : "6", "previouslyFormattedCitation" : "&lt;sup&gt;5&lt;/sup&gt;" }, "properties" : { "noteIndex" : 0 }, "schema" : "https://github.com/citation-style-language/schema/raw/master/csl-citation.json" }</w:instrText>
            </w:r>
            <w:r>
              <w:fldChar w:fldCharType="separate"/>
            </w:r>
            <w:r w:rsidRPr="00807210">
              <w:rPr>
                <w:rFonts w:ascii="Times New Roman" w:eastAsia="Times New Roman" w:hAnsi="Times New Roman" w:cs="Times New Roman"/>
                <w:noProof/>
                <w:color w:val="000000"/>
                <w:sz w:val="20"/>
                <w:szCs w:val="20"/>
                <w:vertAlign w:val="superscript"/>
              </w:rPr>
              <w:t>6</w:t>
            </w:r>
            <w:r>
              <w:fldChar w:fldCharType="end"/>
            </w:r>
          </w:p>
        </w:tc>
        <w:tc>
          <w:tcPr>
            <w:tcW w:w="766" w:type="dxa"/>
            <w:gridSpan w:val="2"/>
            <w:tcBorders>
              <w:top w:val="single" w:sz="4" w:space="0" w:color="00000A"/>
              <w:bottom w:val="single" w:sz="4" w:space="0" w:color="00000A"/>
            </w:tcBorders>
            <w:shd w:val="clear" w:color="auto" w:fill="auto"/>
            <w:vAlign w:val="bottom"/>
          </w:tcPr>
          <w:p w14:paraId="3614FB1E"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69.4</w:t>
            </w:r>
          </w:p>
        </w:tc>
        <w:tc>
          <w:tcPr>
            <w:tcW w:w="940" w:type="dxa"/>
            <w:tcBorders>
              <w:top w:val="single" w:sz="4" w:space="0" w:color="00000A"/>
              <w:bottom w:val="single" w:sz="4" w:space="0" w:color="00000A"/>
            </w:tcBorders>
            <w:shd w:val="clear" w:color="auto" w:fill="auto"/>
            <w:vAlign w:val="bottom"/>
          </w:tcPr>
          <w:p w14:paraId="5DF278D3"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w:t>
            </w:r>
          </w:p>
        </w:tc>
        <w:tc>
          <w:tcPr>
            <w:tcW w:w="884" w:type="dxa"/>
            <w:tcBorders>
              <w:top w:val="single" w:sz="4" w:space="0" w:color="00000A"/>
              <w:bottom w:val="single" w:sz="4" w:space="0" w:color="00000A"/>
            </w:tcBorders>
            <w:shd w:val="clear" w:color="auto" w:fill="auto"/>
            <w:vAlign w:val="bottom"/>
          </w:tcPr>
          <w:p w14:paraId="3A122912"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16.25</w:t>
            </w:r>
          </w:p>
        </w:tc>
        <w:tc>
          <w:tcPr>
            <w:tcW w:w="946" w:type="dxa"/>
            <w:tcBorders>
              <w:top w:val="single" w:sz="4" w:space="0" w:color="00000A"/>
              <w:bottom w:val="single" w:sz="4" w:space="0" w:color="00000A"/>
            </w:tcBorders>
            <w:shd w:val="clear" w:color="auto" w:fill="auto"/>
            <w:vAlign w:val="bottom"/>
          </w:tcPr>
          <w:p w14:paraId="65BE5906"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30.71</w:t>
            </w:r>
          </w:p>
        </w:tc>
        <w:tc>
          <w:tcPr>
            <w:tcW w:w="772" w:type="dxa"/>
            <w:tcBorders>
              <w:top w:val="single" w:sz="4" w:space="0" w:color="00000A"/>
              <w:bottom w:val="single" w:sz="4" w:space="0" w:color="00000A"/>
            </w:tcBorders>
            <w:shd w:val="clear" w:color="auto" w:fill="auto"/>
            <w:vAlign w:val="bottom"/>
          </w:tcPr>
          <w:p w14:paraId="526A31F1"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915.94</w:t>
            </w:r>
          </w:p>
        </w:tc>
        <w:tc>
          <w:tcPr>
            <w:tcW w:w="839" w:type="dxa"/>
            <w:tcBorders>
              <w:top w:val="single" w:sz="4" w:space="0" w:color="00000A"/>
              <w:bottom w:val="single" w:sz="4" w:space="0" w:color="00000A"/>
            </w:tcBorders>
            <w:shd w:val="clear" w:color="auto" w:fill="auto"/>
            <w:vAlign w:val="bottom"/>
          </w:tcPr>
          <w:p w14:paraId="4F0AC091"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28.11</w:t>
            </w:r>
          </w:p>
        </w:tc>
        <w:tc>
          <w:tcPr>
            <w:tcW w:w="972" w:type="dxa"/>
            <w:tcBorders>
              <w:top w:val="single" w:sz="4" w:space="0" w:color="00000A"/>
              <w:bottom w:val="single" w:sz="4" w:space="0" w:color="00000A"/>
            </w:tcBorders>
            <w:shd w:val="clear" w:color="auto" w:fill="auto"/>
            <w:vAlign w:val="bottom"/>
          </w:tcPr>
          <w:p w14:paraId="6A8A6898"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r>
      <w:tr w:rsidR="00807210" w14:paraId="1832B776" w14:textId="77777777" w:rsidTr="00807210">
        <w:trPr>
          <w:trHeight w:val="330"/>
        </w:trPr>
        <w:tc>
          <w:tcPr>
            <w:tcW w:w="1819" w:type="dxa"/>
            <w:tcBorders>
              <w:top w:val="single" w:sz="4" w:space="0" w:color="00000A"/>
              <w:bottom w:val="single" w:sz="4" w:space="0" w:color="00000A"/>
            </w:tcBorders>
            <w:shd w:val="clear" w:color="auto" w:fill="auto"/>
            <w:vAlign w:val="center"/>
          </w:tcPr>
          <w:p w14:paraId="31093737" w14:textId="77777777" w:rsidR="003D10AC" w:rsidRDefault="008072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Brusa, 2003</w:t>
            </w:r>
          </w:p>
        </w:tc>
        <w:tc>
          <w:tcPr>
            <w:tcW w:w="1422" w:type="dxa"/>
            <w:tcBorders>
              <w:top w:val="single" w:sz="4" w:space="0" w:color="00000A"/>
              <w:bottom w:val="single" w:sz="4" w:space="0" w:color="00000A"/>
            </w:tcBorders>
            <w:shd w:val="clear" w:color="auto" w:fill="auto"/>
            <w:vAlign w:val="center"/>
          </w:tcPr>
          <w:p w14:paraId="4997F885" w14:textId="77777777" w:rsidR="003D10AC" w:rsidRDefault="00807210" w:rsidP="00807210">
            <w:r>
              <w:rPr>
                <w:rFonts w:ascii="Times New Roman" w:eastAsia="Times New Roman" w:hAnsi="Times New Roman" w:cs="Times New Roman"/>
                <w:color w:val="000000"/>
                <w:sz w:val="20"/>
                <w:szCs w:val="20"/>
              </w:rPr>
              <w:t>Stroop</w:t>
            </w:r>
            <w:r>
              <w:fldChar w:fldCharType="begin" w:fldLock="1"/>
            </w:r>
            <w:r>
              <w:instrText>ADDIN CSL_CITATION { "citationItems" : [ { "id" : "ITEM-1", "itemData" : { "DOI" : "10.1007/s00702-002-0811-7", "ISBN" : "0070200208117", "ISSN" : "03009564", "PMID" : "12658365", "abstract" : "Twenty right-handed patients affected by early/mild Parkinson's disease were evaluated in a randomised study using neuropsychological and clinical assessements during three treatment modalities: when in the off treatment condition, when on pramipexole, and when on 1-dopa. In comparison to the off treatment condition, the DA-agonist pramipexole produced a significant impairment of short term verbal memory, attentional-executive functions and verbal fluency, while 1-dopa did not. Moreover, pramipexole opposite to 1-dopa, failed to improve FAS and Stroop tests. Present findings indicate that pramipexole may worsen cognitive functions although not exceeding normative values.", "author" : [ { "dropping-particle" : "", "family" : "Brusa", "given" : "L.", "non-dropping-particle" : "", "parse-names" : false, "suffix" : "" }, { "dropping-particle" : "", "family" : "Bassi", "given" : "A.", "non-dropping-particle" : "", "parse-names" : false, "suffix" : "" }, { "dropping-particle" : "", "family" : "Stefani", "given" : "A.", "non-dropping-particle" : "", "parse-names" : false, "suffix" : "" }, { "dropping-particle" : "", "family" : "Pierantozzi", "given" : "M.", "non-dropping-particle" : "", "parse-names" : false, "suffix" : "" }, { "dropping-particle" : "", "family" : "Peppe", "given" : "A.", "non-dropping-particle" : "", "parse-names" : false, "suffix" : "" }, { "dropping-particle" : "", "family" : "Caramia", "given" : "M. D.", "non-dropping-particle" : "", "parse-names" : false, "suffix" : "" }, { "dropping-particle" : "", "family" : "Boffa", "given" : "L.", "non-dropping-particle" : "", "parse-names" : false, "suffix" : "" }, { "dropping-particle" : "", "family" : "Ruggieri", "given" : "S.", "non-dropping-particle" : "", "parse-names" : false, "suffix" : "" }, { "dropping-particle" : "", "family" : "Stanzione", "given" : "P.", "non-dropping-particle" : "", "parse-names" : false, "suffix" : "" } ], "container-title" : "Journal of Neural Transmission", "id" : "ITEM-1", "issue" : "4", "issued" : { "date-parts" : [ [ "2003" ] ] }, "page" : "373-380", "title" : "Pramipexole in comparison to 1-dopa: A neuropsychological study", "type" : "article-journal", "volume" : "110" }, "uris" : [ "http://www.mendeley.com/documents/?uuid=e209a3f2-45fa-4acb-91e0-858b72a521d1" ] } ], "mendeley" : { "formattedCitation" : "&lt;sup&gt;7&lt;/sup&gt;", "plainTextFormattedCitation" : "7", "previouslyFormattedCitation" : "&lt;sup&gt;6&lt;/sup&gt;" }, "properties" : { "noteIndex" : 0 }, "schema" : "https://github.com/citation-style-language/schema/raw/master/csl-citation.json" }</w:instrText>
            </w:r>
            <w:r>
              <w:fldChar w:fldCharType="separate"/>
            </w:r>
            <w:r w:rsidRPr="00807210">
              <w:rPr>
                <w:rFonts w:ascii="Times New Roman" w:eastAsia="Times New Roman" w:hAnsi="Times New Roman" w:cs="Times New Roman"/>
                <w:noProof/>
                <w:color w:val="000000"/>
                <w:sz w:val="20"/>
                <w:szCs w:val="20"/>
                <w:vertAlign w:val="superscript"/>
              </w:rPr>
              <w:t>7</w:t>
            </w:r>
            <w:r>
              <w:fldChar w:fldCharType="end"/>
            </w:r>
          </w:p>
        </w:tc>
        <w:tc>
          <w:tcPr>
            <w:tcW w:w="766" w:type="dxa"/>
            <w:gridSpan w:val="2"/>
            <w:tcBorders>
              <w:top w:val="single" w:sz="4" w:space="0" w:color="00000A"/>
              <w:bottom w:val="single" w:sz="4" w:space="0" w:color="00000A"/>
            </w:tcBorders>
            <w:shd w:val="clear" w:color="auto" w:fill="auto"/>
            <w:vAlign w:val="bottom"/>
          </w:tcPr>
          <w:p w14:paraId="6625E15A"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57.0</w:t>
            </w:r>
          </w:p>
        </w:tc>
        <w:tc>
          <w:tcPr>
            <w:tcW w:w="940" w:type="dxa"/>
            <w:tcBorders>
              <w:top w:val="single" w:sz="4" w:space="0" w:color="00000A"/>
              <w:bottom w:val="single" w:sz="4" w:space="0" w:color="00000A"/>
            </w:tcBorders>
            <w:shd w:val="clear" w:color="auto" w:fill="auto"/>
            <w:vAlign w:val="bottom"/>
          </w:tcPr>
          <w:p w14:paraId="56432E22"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884" w:type="dxa"/>
            <w:tcBorders>
              <w:top w:val="single" w:sz="4" w:space="0" w:color="00000A"/>
              <w:bottom w:val="single" w:sz="4" w:space="0" w:color="00000A"/>
            </w:tcBorders>
            <w:shd w:val="clear" w:color="auto" w:fill="auto"/>
            <w:vAlign w:val="bottom"/>
          </w:tcPr>
          <w:p w14:paraId="6A4DB287"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19.45</w:t>
            </w:r>
          </w:p>
        </w:tc>
        <w:tc>
          <w:tcPr>
            <w:tcW w:w="946" w:type="dxa"/>
            <w:tcBorders>
              <w:top w:val="single" w:sz="4" w:space="0" w:color="00000A"/>
              <w:bottom w:val="single" w:sz="4" w:space="0" w:color="00000A"/>
            </w:tcBorders>
            <w:shd w:val="clear" w:color="auto" w:fill="auto"/>
            <w:vAlign w:val="bottom"/>
          </w:tcPr>
          <w:p w14:paraId="41C6DFA0"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29.34</w:t>
            </w:r>
          </w:p>
        </w:tc>
        <w:tc>
          <w:tcPr>
            <w:tcW w:w="772" w:type="dxa"/>
            <w:tcBorders>
              <w:top w:val="single" w:sz="4" w:space="0" w:color="00000A"/>
              <w:bottom w:val="single" w:sz="4" w:space="0" w:color="00000A"/>
            </w:tcBorders>
            <w:shd w:val="clear" w:color="auto" w:fill="auto"/>
            <w:vAlign w:val="bottom"/>
          </w:tcPr>
          <w:p w14:paraId="057DDD43"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c>
          <w:tcPr>
            <w:tcW w:w="839" w:type="dxa"/>
            <w:tcBorders>
              <w:top w:val="single" w:sz="4" w:space="0" w:color="00000A"/>
              <w:bottom w:val="single" w:sz="4" w:space="0" w:color="00000A"/>
            </w:tcBorders>
            <w:shd w:val="clear" w:color="auto" w:fill="auto"/>
            <w:vAlign w:val="bottom"/>
          </w:tcPr>
          <w:p w14:paraId="489E088A"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c>
          <w:tcPr>
            <w:tcW w:w="972" w:type="dxa"/>
            <w:tcBorders>
              <w:top w:val="single" w:sz="4" w:space="0" w:color="00000A"/>
              <w:bottom w:val="single" w:sz="4" w:space="0" w:color="00000A"/>
            </w:tcBorders>
            <w:shd w:val="clear" w:color="auto" w:fill="auto"/>
            <w:vAlign w:val="bottom"/>
          </w:tcPr>
          <w:p w14:paraId="71BA6E9F"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-0.46</w:t>
            </w:r>
          </w:p>
        </w:tc>
      </w:tr>
      <w:tr w:rsidR="00807210" w14:paraId="397ECFA1" w14:textId="77777777" w:rsidTr="00807210">
        <w:trPr>
          <w:trHeight w:val="330"/>
        </w:trPr>
        <w:tc>
          <w:tcPr>
            <w:tcW w:w="1819" w:type="dxa"/>
            <w:tcBorders>
              <w:top w:val="single" w:sz="4" w:space="0" w:color="00000A"/>
              <w:bottom w:val="single" w:sz="4" w:space="0" w:color="00000A"/>
            </w:tcBorders>
            <w:shd w:val="clear" w:color="auto" w:fill="auto"/>
            <w:vAlign w:val="center"/>
          </w:tcPr>
          <w:p w14:paraId="6CB4DA58" w14:textId="77777777" w:rsidR="003D10AC" w:rsidRDefault="008072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Costa, 2014</w:t>
            </w:r>
          </w:p>
        </w:tc>
        <w:tc>
          <w:tcPr>
            <w:tcW w:w="1422" w:type="dxa"/>
            <w:tcBorders>
              <w:top w:val="single" w:sz="4" w:space="0" w:color="00000A"/>
              <w:bottom w:val="single" w:sz="4" w:space="0" w:color="00000A"/>
            </w:tcBorders>
            <w:shd w:val="clear" w:color="auto" w:fill="auto"/>
            <w:vAlign w:val="center"/>
          </w:tcPr>
          <w:p w14:paraId="71294FD0" w14:textId="77777777" w:rsidR="003D10AC" w:rsidRDefault="00807210" w:rsidP="00807210">
            <w:r>
              <w:rPr>
                <w:rFonts w:ascii="Times New Roman" w:eastAsia="Times New Roman" w:hAnsi="Times New Roman" w:cs="Times New Roman"/>
                <w:color w:val="000000"/>
                <w:sz w:val="20"/>
                <w:szCs w:val="20"/>
              </w:rPr>
              <w:t>Stroop</w:t>
            </w:r>
            <w:r>
              <w:fldChar w:fldCharType="begin" w:fldLock="1"/>
            </w:r>
            <w:r>
              <w:instrText>ADDIN CSL_CITATION { "citationItems" : [ { "id" : "ITEM-1", "itemData" : { "DOI" : "10.1155/2014/260896", "ISBN" : "1875-8584 (Electronic)\r0953-4180 (Linking)", "ISSN" : "1875-8584", "PMID" : "24825952", "abstract" : "BACKGROUND: Previous data suggest that (i) dopamine modulates the ability to implement nonroutine schemata and update operations (flexibility processes) and that (ii) dopamine-related improvement may be related to baseline dopamine levels in target pathways (inverted U-shaped hypothesis).\\n\\nOBJECTIVE: To investigate above hypotheses in individuals with Parkinson's disease (PD).\\n\\nMETHODS: Twenty PD patients were administered tasks varying as to flexibility load in two treatment conditions: (i) \"off\" condition, about 18 hours after dopamine dose and (ii) \"on\" condition, after dopamine administration. PD patients were separated into two groups: low performers (i.e., performance on Digit Span Backward below the sample mean) and high performers (i.e., performance above the mean). Twenty healthy individuals performed the tasks in two sessions without taking drugs.\\n\\nRESULTS: Passing from the \"off\" to the \"on\" state, only low performer PD patients significantly improved their performance on high-flexibility measures (interference condition of the Stroop test; P &lt; 0.05); no significant effect was found on low-flexibility tasks.\\n\\nCONCLUSIONS: These findings document that high-flexibility processes are sensitive to dopamine neuromodulation in the early phases of PD. This is in line with the hypothesis that striatal dopamine pathways, affected early by PD, are precociously implicated in the expression of cognitive disorders in these individuals.", "author" : [ { "dropping-particle" : "", "family" : "Costa", "given" : "Alberto", "non-dropping-particle" : "", "parse-names" : false, "suffix" : "" }, { "dropping-particle" : "", "family" : "Peppe", "given" : "Antonella", "non-dropping-particle" : "", "parse-names" : false, "suffix" : "" }, { "dropping-particle" : "", "family" : "Mazz\u00f9", "given" : "Ilenia", "non-dropping-particle" : "", "parse-names" : false, "suffix" : "" }, { "dropping-particle" : "", "family" : "Longarzo", "given" : "Mariachiara", "non-dropping-particle" : "", "parse-names" : false, "suffix" : "" }, { "dropping-particle" : "", "family" : "Caltagirone", "given" : "Carlo", "non-dropping-particle" : "", "parse-names" : false, "suffix" : "" }, { "dropping-particle" : "", "family" : "Carlesimo", "given" : "Giovanni a", "non-dropping-particle" : "", "parse-names" : false, "suffix" : "" } ], "container-title" : "Behavioural neurology", "id" : "ITEM-1", "issued" : { "date-parts" : [ [ "2014" ] ] }, "page" : "260896", "title" : "Dopamine treatment and cognitive functioning in individuals with Parkinson's disease: the \"cognitive flexibility\" hypothesis seems to work.", "type" : "article-journal", "volume" : "2014" }, "uris" : [ "http://www.mendeley.com/documents/?uuid=25613d5e-fe12-403c-a710-c9ba841ef977" ] } ], "mendeley" : { "formattedCitation" : "&lt;sup&gt;8&lt;/sup&gt;", "plainTextFormattedCitation" : "8", "previouslyFormattedCitation" : "&lt;sup&gt;7&lt;/sup&gt;" }, "properties" : { "noteIndex" : 0 }, "schema" : "https://github.com/citation-style-language/schema/raw/master/csl-citation.json" }</w:instrText>
            </w:r>
            <w:r>
              <w:fldChar w:fldCharType="separate"/>
            </w:r>
            <w:r w:rsidRPr="00807210">
              <w:rPr>
                <w:rFonts w:ascii="Times New Roman" w:eastAsia="Times New Roman" w:hAnsi="Times New Roman" w:cs="Times New Roman"/>
                <w:noProof/>
                <w:color w:val="000000"/>
                <w:sz w:val="20"/>
                <w:szCs w:val="20"/>
                <w:vertAlign w:val="superscript"/>
              </w:rPr>
              <w:t>8</w:t>
            </w:r>
            <w:r>
              <w:fldChar w:fldCharType="end"/>
            </w:r>
          </w:p>
        </w:tc>
        <w:tc>
          <w:tcPr>
            <w:tcW w:w="766" w:type="dxa"/>
            <w:gridSpan w:val="2"/>
            <w:tcBorders>
              <w:top w:val="single" w:sz="4" w:space="0" w:color="00000A"/>
              <w:bottom w:val="single" w:sz="4" w:space="0" w:color="00000A"/>
            </w:tcBorders>
            <w:shd w:val="clear" w:color="auto" w:fill="auto"/>
            <w:vAlign w:val="bottom"/>
          </w:tcPr>
          <w:p w14:paraId="58E7C37D"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68.8</w:t>
            </w:r>
          </w:p>
        </w:tc>
        <w:tc>
          <w:tcPr>
            <w:tcW w:w="940" w:type="dxa"/>
            <w:tcBorders>
              <w:top w:val="single" w:sz="4" w:space="0" w:color="00000A"/>
              <w:bottom w:val="single" w:sz="4" w:space="0" w:color="00000A"/>
            </w:tcBorders>
            <w:shd w:val="clear" w:color="auto" w:fill="auto"/>
            <w:vAlign w:val="bottom"/>
          </w:tcPr>
          <w:p w14:paraId="4E438606"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2.43</w:t>
            </w:r>
          </w:p>
        </w:tc>
        <w:tc>
          <w:tcPr>
            <w:tcW w:w="884" w:type="dxa"/>
            <w:tcBorders>
              <w:top w:val="single" w:sz="4" w:space="0" w:color="00000A"/>
              <w:bottom w:val="single" w:sz="4" w:space="0" w:color="00000A"/>
            </w:tcBorders>
            <w:shd w:val="clear" w:color="auto" w:fill="auto"/>
            <w:vAlign w:val="bottom"/>
          </w:tcPr>
          <w:p w14:paraId="0F797870"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c>
          <w:tcPr>
            <w:tcW w:w="946" w:type="dxa"/>
            <w:tcBorders>
              <w:top w:val="single" w:sz="4" w:space="0" w:color="00000A"/>
              <w:bottom w:val="single" w:sz="4" w:space="0" w:color="00000A"/>
            </w:tcBorders>
            <w:shd w:val="clear" w:color="auto" w:fill="auto"/>
            <w:vAlign w:val="bottom"/>
          </w:tcPr>
          <w:p w14:paraId="420E1583"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w:t>
            </w:r>
          </w:p>
        </w:tc>
        <w:tc>
          <w:tcPr>
            <w:tcW w:w="772" w:type="dxa"/>
            <w:tcBorders>
              <w:top w:val="single" w:sz="4" w:space="0" w:color="00000A"/>
              <w:bottom w:val="single" w:sz="4" w:space="0" w:color="00000A"/>
            </w:tcBorders>
            <w:shd w:val="clear" w:color="auto" w:fill="auto"/>
            <w:vAlign w:val="bottom"/>
          </w:tcPr>
          <w:p w14:paraId="315C1E9A"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336</w:t>
            </w:r>
          </w:p>
        </w:tc>
        <w:tc>
          <w:tcPr>
            <w:tcW w:w="839" w:type="dxa"/>
            <w:tcBorders>
              <w:top w:val="single" w:sz="4" w:space="0" w:color="00000A"/>
              <w:bottom w:val="single" w:sz="4" w:space="0" w:color="00000A"/>
            </w:tcBorders>
            <w:shd w:val="clear" w:color="auto" w:fill="auto"/>
            <w:vAlign w:val="bottom"/>
          </w:tcPr>
          <w:p w14:paraId="360ED5E2"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27.6</w:t>
            </w:r>
          </w:p>
        </w:tc>
        <w:tc>
          <w:tcPr>
            <w:tcW w:w="972" w:type="dxa"/>
            <w:tcBorders>
              <w:top w:val="single" w:sz="4" w:space="0" w:color="00000A"/>
              <w:bottom w:val="single" w:sz="4" w:space="0" w:color="00000A"/>
            </w:tcBorders>
            <w:shd w:val="clear" w:color="auto" w:fill="auto"/>
            <w:vAlign w:val="bottom"/>
          </w:tcPr>
          <w:p w14:paraId="72301411"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-0.77</w:t>
            </w:r>
          </w:p>
        </w:tc>
      </w:tr>
      <w:tr w:rsidR="00807210" w14:paraId="7DEAE7C6" w14:textId="77777777" w:rsidTr="00807210">
        <w:trPr>
          <w:trHeight w:val="330"/>
        </w:trPr>
        <w:tc>
          <w:tcPr>
            <w:tcW w:w="1819" w:type="dxa"/>
            <w:tcBorders>
              <w:top w:val="single" w:sz="4" w:space="0" w:color="00000A"/>
              <w:bottom w:val="single" w:sz="4" w:space="0" w:color="00000A"/>
            </w:tcBorders>
            <w:shd w:val="clear" w:color="auto" w:fill="auto"/>
            <w:vAlign w:val="center"/>
          </w:tcPr>
          <w:p w14:paraId="50F02C47" w14:textId="77777777" w:rsidR="003D10AC" w:rsidRDefault="0080721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Fera, 2007</w:t>
            </w:r>
          </w:p>
        </w:tc>
        <w:tc>
          <w:tcPr>
            <w:tcW w:w="1422" w:type="dxa"/>
            <w:tcBorders>
              <w:top w:val="single" w:sz="4" w:space="0" w:color="00000A"/>
              <w:bottom w:val="single" w:sz="4" w:space="0" w:color="00000A"/>
            </w:tcBorders>
            <w:shd w:val="clear" w:color="auto" w:fill="auto"/>
            <w:vAlign w:val="center"/>
          </w:tcPr>
          <w:p w14:paraId="28DF8300" w14:textId="77777777" w:rsidR="003D10AC" w:rsidRDefault="00807210" w:rsidP="00807210">
            <w:r>
              <w:rPr>
                <w:rFonts w:ascii="Times New Roman" w:eastAsia="Times New Roman" w:hAnsi="Times New Roman" w:cs="Times New Roman"/>
                <w:color w:val="000000"/>
                <w:sz w:val="20"/>
                <w:szCs w:val="20"/>
              </w:rPr>
              <w:t>Stroop</w:t>
            </w:r>
            <w:r>
              <w:fldChar w:fldCharType="begin" w:fldLock="1"/>
            </w:r>
            <w:r>
              <w:instrText>ADDIN CSL_CITATION { "citationItems" : [ { "id" : "ITEM-1", "itemData" : { "DOI" : "10.1016/j.brainresbull.2007.05.009", "ISBN" : "0361-9230 (Print)\\r0361-9230 (Linking)", "ISSN" : "03619230", "PMID" : "17683792", "abstract" : "The dopaminergic modulation of prefrontal function in Parkinson's disease (PD) has been consistently demonstrated. There is evidence that the effects of pharmacological manipulations on cognitive performances are described by an \"Inverted-U\" shaped curve. Neuroimaging studies performed before and after an overnight withdrawal from therapy showed significant differences between drug states, but did not control for the relative impact of the long duration response to levodopa. Here we evaluate the brain response after a complete pharmacological washout by correlating dopaminergic-related changes of this response to changes in performance during cognitive interference. Twelve idiopathic PD patients were studied with functional MRI while performing a modified version of the Stroop task. Patients were scanned twice: (1) following a prolonged washout procedure (\"OFF\" state) and (2) 90-120 min after the administration of levodopa (\"ON\" state). Task-related changes of PD patients were compared to those of matched healthy controls. Healthy controls displayed prefrontal and parietal responses that were positively correlated with task accuracy. In the \"OFF\" state, PD patients showed significant responses in anterior cingulate and pre-supplementary motor area, which are hypothesized to operate at a higher level of basal dopaminergic modulation. Levodopa administration attenuated such responses and enhanced the response of prefrontal cortex (PFC), which was correlated with improved accuracy. Results demonstrate that the behavioral effects of pharmacological manipulations of the dopamine system are highly dependent on the baseline status of PFC. When a true hypodopaminergic state is induced in PD patients, cognitive interference might significantly benefit from the administration of levodopa via an enhanced PFC response. \u00a9 2007 Elsevier Inc. All rights reserved.", "author" : [ { "dropping-particle" : "", "family" : "Fera", "given" : "Francesco", "non-dropping-particle" : "", "parse-names" : false, "suffix" : "" }, { "dropping-particle" : "", "family" : "Nicoletti", "given" : "Giuseppe", "non-dropping-particle" : "", "parse-names" : false, "suffix" : "" }, { "dropping-particle" : "", "family" : "Cerasa", "given" : "Antonio", "non-dropping-particle" : "", "parse-names" : false, "suffix" : "" }, { "dropping-particle" : "", "family" : "Romeo", "given" : "Nelide", "non-dropping-particle" : "", "parse-names" : false, "suffix" : "" }, { "dropping-particle" : "", "family" : "Gallo", "given" : "Olivier", "non-dropping-particle" : "", "parse-names" : false, "suffix" : "" }, { "dropping-particle" : "", "family" : "Gioia", "given" : "Maria C.", "non-dropping-particle" : "", "parse-names" : false, "suffix" : "" }, { "dropping-particle" : "", "family" : "Arabia", "given" : "Gennarina", "non-dropping-particle" : "", "parse-names" : false, "suffix" : "" }, { "dropping-particle" : "", "family" : "Pugliese", "given" : "Pierfrancesco", "non-dropping-particle" : "", "parse-names" : false, "suffix" : "" }, { "dropping-particle" : "", "family" : "Zappia", "given" : "Mario", "non-dropping-particle" : "", "parse-names" : false, "suffix" : "" }, { "dropping-particle" : "", "family" : "Quattrone", "given" : "Aldo", "non-dropping-particle" : "", "parse-names" : false, "suffix" : "" } ], "container-title" : "Brain Research Bulletin", "id" : "ITEM-1", "issue" : "1-3", "issued" : { "date-parts" : [ [ "2007" ] ] }, "page" : "75-83", "title" : "Dopaminergic modulation of cognitive interference after pharmacological washout in Parkinson's disease", "type" : "article-journal", "volume" : "74" }, "uris" : [ "http://www.mendeley.com/documents/?uuid=86142891-b935-494e-b833-c6e2c2f2407b" ] } ], "mendeley" : { "formattedCitation" : "&lt;sup&gt;9&lt;/sup&gt;", "plainTextFormattedCitation" : "9", "previouslyFormattedCitation" : "&lt;sup&gt;8&lt;/sup&gt;" }, "properties" : { "noteIndex" : 0 }, "schema" : "https://github.com/citation-style-language/schema/raw/master/csl-citation.json" }</w:instrText>
            </w:r>
            <w:r>
              <w:fldChar w:fldCharType="separate"/>
            </w:r>
            <w:r w:rsidRPr="00807210">
              <w:rPr>
                <w:rFonts w:ascii="Times New Roman" w:eastAsia="Times New Roman" w:hAnsi="Times New Roman" w:cs="Times New Roman"/>
                <w:noProof/>
                <w:color w:val="000000"/>
                <w:sz w:val="20"/>
                <w:szCs w:val="20"/>
                <w:vertAlign w:val="superscript"/>
              </w:rPr>
              <w:t>9</w:t>
            </w:r>
            <w:r>
              <w:fldChar w:fldCharType="end"/>
            </w:r>
          </w:p>
        </w:tc>
        <w:tc>
          <w:tcPr>
            <w:tcW w:w="766" w:type="dxa"/>
            <w:gridSpan w:val="2"/>
            <w:tcBorders>
              <w:top w:val="single" w:sz="4" w:space="0" w:color="00000A"/>
              <w:bottom w:val="single" w:sz="4" w:space="0" w:color="00000A"/>
            </w:tcBorders>
            <w:shd w:val="clear" w:color="auto" w:fill="auto"/>
            <w:vAlign w:val="bottom"/>
          </w:tcPr>
          <w:p w14:paraId="21B15D5C"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59.9</w:t>
            </w:r>
          </w:p>
        </w:tc>
        <w:tc>
          <w:tcPr>
            <w:tcW w:w="940" w:type="dxa"/>
            <w:tcBorders>
              <w:top w:val="single" w:sz="4" w:space="0" w:color="00000A"/>
              <w:bottom w:val="single" w:sz="4" w:space="0" w:color="00000A"/>
            </w:tcBorders>
            <w:shd w:val="clear" w:color="auto" w:fill="auto"/>
            <w:vAlign w:val="bottom"/>
          </w:tcPr>
          <w:p w14:paraId="2C575B67"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884" w:type="dxa"/>
            <w:tcBorders>
              <w:top w:val="single" w:sz="4" w:space="0" w:color="00000A"/>
              <w:bottom w:val="single" w:sz="4" w:space="0" w:color="00000A"/>
            </w:tcBorders>
            <w:shd w:val="clear" w:color="auto" w:fill="auto"/>
            <w:vAlign w:val="bottom"/>
          </w:tcPr>
          <w:p w14:paraId="2E5A551D"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p>
        </w:tc>
        <w:tc>
          <w:tcPr>
            <w:tcW w:w="946" w:type="dxa"/>
            <w:tcBorders>
              <w:top w:val="single" w:sz="4" w:space="0" w:color="00000A"/>
              <w:bottom w:val="single" w:sz="4" w:space="0" w:color="00000A"/>
            </w:tcBorders>
            <w:shd w:val="clear" w:color="auto" w:fill="auto"/>
            <w:vAlign w:val="bottom"/>
          </w:tcPr>
          <w:p w14:paraId="5A7FF314"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772" w:type="dxa"/>
            <w:tcBorders>
              <w:top w:val="single" w:sz="4" w:space="0" w:color="00000A"/>
              <w:bottom w:val="single" w:sz="4" w:space="0" w:color="00000A"/>
            </w:tcBorders>
            <w:shd w:val="clear" w:color="auto" w:fill="auto"/>
            <w:vAlign w:val="bottom"/>
          </w:tcPr>
          <w:p w14:paraId="799D3348"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488.6</w:t>
            </w:r>
          </w:p>
        </w:tc>
        <w:tc>
          <w:tcPr>
            <w:tcW w:w="839" w:type="dxa"/>
            <w:tcBorders>
              <w:top w:val="single" w:sz="4" w:space="0" w:color="00000A"/>
              <w:bottom w:val="single" w:sz="4" w:space="0" w:color="00000A"/>
            </w:tcBorders>
            <w:shd w:val="clear" w:color="auto" w:fill="auto"/>
            <w:vAlign w:val="bottom"/>
          </w:tcPr>
          <w:p w14:paraId="1EC55C60"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28.4</w:t>
            </w:r>
          </w:p>
        </w:tc>
        <w:tc>
          <w:tcPr>
            <w:tcW w:w="972" w:type="dxa"/>
            <w:tcBorders>
              <w:top w:val="single" w:sz="4" w:space="0" w:color="00000A"/>
              <w:bottom w:val="single" w:sz="4" w:space="0" w:color="00000A"/>
            </w:tcBorders>
            <w:shd w:val="clear" w:color="auto" w:fill="auto"/>
            <w:vAlign w:val="bottom"/>
          </w:tcPr>
          <w:p w14:paraId="1475953C" w14:textId="77777777" w:rsidR="003D10AC" w:rsidRDefault="0080721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-0.56</w:t>
            </w:r>
          </w:p>
        </w:tc>
      </w:tr>
      <w:tr w:rsidR="00807210" w14:paraId="560C89FA" w14:textId="77777777" w:rsidTr="00807210">
        <w:trPr>
          <w:trHeight w:val="330"/>
        </w:trPr>
        <w:tc>
          <w:tcPr>
            <w:tcW w:w="1819" w:type="dxa"/>
            <w:tcBorders>
              <w:top w:val="single" w:sz="4" w:space="0" w:color="00000A"/>
              <w:bottom w:val="single" w:sz="4" w:space="0" w:color="00000A"/>
            </w:tcBorders>
            <w:shd w:val="clear" w:color="auto" w:fill="auto"/>
            <w:vAlign w:val="center"/>
          </w:tcPr>
          <w:p w14:paraId="37CA93FC" w14:textId="77777777" w:rsidR="003D10AC" w:rsidRDefault="00807210">
            <w:pPr>
              <w:suppressAutoHyphens w:val="0"/>
              <w:rPr>
                <w:rFonts w:ascii="Times New Roman" w:hAnsi="Times New Roman" w:cs="Times New Roman"/>
                <w:color w:val="000000"/>
                <w:sz w:val="20"/>
                <w:szCs w:val="20"/>
              </w:rPr>
            </w:pPr>
            <w:r>
              <w:rPr>
                <w:rFonts w:ascii="Times New Roman" w:hAnsi="Times New Roman" w:cs="Times New Roman"/>
                <w:color w:val="000000"/>
                <w:sz w:val="20"/>
                <w:szCs w:val="20"/>
              </w:rPr>
              <w:t>Djamshidian, 2011</w:t>
            </w:r>
          </w:p>
        </w:tc>
        <w:tc>
          <w:tcPr>
            <w:tcW w:w="1422" w:type="dxa"/>
            <w:tcBorders>
              <w:top w:val="single" w:sz="4" w:space="0" w:color="00000A"/>
              <w:bottom w:val="single" w:sz="4" w:space="0" w:color="00000A"/>
            </w:tcBorders>
            <w:shd w:val="clear" w:color="auto" w:fill="auto"/>
            <w:vAlign w:val="center"/>
          </w:tcPr>
          <w:p w14:paraId="719C0A87" w14:textId="77777777" w:rsidR="003D10AC" w:rsidRDefault="00807210" w:rsidP="00807210">
            <w:r>
              <w:rPr>
                <w:rFonts w:ascii="Times New Roman" w:hAnsi="Times New Roman" w:cs="Times New Roman"/>
                <w:color w:val="000000"/>
                <w:sz w:val="20"/>
                <w:szCs w:val="20"/>
              </w:rPr>
              <w:t>Stroop</w:t>
            </w:r>
            <w:r>
              <w:fldChar w:fldCharType="begin" w:fldLock="1"/>
            </w:r>
            <w:r>
              <w:instrText>ADDIN CSL_CITATION { "citationItems" : [ { "id" : "ITEM-1", "itemData" : { "DOI" : "10.1016/j.parkreldis.2010.12.014", "ISSN" : "13538020", "author" : [ { "dropping-particle" : "", "family" : "Djamshidian", "given" : "Atbin", "non-dropping-particle" : "", "parse-names" : false, "suffix" : "" }, { "dropping-particle" : "", "family" : "O\u2019Sullivan", "given" : "Sean S.", "non-dropping-particle" : "", "parse-names" : false, "suffix" : "" }, { "dropping-particle" : "", "family" : "Lees", "given" : "Andrew", "non-dropping-particle" : "", "parse-names" : false, "suffix" : "" }, { "dropping-particle" : "", "family" : "Averbeck", "given" : "Bruno B.", "non-dropping-particle" : "", "parse-names" : false, "suffix" : "" } ], "container-title" : "Parkinsonism &amp; Related Disorders", "id" : "ITEM-1", "issue" : "3", "issued" : { "date-parts" : [ [ "2011" ] ] }, "page" : "212-214", "publisher" : "Elsevier Ltd", "title" : "Stroop test performance in impulsive and non impulsive patients with Parkinson\u2019s disease", "type" : "article-journal", "volume" : "17" }, "uris" : [ "http://www.mendeley.com/documents/?uuid=a5d39a78-e96f-4c23-914b-d781c0f3df9f" ] } ], "mendeley" : { "formattedCitation" : "&lt;sup&gt;10&lt;/sup&gt;", "plainTextFormattedCitation" : "10", "previouslyFormattedCitation" : "&lt;sup&gt;9&lt;/sup&gt;" }, "properties" : { "noteIndex" : 0 }, "schema" : "https://github.com/citation-style-language/schema/raw/master/csl-citation.json" }</w:instrText>
            </w:r>
            <w:r>
              <w:fldChar w:fldCharType="separate"/>
            </w:r>
            <w:r w:rsidRPr="00807210">
              <w:rPr>
                <w:rFonts w:ascii="Times New Roman" w:hAnsi="Times New Roman" w:cs="Times New Roman"/>
                <w:noProof/>
                <w:color w:val="000000"/>
                <w:sz w:val="20"/>
                <w:szCs w:val="20"/>
                <w:vertAlign w:val="superscript"/>
              </w:rPr>
              <w:t>10</w:t>
            </w:r>
            <w:r>
              <w:fldChar w:fldCharType="end"/>
            </w:r>
          </w:p>
        </w:tc>
        <w:tc>
          <w:tcPr>
            <w:tcW w:w="766" w:type="dxa"/>
            <w:gridSpan w:val="2"/>
            <w:tcBorders>
              <w:top w:val="single" w:sz="4" w:space="0" w:color="00000A"/>
              <w:bottom w:val="single" w:sz="4" w:space="0" w:color="00000A"/>
            </w:tcBorders>
            <w:shd w:val="clear" w:color="auto" w:fill="auto"/>
            <w:vAlign w:val="bottom"/>
          </w:tcPr>
          <w:p w14:paraId="0A4CD109" w14:textId="77777777" w:rsidR="003D10AC" w:rsidRDefault="00807210">
            <w:pPr>
              <w:jc w:val="center"/>
              <w:rPr>
                <w:rFonts w:ascii="Times New Roman" w:hAnsi="Times New Roman" w:cs="Times New Roman"/>
                <w:color w:val="000000"/>
                <w:sz w:val="20"/>
                <w:szCs w:val="20"/>
              </w:rPr>
            </w:pPr>
            <w:r>
              <w:rPr>
                <w:rFonts w:ascii="Times New Roman" w:hAnsi="Times New Roman" w:cs="Times New Roman"/>
                <w:color w:val="000000"/>
                <w:sz w:val="20"/>
                <w:szCs w:val="20"/>
              </w:rPr>
              <w:t>64.2</w:t>
            </w:r>
          </w:p>
        </w:tc>
        <w:tc>
          <w:tcPr>
            <w:tcW w:w="940" w:type="dxa"/>
            <w:tcBorders>
              <w:top w:val="single" w:sz="4" w:space="0" w:color="00000A"/>
              <w:bottom w:val="single" w:sz="4" w:space="0" w:color="00000A"/>
            </w:tcBorders>
            <w:shd w:val="clear" w:color="auto" w:fill="auto"/>
            <w:vAlign w:val="bottom"/>
          </w:tcPr>
          <w:p w14:paraId="3FFC00A4" w14:textId="77777777" w:rsidR="003D10AC" w:rsidRDefault="00807210">
            <w:pPr>
              <w:jc w:val="center"/>
              <w:rPr>
                <w:rFonts w:ascii="Times New Roman" w:hAnsi="Times New Roman" w:cs="Times New Roman"/>
                <w:color w:val="000000"/>
                <w:sz w:val="20"/>
                <w:szCs w:val="20"/>
              </w:rPr>
            </w:pPr>
            <w:r>
              <w:rPr>
                <w:rFonts w:ascii="Times New Roman" w:hAnsi="Times New Roman" w:cs="Times New Roman"/>
                <w:color w:val="000000"/>
                <w:sz w:val="20"/>
                <w:szCs w:val="20"/>
              </w:rPr>
              <w:t>11.7</w:t>
            </w:r>
          </w:p>
        </w:tc>
        <w:tc>
          <w:tcPr>
            <w:tcW w:w="884" w:type="dxa"/>
            <w:tcBorders>
              <w:top w:val="single" w:sz="4" w:space="0" w:color="00000A"/>
              <w:bottom w:val="single" w:sz="4" w:space="0" w:color="00000A"/>
            </w:tcBorders>
            <w:shd w:val="clear" w:color="auto" w:fill="auto"/>
            <w:vAlign w:val="bottom"/>
          </w:tcPr>
          <w:p w14:paraId="41B15A29" w14:textId="77777777" w:rsidR="003D10AC" w:rsidRDefault="00807210">
            <w:pPr>
              <w:jc w:val="center"/>
              <w:rPr>
                <w:rFonts w:ascii="Times New Roman" w:hAnsi="Times New Roman" w:cs="Times New Roman"/>
                <w:color w:val="000000"/>
                <w:sz w:val="20"/>
                <w:szCs w:val="20"/>
              </w:rPr>
            </w:pPr>
            <w:r>
              <w:rPr>
                <w:rFonts w:ascii="Times New Roman" w:hAnsi="Times New Roman" w:cs="Times New Roman"/>
                <w:color w:val="000000"/>
                <w:sz w:val="20"/>
                <w:szCs w:val="20"/>
              </w:rPr>
              <w:t>14.4</w:t>
            </w:r>
          </w:p>
        </w:tc>
        <w:tc>
          <w:tcPr>
            <w:tcW w:w="946" w:type="dxa"/>
            <w:tcBorders>
              <w:top w:val="single" w:sz="4" w:space="0" w:color="00000A"/>
              <w:bottom w:val="single" w:sz="4" w:space="0" w:color="00000A"/>
            </w:tcBorders>
            <w:shd w:val="clear" w:color="auto" w:fill="auto"/>
            <w:vAlign w:val="bottom"/>
          </w:tcPr>
          <w:p w14:paraId="4BDCB4C7" w14:textId="77777777" w:rsidR="003D10AC" w:rsidRDefault="00807210">
            <w:pPr>
              <w:jc w:val="center"/>
              <w:rPr>
                <w:rFonts w:ascii="Times New Roman" w:hAnsi="Times New Roman" w:cs="Times New Roman"/>
                <w:color w:val="000000"/>
                <w:sz w:val="20"/>
                <w:szCs w:val="20"/>
              </w:rPr>
            </w:pPr>
            <w:r>
              <w:rPr>
                <w:rFonts w:ascii="Times New Roman" w:hAnsi="Times New Roman" w:cs="Times New Roman"/>
                <w:color w:val="000000"/>
                <w:sz w:val="20"/>
                <w:szCs w:val="20"/>
              </w:rPr>
              <w:t>26.8</w:t>
            </w:r>
          </w:p>
        </w:tc>
        <w:tc>
          <w:tcPr>
            <w:tcW w:w="772" w:type="dxa"/>
            <w:tcBorders>
              <w:top w:val="single" w:sz="4" w:space="0" w:color="00000A"/>
              <w:bottom w:val="single" w:sz="4" w:space="0" w:color="00000A"/>
            </w:tcBorders>
            <w:shd w:val="clear" w:color="auto" w:fill="auto"/>
            <w:vAlign w:val="bottom"/>
          </w:tcPr>
          <w:p w14:paraId="6D1026FC" w14:textId="77777777" w:rsidR="003D10AC" w:rsidRDefault="00807210">
            <w:pPr>
              <w:jc w:val="center"/>
              <w:rPr>
                <w:rFonts w:ascii="Times New Roman" w:hAnsi="Times New Roman" w:cs="Times New Roman"/>
                <w:color w:val="000000"/>
                <w:sz w:val="20"/>
                <w:szCs w:val="20"/>
              </w:rPr>
            </w:pPr>
            <w:r>
              <w:rPr>
                <w:rFonts w:ascii="Times New Roman" w:hAnsi="Times New Roman" w:cs="Times New Roman"/>
                <w:color w:val="000000"/>
                <w:sz w:val="20"/>
                <w:szCs w:val="20"/>
              </w:rPr>
              <w:t>821</w:t>
            </w:r>
          </w:p>
        </w:tc>
        <w:tc>
          <w:tcPr>
            <w:tcW w:w="839" w:type="dxa"/>
            <w:tcBorders>
              <w:top w:val="single" w:sz="4" w:space="0" w:color="00000A"/>
              <w:bottom w:val="single" w:sz="4" w:space="0" w:color="00000A"/>
            </w:tcBorders>
            <w:shd w:val="clear" w:color="auto" w:fill="auto"/>
            <w:vAlign w:val="bottom"/>
          </w:tcPr>
          <w:p w14:paraId="1FB47295" w14:textId="77777777" w:rsidR="003D10AC" w:rsidRDefault="00807210">
            <w:pPr>
              <w:jc w:val="center"/>
              <w:rPr>
                <w:rFonts w:ascii="Times New Roman" w:hAnsi="Times New Roman" w:cs="Times New Roman"/>
                <w:color w:val="000000"/>
                <w:sz w:val="20"/>
                <w:szCs w:val="20"/>
              </w:rPr>
            </w:pPr>
            <w:r>
              <w:rPr>
                <w:rFonts w:ascii="Times New Roman" w:hAnsi="Times New Roman" w:cs="Times New Roman"/>
                <w:color w:val="000000"/>
                <w:sz w:val="20"/>
                <w:szCs w:val="20"/>
              </w:rPr>
              <w:t>N/A</w:t>
            </w:r>
          </w:p>
        </w:tc>
        <w:tc>
          <w:tcPr>
            <w:tcW w:w="972" w:type="dxa"/>
            <w:tcBorders>
              <w:top w:val="single" w:sz="4" w:space="0" w:color="00000A"/>
              <w:bottom w:val="single" w:sz="4" w:space="0" w:color="00000A"/>
            </w:tcBorders>
            <w:shd w:val="clear" w:color="auto" w:fill="auto"/>
            <w:vAlign w:val="bottom"/>
          </w:tcPr>
          <w:p w14:paraId="689C7A4B" w14:textId="77777777" w:rsidR="003D10AC" w:rsidRDefault="0080721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w:t>
            </w:r>
          </w:p>
        </w:tc>
      </w:tr>
    </w:tbl>
    <w:p w14:paraId="3A1629E4" w14:textId="77777777" w:rsidR="003D10AC" w:rsidRDefault="003D10AC">
      <w:pPr>
        <w:spacing w:line="240" w:lineRule="auto"/>
      </w:pPr>
    </w:p>
    <w:p w14:paraId="7F51E325" w14:textId="77777777" w:rsidR="003D10AC" w:rsidRDefault="003D10AC">
      <w:pPr>
        <w:spacing w:line="240" w:lineRule="auto"/>
      </w:pPr>
    </w:p>
    <w:p w14:paraId="0384020C" w14:textId="77777777" w:rsidR="003D10AC" w:rsidRDefault="00807210">
      <w:pPr>
        <w:suppressAutoHyphens w:val="0"/>
        <w:rPr>
          <w:rFonts w:ascii="Times New Roman" w:hAnsi="Times New Roman" w:cs="Times New Roman"/>
          <w:sz w:val="24"/>
          <w:szCs w:val="24"/>
        </w:rPr>
      </w:pPr>
      <w:r>
        <w:br w:type="page"/>
      </w:r>
    </w:p>
    <w:p w14:paraId="7A4F46B8" w14:textId="77777777" w:rsidR="003D10AC" w:rsidRDefault="00807210">
      <w:pPr>
        <w:widowControl w:val="0"/>
        <w:spacing w:line="240" w:lineRule="auto"/>
        <w:ind w:left="640" w:hanging="640"/>
        <w:jc w:val="center"/>
        <w:rPr>
          <w:rFonts w:ascii="Times New Roman" w:hAnsi="Times New Roman" w:cs="Times New Roman"/>
          <w:sz w:val="24"/>
          <w:szCs w:val="24"/>
        </w:rPr>
      </w:pPr>
      <w:r>
        <w:rPr>
          <w:rFonts w:ascii="Times New Roman" w:hAnsi="Times New Roman" w:cs="Times New Roman"/>
          <w:sz w:val="24"/>
          <w:szCs w:val="24"/>
        </w:rPr>
        <w:lastRenderedPageBreak/>
        <w:t>Supplementary References</w:t>
      </w:r>
    </w:p>
    <w:p w14:paraId="4E59022B" w14:textId="77777777" w:rsidR="00807210" w:rsidRPr="00807210" w:rsidRDefault="00807210" w:rsidP="00807210">
      <w:pPr>
        <w:widowControl w:val="0"/>
        <w:autoSpaceDE w:val="0"/>
        <w:autoSpaceDN w:val="0"/>
        <w:adjustRightInd w:val="0"/>
        <w:spacing w:line="240" w:lineRule="auto"/>
        <w:ind w:left="640" w:hanging="640"/>
        <w:rPr>
          <w:rFonts w:ascii="Times New Roman" w:hAnsi="Times New Roman" w:cs="Times New Roman"/>
          <w:noProof/>
          <w:sz w:val="24"/>
          <w:szCs w:val="24"/>
        </w:rPr>
      </w:pPr>
      <w:r>
        <w:fldChar w:fldCharType="begin" w:fldLock="1"/>
      </w:r>
      <w:r>
        <w:instrText>ADDIN Mendeley Bibliography CSL_BIBLIOGRAPHY</w:instrText>
      </w:r>
      <w:r>
        <w:fldChar w:fldCharType="separate"/>
      </w:r>
      <w:bookmarkStart w:id="2" w:name="__Fieldmark__5705_1786654960"/>
      <w:r w:rsidRPr="00807210">
        <w:rPr>
          <w:rFonts w:ascii="Times New Roman" w:hAnsi="Times New Roman" w:cs="Times New Roman"/>
          <w:noProof/>
          <w:sz w:val="24"/>
          <w:szCs w:val="24"/>
        </w:rPr>
        <w:t>1.</w:t>
      </w:r>
      <w:r w:rsidRPr="00807210">
        <w:rPr>
          <w:rFonts w:ascii="Times New Roman" w:hAnsi="Times New Roman" w:cs="Times New Roman"/>
          <w:noProof/>
          <w:sz w:val="24"/>
          <w:szCs w:val="24"/>
        </w:rPr>
        <w:tab/>
        <w:t xml:space="preserve">Cameron, I. G. M. </w:t>
      </w:r>
      <w:r w:rsidRPr="00807210">
        <w:rPr>
          <w:rFonts w:ascii="Times New Roman" w:hAnsi="Times New Roman" w:cs="Times New Roman"/>
          <w:i/>
          <w:iCs/>
          <w:noProof/>
          <w:sz w:val="24"/>
          <w:szCs w:val="24"/>
        </w:rPr>
        <w:t>et al.</w:t>
      </w:r>
      <w:r w:rsidRPr="00807210">
        <w:rPr>
          <w:rFonts w:ascii="Times New Roman" w:hAnsi="Times New Roman" w:cs="Times New Roman"/>
          <w:noProof/>
          <w:sz w:val="24"/>
          <w:szCs w:val="24"/>
        </w:rPr>
        <w:t xml:space="preserve"> Impaired executive function signals in motor brain regions in Parkinson’s disease. </w:t>
      </w:r>
      <w:r w:rsidRPr="00807210">
        <w:rPr>
          <w:rFonts w:ascii="Times New Roman" w:hAnsi="Times New Roman" w:cs="Times New Roman"/>
          <w:i/>
          <w:iCs/>
          <w:noProof/>
          <w:sz w:val="24"/>
          <w:szCs w:val="24"/>
        </w:rPr>
        <w:t>NeuroImage</w:t>
      </w:r>
      <w:r w:rsidRPr="00807210">
        <w:rPr>
          <w:rFonts w:ascii="Times New Roman" w:hAnsi="Times New Roman" w:cs="Times New Roman"/>
          <w:noProof/>
          <w:sz w:val="24"/>
          <w:szCs w:val="24"/>
        </w:rPr>
        <w:t xml:space="preserve"> </w:t>
      </w:r>
      <w:r w:rsidRPr="00807210">
        <w:rPr>
          <w:rFonts w:ascii="Times New Roman" w:hAnsi="Times New Roman" w:cs="Times New Roman"/>
          <w:b/>
          <w:bCs/>
          <w:noProof/>
          <w:sz w:val="24"/>
          <w:szCs w:val="24"/>
        </w:rPr>
        <w:t>60,</w:t>
      </w:r>
      <w:r w:rsidRPr="00807210">
        <w:rPr>
          <w:rFonts w:ascii="Times New Roman" w:hAnsi="Times New Roman" w:cs="Times New Roman"/>
          <w:noProof/>
          <w:sz w:val="24"/>
          <w:szCs w:val="24"/>
        </w:rPr>
        <w:t xml:space="preserve"> 1156–70 (2012).</w:t>
      </w:r>
    </w:p>
    <w:p w14:paraId="47B5193E" w14:textId="77777777" w:rsidR="00807210" w:rsidRPr="00807210" w:rsidRDefault="00807210" w:rsidP="00807210">
      <w:pPr>
        <w:widowControl w:val="0"/>
        <w:autoSpaceDE w:val="0"/>
        <w:autoSpaceDN w:val="0"/>
        <w:adjustRightInd w:val="0"/>
        <w:spacing w:line="240" w:lineRule="auto"/>
        <w:ind w:left="640" w:hanging="640"/>
        <w:rPr>
          <w:rFonts w:ascii="Times New Roman" w:hAnsi="Times New Roman" w:cs="Times New Roman"/>
          <w:noProof/>
          <w:sz w:val="24"/>
          <w:szCs w:val="24"/>
        </w:rPr>
      </w:pPr>
      <w:r w:rsidRPr="00807210">
        <w:rPr>
          <w:rFonts w:ascii="Times New Roman" w:hAnsi="Times New Roman" w:cs="Times New Roman"/>
          <w:noProof/>
          <w:sz w:val="24"/>
          <w:szCs w:val="24"/>
        </w:rPr>
        <w:t>2.</w:t>
      </w:r>
      <w:r w:rsidRPr="00807210">
        <w:rPr>
          <w:rFonts w:ascii="Times New Roman" w:hAnsi="Times New Roman" w:cs="Times New Roman"/>
          <w:noProof/>
          <w:sz w:val="24"/>
          <w:szCs w:val="24"/>
        </w:rPr>
        <w:tab/>
        <w:t xml:space="preserve">Hood, A. J. </w:t>
      </w:r>
      <w:r w:rsidRPr="00807210">
        <w:rPr>
          <w:rFonts w:ascii="Times New Roman" w:hAnsi="Times New Roman" w:cs="Times New Roman"/>
          <w:i/>
          <w:iCs/>
          <w:noProof/>
          <w:sz w:val="24"/>
          <w:szCs w:val="24"/>
        </w:rPr>
        <w:t>et al.</w:t>
      </w:r>
      <w:r w:rsidRPr="00807210">
        <w:rPr>
          <w:rFonts w:ascii="Times New Roman" w:hAnsi="Times New Roman" w:cs="Times New Roman"/>
          <w:noProof/>
          <w:sz w:val="24"/>
          <w:szCs w:val="24"/>
        </w:rPr>
        <w:t xml:space="preserve"> Levodopa slows prosaccades and improves antisaccades: an eye movement study in Parkinson’s disease. </w:t>
      </w:r>
      <w:r w:rsidRPr="00807210">
        <w:rPr>
          <w:rFonts w:ascii="Times New Roman" w:hAnsi="Times New Roman" w:cs="Times New Roman"/>
          <w:i/>
          <w:iCs/>
          <w:noProof/>
          <w:sz w:val="24"/>
          <w:szCs w:val="24"/>
        </w:rPr>
        <w:t>Journal of Neurology, Neurosurgery &amp; Psychiatry</w:t>
      </w:r>
      <w:r w:rsidRPr="00807210">
        <w:rPr>
          <w:rFonts w:ascii="Times New Roman" w:hAnsi="Times New Roman" w:cs="Times New Roman"/>
          <w:noProof/>
          <w:sz w:val="24"/>
          <w:szCs w:val="24"/>
        </w:rPr>
        <w:t xml:space="preserve"> </w:t>
      </w:r>
      <w:r w:rsidRPr="00807210">
        <w:rPr>
          <w:rFonts w:ascii="Times New Roman" w:hAnsi="Times New Roman" w:cs="Times New Roman"/>
          <w:b/>
          <w:bCs/>
          <w:noProof/>
          <w:sz w:val="24"/>
          <w:szCs w:val="24"/>
        </w:rPr>
        <w:t>78,</w:t>
      </w:r>
      <w:r w:rsidRPr="00807210">
        <w:rPr>
          <w:rFonts w:ascii="Times New Roman" w:hAnsi="Times New Roman" w:cs="Times New Roman"/>
          <w:noProof/>
          <w:sz w:val="24"/>
          <w:szCs w:val="24"/>
        </w:rPr>
        <w:t xml:space="preserve"> 565–570 (2007).</w:t>
      </w:r>
    </w:p>
    <w:p w14:paraId="09962F67" w14:textId="77777777" w:rsidR="00807210" w:rsidRPr="00807210" w:rsidRDefault="00807210" w:rsidP="00807210">
      <w:pPr>
        <w:widowControl w:val="0"/>
        <w:autoSpaceDE w:val="0"/>
        <w:autoSpaceDN w:val="0"/>
        <w:adjustRightInd w:val="0"/>
        <w:spacing w:line="240" w:lineRule="auto"/>
        <w:ind w:left="640" w:hanging="640"/>
        <w:rPr>
          <w:rFonts w:ascii="Times New Roman" w:hAnsi="Times New Roman" w:cs="Times New Roman"/>
          <w:noProof/>
          <w:sz w:val="24"/>
          <w:szCs w:val="24"/>
        </w:rPr>
      </w:pPr>
      <w:r w:rsidRPr="00807210">
        <w:rPr>
          <w:rFonts w:ascii="Times New Roman" w:hAnsi="Times New Roman" w:cs="Times New Roman"/>
          <w:noProof/>
          <w:sz w:val="24"/>
          <w:szCs w:val="24"/>
        </w:rPr>
        <w:t>3.</w:t>
      </w:r>
      <w:r w:rsidRPr="00807210">
        <w:rPr>
          <w:rFonts w:ascii="Times New Roman" w:hAnsi="Times New Roman" w:cs="Times New Roman"/>
          <w:noProof/>
          <w:sz w:val="24"/>
          <w:szCs w:val="24"/>
        </w:rPr>
        <w:tab/>
        <w:t xml:space="preserve">van Wouwe, N. C. </w:t>
      </w:r>
      <w:r w:rsidRPr="00807210">
        <w:rPr>
          <w:rFonts w:ascii="Times New Roman" w:hAnsi="Times New Roman" w:cs="Times New Roman"/>
          <w:i/>
          <w:iCs/>
          <w:noProof/>
          <w:sz w:val="24"/>
          <w:szCs w:val="24"/>
        </w:rPr>
        <w:t>et al.</w:t>
      </w:r>
      <w:r w:rsidRPr="00807210">
        <w:rPr>
          <w:rFonts w:ascii="Times New Roman" w:hAnsi="Times New Roman" w:cs="Times New Roman"/>
          <w:noProof/>
          <w:sz w:val="24"/>
          <w:szCs w:val="24"/>
        </w:rPr>
        <w:t xml:space="preserve"> Dissociable Effects of Dopamine on the Initial Capture and the Reactive Inhibition of Impulsive Actions in Parkinson’s Disease. </w:t>
      </w:r>
      <w:r w:rsidRPr="00807210">
        <w:rPr>
          <w:rFonts w:ascii="Times New Roman" w:hAnsi="Times New Roman" w:cs="Times New Roman"/>
          <w:i/>
          <w:iCs/>
          <w:noProof/>
          <w:sz w:val="24"/>
          <w:szCs w:val="24"/>
        </w:rPr>
        <w:t>Journal of Cognitive Neuroscience</w:t>
      </w:r>
      <w:r w:rsidRPr="00807210">
        <w:rPr>
          <w:rFonts w:ascii="Times New Roman" w:hAnsi="Times New Roman" w:cs="Times New Roman"/>
          <w:noProof/>
          <w:sz w:val="24"/>
          <w:szCs w:val="24"/>
        </w:rPr>
        <w:t xml:space="preserve"> </w:t>
      </w:r>
      <w:r w:rsidRPr="00807210">
        <w:rPr>
          <w:rFonts w:ascii="Times New Roman" w:hAnsi="Times New Roman" w:cs="Times New Roman"/>
          <w:b/>
          <w:bCs/>
          <w:noProof/>
          <w:sz w:val="24"/>
          <w:szCs w:val="24"/>
        </w:rPr>
        <w:t>28,</w:t>
      </w:r>
      <w:r w:rsidRPr="00807210">
        <w:rPr>
          <w:rFonts w:ascii="Times New Roman" w:hAnsi="Times New Roman" w:cs="Times New Roman"/>
          <w:noProof/>
          <w:sz w:val="24"/>
          <w:szCs w:val="24"/>
        </w:rPr>
        <w:t xml:space="preserve"> 710–723 (2016).</w:t>
      </w:r>
    </w:p>
    <w:p w14:paraId="61A527A8" w14:textId="77777777" w:rsidR="00807210" w:rsidRPr="00807210" w:rsidRDefault="00807210" w:rsidP="00807210">
      <w:pPr>
        <w:widowControl w:val="0"/>
        <w:autoSpaceDE w:val="0"/>
        <w:autoSpaceDN w:val="0"/>
        <w:adjustRightInd w:val="0"/>
        <w:spacing w:line="240" w:lineRule="auto"/>
        <w:ind w:left="640" w:hanging="640"/>
        <w:rPr>
          <w:rFonts w:ascii="Times New Roman" w:hAnsi="Times New Roman" w:cs="Times New Roman"/>
          <w:noProof/>
          <w:sz w:val="24"/>
          <w:szCs w:val="24"/>
        </w:rPr>
      </w:pPr>
      <w:r w:rsidRPr="00807210">
        <w:rPr>
          <w:rFonts w:ascii="Times New Roman" w:hAnsi="Times New Roman" w:cs="Times New Roman"/>
          <w:noProof/>
          <w:sz w:val="24"/>
          <w:szCs w:val="24"/>
        </w:rPr>
        <w:t>4.</w:t>
      </w:r>
      <w:r w:rsidRPr="00807210">
        <w:rPr>
          <w:rFonts w:ascii="Times New Roman" w:hAnsi="Times New Roman" w:cs="Times New Roman"/>
          <w:noProof/>
          <w:sz w:val="24"/>
          <w:szCs w:val="24"/>
        </w:rPr>
        <w:tab/>
        <w:t xml:space="preserve">George, J. S. </w:t>
      </w:r>
      <w:r w:rsidRPr="00807210">
        <w:rPr>
          <w:rFonts w:ascii="Times New Roman" w:hAnsi="Times New Roman" w:cs="Times New Roman"/>
          <w:i/>
          <w:iCs/>
          <w:noProof/>
          <w:sz w:val="24"/>
          <w:szCs w:val="24"/>
        </w:rPr>
        <w:t>et al.</w:t>
      </w:r>
      <w:r w:rsidRPr="00807210">
        <w:rPr>
          <w:rFonts w:ascii="Times New Roman" w:hAnsi="Times New Roman" w:cs="Times New Roman"/>
          <w:noProof/>
          <w:sz w:val="24"/>
          <w:szCs w:val="24"/>
        </w:rPr>
        <w:t xml:space="preserve"> Dopaminergic therapy in Parkinson’s disease decreases cortical beta band coherence in the resting state and increases cortical beta band power during executive control. </w:t>
      </w:r>
      <w:r w:rsidRPr="00807210">
        <w:rPr>
          <w:rFonts w:ascii="Times New Roman" w:hAnsi="Times New Roman" w:cs="Times New Roman"/>
          <w:i/>
          <w:iCs/>
          <w:noProof/>
          <w:sz w:val="24"/>
          <w:szCs w:val="24"/>
        </w:rPr>
        <w:t>NeuroImage: Clinical</w:t>
      </w:r>
      <w:r w:rsidRPr="00807210">
        <w:rPr>
          <w:rFonts w:ascii="Times New Roman" w:hAnsi="Times New Roman" w:cs="Times New Roman"/>
          <w:noProof/>
          <w:sz w:val="24"/>
          <w:szCs w:val="24"/>
        </w:rPr>
        <w:t xml:space="preserve"> </w:t>
      </w:r>
      <w:r w:rsidRPr="00807210">
        <w:rPr>
          <w:rFonts w:ascii="Times New Roman" w:hAnsi="Times New Roman" w:cs="Times New Roman"/>
          <w:b/>
          <w:bCs/>
          <w:noProof/>
          <w:sz w:val="24"/>
          <w:szCs w:val="24"/>
        </w:rPr>
        <w:t>3,</w:t>
      </w:r>
      <w:r w:rsidRPr="00807210">
        <w:rPr>
          <w:rFonts w:ascii="Times New Roman" w:hAnsi="Times New Roman" w:cs="Times New Roman"/>
          <w:noProof/>
          <w:sz w:val="24"/>
          <w:szCs w:val="24"/>
        </w:rPr>
        <w:t xml:space="preserve"> 261–270 (2013).</w:t>
      </w:r>
    </w:p>
    <w:p w14:paraId="17EF3C70" w14:textId="77777777" w:rsidR="00807210" w:rsidRPr="00807210" w:rsidRDefault="00807210" w:rsidP="00807210">
      <w:pPr>
        <w:widowControl w:val="0"/>
        <w:autoSpaceDE w:val="0"/>
        <w:autoSpaceDN w:val="0"/>
        <w:adjustRightInd w:val="0"/>
        <w:spacing w:line="240" w:lineRule="auto"/>
        <w:ind w:left="640" w:hanging="640"/>
        <w:rPr>
          <w:rFonts w:ascii="Times New Roman" w:hAnsi="Times New Roman" w:cs="Times New Roman"/>
          <w:noProof/>
          <w:sz w:val="24"/>
          <w:szCs w:val="24"/>
        </w:rPr>
      </w:pPr>
      <w:r w:rsidRPr="00807210">
        <w:rPr>
          <w:rFonts w:ascii="Times New Roman" w:hAnsi="Times New Roman" w:cs="Times New Roman"/>
          <w:noProof/>
          <w:sz w:val="24"/>
          <w:szCs w:val="24"/>
        </w:rPr>
        <w:t>5.</w:t>
      </w:r>
      <w:r w:rsidRPr="00807210">
        <w:rPr>
          <w:rFonts w:ascii="Times New Roman" w:hAnsi="Times New Roman" w:cs="Times New Roman"/>
          <w:noProof/>
          <w:sz w:val="24"/>
          <w:szCs w:val="24"/>
        </w:rPr>
        <w:tab/>
        <w:t xml:space="preserve">Manza, P. </w:t>
      </w:r>
      <w:r w:rsidRPr="00807210">
        <w:rPr>
          <w:rFonts w:ascii="Times New Roman" w:hAnsi="Times New Roman" w:cs="Times New Roman"/>
          <w:i/>
          <w:iCs/>
          <w:noProof/>
          <w:sz w:val="24"/>
          <w:szCs w:val="24"/>
        </w:rPr>
        <w:t>et al.</w:t>
      </w:r>
      <w:r w:rsidRPr="00807210">
        <w:rPr>
          <w:rFonts w:ascii="Times New Roman" w:hAnsi="Times New Roman" w:cs="Times New Roman"/>
          <w:noProof/>
          <w:sz w:val="24"/>
          <w:szCs w:val="24"/>
        </w:rPr>
        <w:t xml:space="preserve"> Levodopa restores response inhibition and neurobehavioral signatures of proactive control in Parkinson’s disease. </w:t>
      </w:r>
      <w:r w:rsidRPr="00807210">
        <w:rPr>
          <w:rFonts w:ascii="Times New Roman" w:hAnsi="Times New Roman" w:cs="Times New Roman"/>
          <w:i/>
          <w:iCs/>
          <w:noProof/>
          <w:sz w:val="24"/>
          <w:szCs w:val="24"/>
        </w:rPr>
        <w:t>Under Review</w:t>
      </w:r>
    </w:p>
    <w:p w14:paraId="4FEE5773" w14:textId="77777777" w:rsidR="00807210" w:rsidRPr="00807210" w:rsidRDefault="00807210" w:rsidP="00807210">
      <w:pPr>
        <w:widowControl w:val="0"/>
        <w:autoSpaceDE w:val="0"/>
        <w:autoSpaceDN w:val="0"/>
        <w:adjustRightInd w:val="0"/>
        <w:spacing w:line="240" w:lineRule="auto"/>
        <w:ind w:left="640" w:hanging="640"/>
        <w:rPr>
          <w:rFonts w:ascii="Times New Roman" w:hAnsi="Times New Roman" w:cs="Times New Roman"/>
          <w:noProof/>
          <w:sz w:val="24"/>
          <w:szCs w:val="24"/>
        </w:rPr>
      </w:pPr>
      <w:r w:rsidRPr="00807210">
        <w:rPr>
          <w:rFonts w:ascii="Times New Roman" w:hAnsi="Times New Roman" w:cs="Times New Roman"/>
          <w:noProof/>
          <w:sz w:val="24"/>
          <w:szCs w:val="24"/>
        </w:rPr>
        <w:t>6.</w:t>
      </w:r>
      <w:r w:rsidRPr="00807210">
        <w:rPr>
          <w:rFonts w:ascii="Times New Roman" w:hAnsi="Times New Roman" w:cs="Times New Roman"/>
          <w:noProof/>
          <w:sz w:val="24"/>
          <w:szCs w:val="24"/>
        </w:rPr>
        <w:tab/>
        <w:t xml:space="preserve">Obeso, I., Wilkinson, L. &amp; Jahanshahi, M. Levodopa medication does not influence motor inhibition or conflict resolution in a conditional stop-signal task in Parkinson’s disease. </w:t>
      </w:r>
      <w:r w:rsidRPr="00807210">
        <w:rPr>
          <w:rFonts w:ascii="Times New Roman" w:hAnsi="Times New Roman" w:cs="Times New Roman"/>
          <w:i/>
          <w:iCs/>
          <w:noProof/>
          <w:sz w:val="24"/>
          <w:szCs w:val="24"/>
        </w:rPr>
        <w:t>Experimental Brain Research</w:t>
      </w:r>
      <w:r w:rsidRPr="00807210">
        <w:rPr>
          <w:rFonts w:ascii="Times New Roman" w:hAnsi="Times New Roman" w:cs="Times New Roman"/>
          <w:noProof/>
          <w:sz w:val="24"/>
          <w:szCs w:val="24"/>
        </w:rPr>
        <w:t xml:space="preserve"> </w:t>
      </w:r>
      <w:r w:rsidRPr="00807210">
        <w:rPr>
          <w:rFonts w:ascii="Times New Roman" w:hAnsi="Times New Roman" w:cs="Times New Roman"/>
          <w:b/>
          <w:bCs/>
          <w:noProof/>
          <w:sz w:val="24"/>
          <w:szCs w:val="24"/>
        </w:rPr>
        <w:t>213,</w:t>
      </w:r>
      <w:r w:rsidRPr="00807210">
        <w:rPr>
          <w:rFonts w:ascii="Times New Roman" w:hAnsi="Times New Roman" w:cs="Times New Roman"/>
          <w:noProof/>
          <w:sz w:val="24"/>
          <w:szCs w:val="24"/>
        </w:rPr>
        <w:t xml:space="preserve"> 435–445 (2011).</w:t>
      </w:r>
    </w:p>
    <w:p w14:paraId="059DAA8D" w14:textId="77777777" w:rsidR="00807210" w:rsidRPr="00807210" w:rsidRDefault="00807210" w:rsidP="00807210">
      <w:pPr>
        <w:widowControl w:val="0"/>
        <w:autoSpaceDE w:val="0"/>
        <w:autoSpaceDN w:val="0"/>
        <w:adjustRightInd w:val="0"/>
        <w:spacing w:line="240" w:lineRule="auto"/>
        <w:ind w:left="640" w:hanging="640"/>
        <w:rPr>
          <w:rFonts w:ascii="Times New Roman" w:hAnsi="Times New Roman" w:cs="Times New Roman"/>
          <w:noProof/>
          <w:sz w:val="24"/>
          <w:szCs w:val="24"/>
        </w:rPr>
      </w:pPr>
      <w:r w:rsidRPr="00807210">
        <w:rPr>
          <w:rFonts w:ascii="Times New Roman" w:hAnsi="Times New Roman" w:cs="Times New Roman"/>
          <w:noProof/>
          <w:sz w:val="24"/>
          <w:szCs w:val="24"/>
        </w:rPr>
        <w:t>7.</w:t>
      </w:r>
      <w:r w:rsidRPr="00807210">
        <w:rPr>
          <w:rFonts w:ascii="Times New Roman" w:hAnsi="Times New Roman" w:cs="Times New Roman"/>
          <w:noProof/>
          <w:sz w:val="24"/>
          <w:szCs w:val="24"/>
        </w:rPr>
        <w:tab/>
        <w:t xml:space="preserve">Brusa, L. </w:t>
      </w:r>
      <w:r w:rsidRPr="00807210">
        <w:rPr>
          <w:rFonts w:ascii="Times New Roman" w:hAnsi="Times New Roman" w:cs="Times New Roman"/>
          <w:i/>
          <w:iCs/>
          <w:noProof/>
          <w:sz w:val="24"/>
          <w:szCs w:val="24"/>
        </w:rPr>
        <w:t>et al.</w:t>
      </w:r>
      <w:r w:rsidRPr="00807210">
        <w:rPr>
          <w:rFonts w:ascii="Times New Roman" w:hAnsi="Times New Roman" w:cs="Times New Roman"/>
          <w:noProof/>
          <w:sz w:val="24"/>
          <w:szCs w:val="24"/>
        </w:rPr>
        <w:t xml:space="preserve"> Pramipexole in comparison to 1-dopa: A neuropsychological study. </w:t>
      </w:r>
      <w:r w:rsidRPr="00807210">
        <w:rPr>
          <w:rFonts w:ascii="Times New Roman" w:hAnsi="Times New Roman" w:cs="Times New Roman"/>
          <w:i/>
          <w:iCs/>
          <w:noProof/>
          <w:sz w:val="24"/>
          <w:szCs w:val="24"/>
        </w:rPr>
        <w:t>Journal of Neural Transmission</w:t>
      </w:r>
      <w:r w:rsidRPr="00807210">
        <w:rPr>
          <w:rFonts w:ascii="Times New Roman" w:hAnsi="Times New Roman" w:cs="Times New Roman"/>
          <w:noProof/>
          <w:sz w:val="24"/>
          <w:szCs w:val="24"/>
        </w:rPr>
        <w:t xml:space="preserve"> </w:t>
      </w:r>
      <w:r w:rsidRPr="00807210">
        <w:rPr>
          <w:rFonts w:ascii="Times New Roman" w:hAnsi="Times New Roman" w:cs="Times New Roman"/>
          <w:b/>
          <w:bCs/>
          <w:noProof/>
          <w:sz w:val="24"/>
          <w:szCs w:val="24"/>
        </w:rPr>
        <w:t>110,</w:t>
      </w:r>
      <w:r w:rsidRPr="00807210">
        <w:rPr>
          <w:rFonts w:ascii="Times New Roman" w:hAnsi="Times New Roman" w:cs="Times New Roman"/>
          <w:noProof/>
          <w:sz w:val="24"/>
          <w:szCs w:val="24"/>
        </w:rPr>
        <w:t xml:space="preserve"> 373–380 (2003).</w:t>
      </w:r>
    </w:p>
    <w:p w14:paraId="0CA4998D" w14:textId="77777777" w:rsidR="00807210" w:rsidRPr="00807210" w:rsidRDefault="00807210" w:rsidP="00807210">
      <w:pPr>
        <w:widowControl w:val="0"/>
        <w:autoSpaceDE w:val="0"/>
        <w:autoSpaceDN w:val="0"/>
        <w:adjustRightInd w:val="0"/>
        <w:spacing w:line="240" w:lineRule="auto"/>
        <w:ind w:left="640" w:hanging="640"/>
        <w:rPr>
          <w:rFonts w:ascii="Times New Roman" w:hAnsi="Times New Roman" w:cs="Times New Roman"/>
          <w:noProof/>
          <w:sz w:val="24"/>
          <w:szCs w:val="24"/>
        </w:rPr>
      </w:pPr>
      <w:r w:rsidRPr="00807210">
        <w:rPr>
          <w:rFonts w:ascii="Times New Roman" w:hAnsi="Times New Roman" w:cs="Times New Roman"/>
          <w:noProof/>
          <w:sz w:val="24"/>
          <w:szCs w:val="24"/>
        </w:rPr>
        <w:t>8.</w:t>
      </w:r>
      <w:r w:rsidRPr="00807210">
        <w:rPr>
          <w:rFonts w:ascii="Times New Roman" w:hAnsi="Times New Roman" w:cs="Times New Roman"/>
          <w:noProof/>
          <w:sz w:val="24"/>
          <w:szCs w:val="24"/>
        </w:rPr>
        <w:tab/>
        <w:t xml:space="preserve">Costa, A. </w:t>
      </w:r>
      <w:r w:rsidRPr="00807210">
        <w:rPr>
          <w:rFonts w:ascii="Times New Roman" w:hAnsi="Times New Roman" w:cs="Times New Roman"/>
          <w:i/>
          <w:iCs/>
          <w:noProof/>
          <w:sz w:val="24"/>
          <w:szCs w:val="24"/>
        </w:rPr>
        <w:t>et al.</w:t>
      </w:r>
      <w:r w:rsidRPr="00807210">
        <w:rPr>
          <w:rFonts w:ascii="Times New Roman" w:hAnsi="Times New Roman" w:cs="Times New Roman"/>
          <w:noProof/>
          <w:sz w:val="24"/>
          <w:szCs w:val="24"/>
        </w:rPr>
        <w:t xml:space="preserve"> Dopamine treatment and cognitive functioning in individuals with Parkinson’s disease: the ‘cognitive flexibility’ hypothesis seems to work. </w:t>
      </w:r>
      <w:r w:rsidRPr="00807210">
        <w:rPr>
          <w:rFonts w:ascii="Times New Roman" w:hAnsi="Times New Roman" w:cs="Times New Roman"/>
          <w:i/>
          <w:iCs/>
          <w:noProof/>
          <w:sz w:val="24"/>
          <w:szCs w:val="24"/>
        </w:rPr>
        <w:t>Behavioural neurology</w:t>
      </w:r>
      <w:r w:rsidRPr="00807210">
        <w:rPr>
          <w:rFonts w:ascii="Times New Roman" w:hAnsi="Times New Roman" w:cs="Times New Roman"/>
          <w:noProof/>
          <w:sz w:val="24"/>
          <w:szCs w:val="24"/>
        </w:rPr>
        <w:t xml:space="preserve"> </w:t>
      </w:r>
      <w:r w:rsidRPr="00807210">
        <w:rPr>
          <w:rFonts w:ascii="Times New Roman" w:hAnsi="Times New Roman" w:cs="Times New Roman"/>
          <w:b/>
          <w:bCs/>
          <w:noProof/>
          <w:sz w:val="24"/>
          <w:szCs w:val="24"/>
        </w:rPr>
        <w:t>2014,</w:t>
      </w:r>
      <w:r w:rsidRPr="00807210">
        <w:rPr>
          <w:rFonts w:ascii="Times New Roman" w:hAnsi="Times New Roman" w:cs="Times New Roman"/>
          <w:noProof/>
          <w:sz w:val="24"/>
          <w:szCs w:val="24"/>
        </w:rPr>
        <w:t xml:space="preserve"> 260896 (2014).</w:t>
      </w:r>
    </w:p>
    <w:p w14:paraId="21A35DC9" w14:textId="77777777" w:rsidR="00807210" w:rsidRPr="00807210" w:rsidRDefault="00807210" w:rsidP="00807210">
      <w:pPr>
        <w:widowControl w:val="0"/>
        <w:autoSpaceDE w:val="0"/>
        <w:autoSpaceDN w:val="0"/>
        <w:adjustRightInd w:val="0"/>
        <w:spacing w:line="240" w:lineRule="auto"/>
        <w:ind w:left="640" w:hanging="640"/>
        <w:rPr>
          <w:rFonts w:ascii="Times New Roman" w:hAnsi="Times New Roman" w:cs="Times New Roman"/>
          <w:noProof/>
          <w:sz w:val="24"/>
          <w:szCs w:val="24"/>
        </w:rPr>
      </w:pPr>
      <w:r w:rsidRPr="00807210">
        <w:rPr>
          <w:rFonts w:ascii="Times New Roman" w:hAnsi="Times New Roman" w:cs="Times New Roman"/>
          <w:noProof/>
          <w:sz w:val="24"/>
          <w:szCs w:val="24"/>
        </w:rPr>
        <w:t>9.</w:t>
      </w:r>
      <w:r w:rsidRPr="00807210">
        <w:rPr>
          <w:rFonts w:ascii="Times New Roman" w:hAnsi="Times New Roman" w:cs="Times New Roman"/>
          <w:noProof/>
          <w:sz w:val="24"/>
          <w:szCs w:val="24"/>
        </w:rPr>
        <w:tab/>
        <w:t xml:space="preserve">Fera, F. </w:t>
      </w:r>
      <w:r w:rsidRPr="00807210">
        <w:rPr>
          <w:rFonts w:ascii="Times New Roman" w:hAnsi="Times New Roman" w:cs="Times New Roman"/>
          <w:i/>
          <w:iCs/>
          <w:noProof/>
          <w:sz w:val="24"/>
          <w:szCs w:val="24"/>
        </w:rPr>
        <w:t>et al.</w:t>
      </w:r>
      <w:r w:rsidRPr="00807210">
        <w:rPr>
          <w:rFonts w:ascii="Times New Roman" w:hAnsi="Times New Roman" w:cs="Times New Roman"/>
          <w:noProof/>
          <w:sz w:val="24"/>
          <w:szCs w:val="24"/>
        </w:rPr>
        <w:t xml:space="preserve"> Dopaminergic modulation of cognitive interference after pharmacological washout in Parkinson’s disease. </w:t>
      </w:r>
      <w:r w:rsidRPr="00807210">
        <w:rPr>
          <w:rFonts w:ascii="Times New Roman" w:hAnsi="Times New Roman" w:cs="Times New Roman"/>
          <w:i/>
          <w:iCs/>
          <w:noProof/>
          <w:sz w:val="24"/>
          <w:szCs w:val="24"/>
        </w:rPr>
        <w:t>Brain Research Bulletin</w:t>
      </w:r>
      <w:r w:rsidRPr="00807210">
        <w:rPr>
          <w:rFonts w:ascii="Times New Roman" w:hAnsi="Times New Roman" w:cs="Times New Roman"/>
          <w:noProof/>
          <w:sz w:val="24"/>
          <w:szCs w:val="24"/>
        </w:rPr>
        <w:t xml:space="preserve"> </w:t>
      </w:r>
      <w:r w:rsidRPr="00807210">
        <w:rPr>
          <w:rFonts w:ascii="Times New Roman" w:hAnsi="Times New Roman" w:cs="Times New Roman"/>
          <w:b/>
          <w:bCs/>
          <w:noProof/>
          <w:sz w:val="24"/>
          <w:szCs w:val="24"/>
        </w:rPr>
        <w:t>74,</w:t>
      </w:r>
      <w:r w:rsidRPr="00807210">
        <w:rPr>
          <w:rFonts w:ascii="Times New Roman" w:hAnsi="Times New Roman" w:cs="Times New Roman"/>
          <w:noProof/>
          <w:sz w:val="24"/>
          <w:szCs w:val="24"/>
        </w:rPr>
        <w:t xml:space="preserve"> 75–83 (2007).</w:t>
      </w:r>
    </w:p>
    <w:p w14:paraId="1351BE44" w14:textId="77777777" w:rsidR="00807210" w:rsidRPr="00807210" w:rsidRDefault="00807210" w:rsidP="00807210">
      <w:pPr>
        <w:widowControl w:val="0"/>
        <w:autoSpaceDE w:val="0"/>
        <w:autoSpaceDN w:val="0"/>
        <w:adjustRightInd w:val="0"/>
        <w:spacing w:line="240" w:lineRule="auto"/>
        <w:ind w:left="640" w:hanging="640"/>
        <w:rPr>
          <w:rFonts w:ascii="Times New Roman" w:hAnsi="Times New Roman" w:cs="Times New Roman"/>
          <w:noProof/>
          <w:sz w:val="24"/>
        </w:rPr>
      </w:pPr>
      <w:r w:rsidRPr="00807210">
        <w:rPr>
          <w:rFonts w:ascii="Times New Roman" w:hAnsi="Times New Roman" w:cs="Times New Roman"/>
          <w:noProof/>
          <w:sz w:val="24"/>
          <w:szCs w:val="24"/>
        </w:rPr>
        <w:t>10.</w:t>
      </w:r>
      <w:r w:rsidRPr="00807210">
        <w:rPr>
          <w:rFonts w:ascii="Times New Roman" w:hAnsi="Times New Roman" w:cs="Times New Roman"/>
          <w:noProof/>
          <w:sz w:val="24"/>
          <w:szCs w:val="24"/>
        </w:rPr>
        <w:tab/>
        <w:t xml:space="preserve">Djamshidian, A., O’Sullivan, S. S., Lees, A. &amp; Averbeck, B. B. Stroop test performance in impulsive and non impulsive patients with Parkinson’s disease. </w:t>
      </w:r>
      <w:r w:rsidRPr="00807210">
        <w:rPr>
          <w:rFonts w:ascii="Times New Roman" w:hAnsi="Times New Roman" w:cs="Times New Roman"/>
          <w:i/>
          <w:iCs/>
          <w:noProof/>
          <w:sz w:val="24"/>
          <w:szCs w:val="24"/>
        </w:rPr>
        <w:t>Parkinsonism &amp; Related Disorders</w:t>
      </w:r>
      <w:r w:rsidRPr="00807210">
        <w:rPr>
          <w:rFonts w:ascii="Times New Roman" w:hAnsi="Times New Roman" w:cs="Times New Roman"/>
          <w:noProof/>
          <w:sz w:val="24"/>
          <w:szCs w:val="24"/>
        </w:rPr>
        <w:t xml:space="preserve"> </w:t>
      </w:r>
      <w:r w:rsidRPr="00807210">
        <w:rPr>
          <w:rFonts w:ascii="Times New Roman" w:hAnsi="Times New Roman" w:cs="Times New Roman"/>
          <w:b/>
          <w:bCs/>
          <w:noProof/>
          <w:sz w:val="24"/>
          <w:szCs w:val="24"/>
        </w:rPr>
        <w:t>17,</w:t>
      </w:r>
      <w:r w:rsidRPr="00807210">
        <w:rPr>
          <w:rFonts w:ascii="Times New Roman" w:hAnsi="Times New Roman" w:cs="Times New Roman"/>
          <w:noProof/>
          <w:sz w:val="24"/>
          <w:szCs w:val="24"/>
        </w:rPr>
        <w:t xml:space="preserve"> 212–214 (2011).</w:t>
      </w:r>
    </w:p>
    <w:bookmarkEnd w:id="2"/>
    <w:p w14:paraId="41FCECCD" w14:textId="77777777" w:rsidR="003D10AC" w:rsidRPr="00807210" w:rsidRDefault="00807210" w:rsidP="00807210">
      <w:pPr>
        <w:widowControl w:val="0"/>
        <w:spacing w:line="240" w:lineRule="auto"/>
      </w:pPr>
      <w:r>
        <w:fldChar w:fldCharType="end"/>
      </w:r>
    </w:p>
    <w:p w14:paraId="1F1553DC" w14:textId="77777777" w:rsidR="003D10AC" w:rsidRDefault="003D10AC">
      <w:pPr>
        <w:spacing w:line="240" w:lineRule="auto"/>
      </w:pPr>
    </w:p>
    <w:sectPr w:rsidR="003D10AC">
      <w:pgSz w:w="12240" w:h="15840"/>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iberation Sans">
    <w:altName w:val="Arial"/>
    <w:charset w:val="01"/>
    <w:family w:val="swiss"/>
    <w:pitch w:val="variable"/>
  </w:font>
  <w:font w:name="AR PL New Sung">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0AC"/>
    <w:rsid w:val="003D10AC"/>
    <w:rsid w:val="00807210"/>
    <w:rsid w:val="00DD11F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F1714"/>
  <w15:docId w15:val="{6DB101C8-A523-4516-9270-D3FCAF4B6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A0F"/>
    <w:pPr>
      <w:suppressAutoHyphens/>
      <w:spacing w:after="160"/>
    </w:pPr>
    <w:rPr>
      <w:rFonts w:ascii="Calibri" w:eastAsia="Calibri" w:hAnsi="Calibri"/>
      <w:color w:val="00000A"/>
    </w:rPr>
  </w:style>
  <w:style w:type="paragraph" w:styleId="Heading1">
    <w:name w:val="heading 1"/>
    <w:basedOn w:val="Heading"/>
    <w:qFormat/>
    <w:pPr>
      <w:outlineLvl w:val="0"/>
    </w:pPr>
  </w:style>
  <w:style w:type="paragraph" w:styleId="Heading2">
    <w:name w:val="heading 2"/>
    <w:basedOn w:val="Heading"/>
    <w:qFormat/>
    <w:pPr>
      <w:outlineLvl w:val="1"/>
    </w:pPr>
  </w:style>
  <w:style w:type="paragraph" w:styleId="Heading3">
    <w:name w:val="heading 3"/>
    <w:basedOn w:val="Heading"/>
    <w:qFormat/>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qFormat/>
    <w:pPr>
      <w:keepNext/>
      <w:spacing w:before="240" w:after="120"/>
    </w:pPr>
    <w:rPr>
      <w:rFonts w:ascii="Liberation Sans" w:eastAsia="AR PL New Sung"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olor w:val="00000A"/>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072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210"/>
    <w:rPr>
      <w:rFonts w:ascii="Segoe UI" w:eastAsia="Calibri" w:hAnsi="Segoe UI" w:cs="Segoe UI"/>
      <w:color w:val="00000A"/>
      <w:sz w:val="18"/>
      <w:szCs w:val="18"/>
    </w:rPr>
  </w:style>
  <w:style w:type="paragraph" w:styleId="Revision">
    <w:name w:val="Revision"/>
    <w:hidden/>
    <w:uiPriority w:val="99"/>
    <w:semiHidden/>
    <w:rsid w:val="00807210"/>
    <w:pPr>
      <w:spacing w:line="240" w:lineRule="auto"/>
    </w:pPr>
    <w:rPr>
      <w:rFonts w:ascii="Calibri" w:eastAsia="Calibri" w:hAnsi="Calibri"/>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B9EFA-B76D-4508-8A42-13C40C29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5030</Words>
  <Characters>28674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dc:creator>
  <cp:lastModifiedBy>Pete</cp:lastModifiedBy>
  <cp:revision>3</cp:revision>
  <dcterms:created xsi:type="dcterms:W3CDTF">2017-06-07T03:02:00Z</dcterms:created>
  <dcterms:modified xsi:type="dcterms:W3CDTF">2017-06-07T23:44:00Z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endeley Citation Style_1">
    <vt:lpwstr>http://www.zotero.org/styles/nature</vt:lpwstr>
  </property>
  <property fmtid="{D5CDD505-2E9C-101B-9397-08002B2CF9AE}" pid="7" name="Mendeley Document_1">
    <vt:lpwstr>True</vt:lpwstr>
  </property>
  <property fmtid="{D5CDD505-2E9C-101B-9397-08002B2CF9AE}" pid="8" name="Mendeley Recent Style Id 0_1">
    <vt:lpwstr>http://www.zotero.org/styles/biomedical-journal</vt:lpwstr>
  </property>
  <property fmtid="{D5CDD505-2E9C-101B-9397-08002B2CF9AE}" pid="9" name="Mendeley Recent Style Id 1_1">
    <vt:lpwstr>http://www.zotero.org/styles/brain</vt:lpwstr>
  </property>
  <property fmtid="{D5CDD505-2E9C-101B-9397-08002B2CF9AE}" pid="10" name="Mendeley Recent Style Id 2_1">
    <vt:lpwstr>http://www.zotero.org/styles/chicago-author-date</vt:lpwstr>
  </property>
  <property fmtid="{D5CDD505-2E9C-101B-9397-08002B2CF9AE}" pid="11" name="Mendeley Recent Style Id 3_1">
    <vt:lpwstr>http://www.zotero.org/styles/frontiers-in-human-neuroscience</vt:lpwstr>
  </property>
  <property fmtid="{D5CDD505-2E9C-101B-9397-08002B2CF9AE}" pid="12" name="Mendeley Recent Style Id 4_1">
    <vt:lpwstr>http://www.zotero.org/styles/harvard1</vt:lpwstr>
  </property>
  <property fmtid="{D5CDD505-2E9C-101B-9397-08002B2CF9AE}" pid="13" name="Mendeley Recent Style Id 5_1">
    <vt:lpwstr>http://www.zotero.org/styles/human-brain-mapping</vt:lpwstr>
  </property>
  <property fmtid="{D5CDD505-2E9C-101B-9397-08002B2CF9AE}" pid="14" name="Mendeley Recent Style Id 6_1">
    <vt:lpwstr>http://www.zotero.org/styles/nature</vt:lpwstr>
  </property>
  <property fmtid="{D5CDD505-2E9C-101B-9397-08002B2CF9AE}" pid="15" name="Mendeley Recent Style Id 7_1">
    <vt:lpwstr>http://www.zotero.org/styles/neurobiology-of-aging</vt:lpwstr>
  </property>
  <property fmtid="{D5CDD505-2E9C-101B-9397-08002B2CF9AE}" pid="16" name="Mendeley Recent Style Id 8_1">
    <vt:lpwstr>http://www.zotero.org/styles/the-journal-of-neuroscience</vt:lpwstr>
  </property>
  <property fmtid="{D5CDD505-2E9C-101B-9397-08002B2CF9AE}" pid="17" name="Mendeley Recent Style Id 9_1">
    <vt:lpwstr>http://www.zotero.org/styles/vancouver-superscript</vt:lpwstr>
  </property>
  <property fmtid="{D5CDD505-2E9C-101B-9397-08002B2CF9AE}" pid="18" name="Mendeley Recent Style Name 0_1">
    <vt:lpwstr>Biomedical Journal</vt:lpwstr>
  </property>
  <property fmtid="{D5CDD505-2E9C-101B-9397-08002B2CF9AE}" pid="19" name="Mendeley Recent Style Name 1_1">
    <vt:lpwstr>Brain</vt:lpwstr>
  </property>
  <property fmtid="{D5CDD505-2E9C-101B-9397-08002B2CF9AE}" pid="20" name="Mendeley Recent Style Name 2_1">
    <vt:lpwstr>Chicago Manual of Style 16th edition (author-date)</vt:lpwstr>
  </property>
  <property fmtid="{D5CDD505-2E9C-101B-9397-08002B2CF9AE}" pid="21" name="Mendeley Recent Style Name 3_1">
    <vt:lpwstr>Frontiers in Human Neuroscience</vt:lpwstr>
  </property>
  <property fmtid="{D5CDD505-2E9C-101B-9397-08002B2CF9AE}" pid="22" name="Mendeley Recent Style Name 4_1">
    <vt:lpwstr>Harvard Reference format 1 (author-date)</vt:lpwstr>
  </property>
  <property fmtid="{D5CDD505-2E9C-101B-9397-08002B2CF9AE}" pid="23" name="Mendeley Recent Style Name 5_1">
    <vt:lpwstr>Human Brain Mapping</vt:lpwstr>
  </property>
  <property fmtid="{D5CDD505-2E9C-101B-9397-08002B2CF9AE}" pid="24" name="Mendeley Recent Style Name 6_1">
    <vt:lpwstr>Nature</vt:lpwstr>
  </property>
  <property fmtid="{D5CDD505-2E9C-101B-9397-08002B2CF9AE}" pid="25" name="Mendeley Recent Style Name 7_1">
    <vt:lpwstr>Neurobiology of Aging</vt:lpwstr>
  </property>
  <property fmtid="{D5CDD505-2E9C-101B-9397-08002B2CF9AE}" pid="26" name="Mendeley Recent Style Name 8_1">
    <vt:lpwstr>The Journal of Neuroscience</vt:lpwstr>
  </property>
  <property fmtid="{D5CDD505-2E9C-101B-9397-08002B2CF9AE}" pid="27" name="Mendeley Recent Style Name 9_1">
    <vt:lpwstr>Vancouver (superscript)</vt:lpwstr>
  </property>
  <property fmtid="{D5CDD505-2E9C-101B-9397-08002B2CF9AE}" pid="28" name="Mendeley Unique User Id_1">
    <vt:lpwstr>5fcda7fd-de62-380a-ae5f-634d6231d561</vt:lpwstr>
  </property>
  <property fmtid="{D5CDD505-2E9C-101B-9397-08002B2CF9AE}" pid="29" name="ScaleCrop">
    <vt:bool>false</vt:bool>
  </property>
  <property fmtid="{D5CDD505-2E9C-101B-9397-08002B2CF9AE}" pid="30" name="ShareDoc">
    <vt:bool>false</vt:bool>
  </property>
</Properties>
</file>