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C60" w:rsidRDefault="00C51C60">
      <w:pPr>
        <w:spacing w:after="160" w:line="259" w:lineRule="auto"/>
        <w:rPr>
          <w:rFonts w:ascii="Arial" w:hAnsi="Arial" w:cs="Arial"/>
          <w:sz w:val="36"/>
          <w:szCs w:val="36"/>
        </w:rPr>
      </w:pPr>
    </w:p>
    <w:p w:rsidR="00C51C60" w:rsidRDefault="00C51C60">
      <w:pPr>
        <w:spacing w:after="160" w:line="259" w:lineRule="auto"/>
        <w:rPr>
          <w:rFonts w:ascii="Arial" w:hAnsi="Arial" w:cs="Arial"/>
          <w:sz w:val="36"/>
          <w:szCs w:val="36"/>
        </w:rPr>
      </w:pPr>
    </w:p>
    <w:p w:rsidR="00C51C60" w:rsidRDefault="00C51C60">
      <w:pPr>
        <w:spacing w:after="160" w:line="259" w:lineRule="auto"/>
        <w:rPr>
          <w:rFonts w:ascii="Arial" w:hAnsi="Arial" w:cs="Arial"/>
          <w:sz w:val="36"/>
          <w:szCs w:val="36"/>
        </w:rPr>
      </w:pPr>
    </w:p>
    <w:p w:rsidR="00C51C60" w:rsidRDefault="00C51C60">
      <w:pPr>
        <w:spacing w:after="160" w:line="259" w:lineRule="auto"/>
        <w:rPr>
          <w:rFonts w:ascii="Arial" w:hAnsi="Arial" w:cs="Arial"/>
          <w:sz w:val="36"/>
          <w:szCs w:val="36"/>
        </w:rPr>
      </w:pPr>
    </w:p>
    <w:p w:rsidR="00C51C60" w:rsidRDefault="00C51C60">
      <w:pPr>
        <w:spacing w:after="160" w:line="259" w:lineRule="auto"/>
        <w:rPr>
          <w:rFonts w:ascii="Arial" w:hAnsi="Arial" w:cs="Arial"/>
          <w:sz w:val="36"/>
          <w:szCs w:val="36"/>
        </w:rPr>
      </w:pPr>
    </w:p>
    <w:p w:rsidR="00C51C60" w:rsidRDefault="00C51C60">
      <w:pPr>
        <w:spacing w:after="160" w:line="259" w:lineRule="auto"/>
        <w:rPr>
          <w:rFonts w:ascii="Arial" w:hAnsi="Arial" w:cs="Arial"/>
          <w:sz w:val="36"/>
          <w:szCs w:val="36"/>
        </w:rPr>
      </w:pPr>
    </w:p>
    <w:p w:rsidR="00C51C60" w:rsidRDefault="00C51C60">
      <w:pPr>
        <w:spacing w:after="160" w:line="259" w:lineRule="auto"/>
        <w:rPr>
          <w:rFonts w:ascii="Arial" w:hAnsi="Arial" w:cs="Arial"/>
          <w:sz w:val="36"/>
          <w:szCs w:val="36"/>
        </w:rPr>
      </w:pPr>
    </w:p>
    <w:p w:rsidR="00C51C60" w:rsidRDefault="00C51C60">
      <w:pPr>
        <w:spacing w:after="160" w:line="259" w:lineRule="auto"/>
        <w:rPr>
          <w:rFonts w:ascii="Arial" w:hAnsi="Arial" w:cs="Arial"/>
          <w:sz w:val="36"/>
          <w:szCs w:val="36"/>
        </w:rPr>
      </w:pPr>
    </w:p>
    <w:p w:rsidR="00C51C60" w:rsidRDefault="00C51C60">
      <w:pPr>
        <w:spacing w:after="160" w:line="259" w:lineRule="auto"/>
        <w:rPr>
          <w:rFonts w:ascii="Arial" w:hAnsi="Arial" w:cs="Arial"/>
          <w:sz w:val="36"/>
          <w:szCs w:val="36"/>
        </w:rPr>
      </w:pPr>
    </w:p>
    <w:p w:rsidR="00C51C60" w:rsidRPr="00C51C60" w:rsidRDefault="00C51C60">
      <w:pPr>
        <w:spacing w:after="160" w:line="259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                   </w:t>
      </w:r>
      <w:r w:rsidRPr="00C51C60">
        <w:rPr>
          <w:rFonts w:ascii="Arial" w:hAnsi="Arial" w:cs="Arial"/>
          <w:sz w:val="36"/>
          <w:szCs w:val="36"/>
        </w:rPr>
        <w:t>Supplementary Materials</w:t>
      </w:r>
      <w:r w:rsidRPr="00C51C60">
        <w:rPr>
          <w:rFonts w:ascii="Arial" w:hAnsi="Arial" w:cs="Arial"/>
          <w:sz w:val="36"/>
          <w:szCs w:val="36"/>
        </w:rPr>
        <w:br w:type="page"/>
      </w:r>
    </w:p>
    <w:p w:rsidR="00AE0497" w:rsidRDefault="00AE0497" w:rsidP="00AE0497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</w:p>
    <w:p w:rsidR="00AE0497" w:rsidRDefault="00AE0497" w:rsidP="00AE0497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</w:p>
    <w:p w:rsidR="00AE0497" w:rsidRDefault="00AE0497" w:rsidP="00AE0497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</w:p>
    <w:p w:rsidR="00AE0497" w:rsidRDefault="00AE0497" w:rsidP="00AE0497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</w:p>
    <w:p w:rsidR="00AE0497" w:rsidRDefault="00242A6D" w:rsidP="00AE0497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242A6D">
        <w:rPr>
          <w:rFonts w:ascii="Arial" w:hAnsi="Arial" w:cs="Arial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9FFBF1" wp14:editId="637E910B">
                <wp:simplePos x="0" y="0"/>
                <wp:positionH relativeFrom="column">
                  <wp:posOffset>201295</wp:posOffset>
                </wp:positionH>
                <wp:positionV relativeFrom="paragraph">
                  <wp:posOffset>841375</wp:posOffset>
                </wp:positionV>
                <wp:extent cx="237490" cy="0"/>
                <wp:effectExtent l="0" t="19050" r="29210" b="19050"/>
                <wp:wrapNone/>
                <wp:docPr id="12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749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7C30A6" id="Straight Connector 4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85pt,66.25pt" to="34.55pt,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" strokecolor="white [3212]" strokeweight="3pt">
                <v:stroke joinstyle="miter"/>
              </v:line>
            </w:pict>
          </mc:Fallback>
        </mc:AlternateContent>
      </w:r>
      <w:r w:rsidR="00A3605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917391" cy="3933825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 S1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46" r="14584"/>
                    <a:stretch/>
                  </pic:blipFill>
                  <pic:spPr bwMode="auto">
                    <a:xfrm>
                      <a:off x="0" y="0"/>
                      <a:ext cx="5919339" cy="3935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39AE" w:rsidRPr="00A36050" w:rsidRDefault="007739AE" w:rsidP="00C51C60">
      <w:pPr>
        <w:snapToGrid w:val="0"/>
        <w:spacing w:after="160" w:line="360" w:lineRule="auto"/>
        <w:contextualSpacing/>
        <w:jc w:val="both"/>
        <w:rPr>
          <w:rFonts w:ascii="Arial" w:hAnsi="Arial" w:cs="Arial"/>
          <w:sz w:val="24"/>
          <w:szCs w:val="24"/>
          <w:highlight w:val="yellow"/>
        </w:rPr>
      </w:pPr>
      <w:r w:rsidRPr="00AE0497">
        <w:rPr>
          <w:rFonts w:ascii="Arial" w:hAnsi="Arial" w:cs="Arial"/>
          <w:sz w:val="24"/>
          <w:szCs w:val="24"/>
        </w:rPr>
        <w:t xml:space="preserve">Supplementary Fig. 1: </w:t>
      </w:r>
      <w:r w:rsidRPr="00AE0497">
        <w:rPr>
          <w:rFonts w:ascii="Arial" w:hAnsi="Arial" w:cs="Arial"/>
          <w:b/>
          <w:sz w:val="24"/>
          <w:szCs w:val="24"/>
        </w:rPr>
        <w:t xml:space="preserve">LPS priming leads to NLRP3 upregulation in primary microglial cells. </w:t>
      </w:r>
      <w:r w:rsidRPr="00AE0497">
        <w:rPr>
          <w:rFonts w:ascii="Arial" w:hAnsi="Arial" w:cs="Arial"/>
          <w:sz w:val="24"/>
          <w:szCs w:val="24"/>
        </w:rPr>
        <w:t>ICC showing the upregulation of NLRP3 and co-localization with ASC after treatment with rotenone or tebufenpyrad for 2 h. The right-most panel is the representative 3D color plot.</w:t>
      </w:r>
      <w:r w:rsidR="00705336">
        <w:rPr>
          <w:rFonts w:ascii="Arial" w:hAnsi="Arial" w:cs="Arial"/>
          <w:sz w:val="24"/>
          <w:szCs w:val="24"/>
        </w:rPr>
        <w:t xml:space="preserve"> Scale bar, 20</w:t>
      </w:r>
      <w:r w:rsidR="00705336" w:rsidRPr="00705336">
        <w:rPr>
          <w:rFonts w:ascii="Arial" w:hAnsi="Arial" w:cs="Arial"/>
          <w:sz w:val="24"/>
          <w:szCs w:val="24"/>
        </w:rPr>
        <w:t> </w:t>
      </w:r>
      <w:proofErr w:type="spellStart"/>
      <w:r w:rsidR="00705336" w:rsidRPr="00705336">
        <w:rPr>
          <w:rFonts w:ascii="Arial" w:hAnsi="Arial" w:cs="Arial"/>
          <w:sz w:val="24"/>
          <w:szCs w:val="24"/>
        </w:rPr>
        <w:t>μm</w:t>
      </w:r>
      <w:proofErr w:type="spellEnd"/>
      <w:r w:rsidR="00705336">
        <w:rPr>
          <w:rFonts w:ascii="Arial" w:hAnsi="Arial" w:cs="Arial"/>
          <w:sz w:val="24"/>
          <w:szCs w:val="24"/>
        </w:rPr>
        <w:t>.</w:t>
      </w:r>
    </w:p>
    <w:p w:rsidR="00AE0497" w:rsidRDefault="00AE0497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AE0497" w:rsidRDefault="00AE0497" w:rsidP="00AE0497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:rsidR="00AE0497" w:rsidRDefault="00AE0497" w:rsidP="00AE0497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:rsidR="00AE0497" w:rsidRDefault="00AE0497" w:rsidP="00AE0497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:rsidR="00AE0497" w:rsidRDefault="00AE0497" w:rsidP="00AE0497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:rsidR="00AE0497" w:rsidRDefault="00AE0497" w:rsidP="00AE0497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:rsidR="00AE0497" w:rsidRDefault="00AE0497" w:rsidP="00AE0497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:rsidR="00AE0497" w:rsidRDefault="00AE0497" w:rsidP="00AE0497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:rsidR="00AE0497" w:rsidRDefault="00AE0497" w:rsidP="00AE0497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:rsidR="00AE0497" w:rsidRDefault="00AE0497" w:rsidP="00AE0497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:rsidR="00AE0497" w:rsidRDefault="00AE0497" w:rsidP="00AE0497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:rsidR="00AE0497" w:rsidRDefault="00AE0497" w:rsidP="00AE0497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:rsidR="00AE0497" w:rsidRDefault="00AE0497" w:rsidP="00AE0497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:rsidR="00AE0497" w:rsidRDefault="00AE0497" w:rsidP="00AE0497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:rsidR="007739AE" w:rsidRPr="00F82993" w:rsidRDefault="007739AE" w:rsidP="00AE0497">
      <w:pPr>
        <w:snapToGrid w:val="0"/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F0AD1">
        <w:rPr>
          <w:rFonts w:ascii="Arial" w:hAnsi="Arial" w:cs="Arial"/>
          <w:sz w:val="24"/>
          <w:szCs w:val="24"/>
        </w:rPr>
        <w:t>Supplement</w:t>
      </w:r>
      <w:r w:rsidR="00AE049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column">
              <wp:posOffset>1419225</wp:posOffset>
            </wp:positionH>
            <wp:positionV relativeFrom="page">
              <wp:posOffset>1343025</wp:posOffset>
            </wp:positionV>
            <wp:extent cx="3035300" cy="5486400"/>
            <wp:effectExtent l="0" t="0" r="0" b="0"/>
            <wp:wrapTight wrapText="bothSides">
              <wp:wrapPolygon edited="0">
                <wp:start x="0" y="0"/>
                <wp:lineTo x="0" y="21525"/>
                <wp:lineTo x="21419" y="21525"/>
                <wp:lineTo x="2141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. S2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878"/>
                    <a:stretch/>
                  </pic:blipFill>
                  <pic:spPr bwMode="auto">
                    <a:xfrm>
                      <a:off x="0" y="0"/>
                      <a:ext cx="3035300" cy="548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0AD1">
        <w:rPr>
          <w:rFonts w:ascii="Arial" w:hAnsi="Arial" w:cs="Arial"/>
          <w:sz w:val="24"/>
          <w:szCs w:val="24"/>
        </w:rPr>
        <w:t>ary Fig 2</w:t>
      </w:r>
      <w:r w:rsidRPr="00F82993">
        <w:rPr>
          <w:rFonts w:ascii="Arial" w:hAnsi="Arial" w:cs="Arial"/>
          <w:sz w:val="24"/>
          <w:szCs w:val="24"/>
        </w:rPr>
        <w:t xml:space="preserve">: </w:t>
      </w:r>
      <w:r w:rsidRPr="00F82993">
        <w:rPr>
          <w:rFonts w:ascii="Arial" w:hAnsi="Arial" w:cs="Arial"/>
          <w:b/>
          <w:sz w:val="24"/>
          <w:szCs w:val="24"/>
        </w:rPr>
        <w:t>Pesticide-induced inflammasome activation induces IL-1</w:t>
      </w:r>
      <w:r>
        <w:rPr>
          <w:rFonts w:ascii="Arial" w:hAnsi="Arial" w:cs="Arial"/>
          <w:sz w:val="24"/>
          <w:szCs w:val="24"/>
        </w:rPr>
        <w:t>β</w:t>
      </w:r>
      <w:r w:rsidRPr="006F0AD1">
        <w:rPr>
          <w:rFonts w:ascii="Arial" w:hAnsi="Arial" w:cs="Arial"/>
          <w:b/>
          <w:sz w:val="24"/>
          <w:szCs w:val="24"/>
        </w:rPr>
        <w:t xml:space="preserve"> and pro-IL-18. </w:t>
      </w:r>
      <w:r w:rsidRPr="006F0AD1">
        <w:rPr>
          <w:rFonts w:ascii="Arial" w:hAnsi="Arial" w:cs="Arial"/>
          <w:sz w:val="24"/>
          <w:szCs w:val="24"/>
        </w:rPr>
        <w:t>q-RT-PCR analysis showing the gene levels of pro-IL-1</w:t>
      </w:r>
      <w:r>
        <w:rPr>
          <w:rFonts w:ascii="Arial" w:hAnsi="Arial" w:cs="Arial"/>
          <w:sz w:val="24"/>
          <w:szCs w:val="24"/>
        </w:rPr>
        <w:t>β</w:t>
      </w:r>
      <w:r w:rsidRPr="006F0AD1">
        <w:rPr>
          <w:rFonts w:ascii="Arial" w:hAnsi="Arial" w:cs="Arial"/>
          <w:sz w:val="24"/>
          <w:szCs w:val="24"/>
        </w:rPr>
        <w:t xml:space="preserve"> and pro-IL-18 in LPS-primed primary mouse microglia treated with or without 1 </w:t>
      </w:r>
      <w:r>
        <w:rPr>
          <w:rFonts w:ascii="Arial" w:hAnsi="Arial" w:cs="Arial"/>
          <w:sz w:val="24"/>
          <w:szCs w:val="24"/>
        </w:rPr>
        <w:t>µ</w:t>
      </w:r>
      <w:r w:rsidRPr="006F0AD1">
        <w:rPr>
          <w:rFonts w:ascii="Arial" w:hAnsi="Arial" w:cs="Arial"/>
          <w:sz w:val="24"/>
          <w:szCs w:val="24"/>
        </w:rPr>
        <w:t xml:space="preserve">M rotenone or tebufenpyrad for 2 h. Data analyzed via two-way ANOVA with </w:t>
      </w:r>
      <w:r w:rsidRPr="00F82993">
        <w:rPr>
          <w:rFonts w:ascii="Arial" w:hAnsi="Arial" w:cs="Arial"/>
          <w:sz w:val="24"/>
          <w:szCs w:val="24"/>
        </w:rPr>
        <w:t>Bonferroni</w:t>
      </w:r>
      <w:r>
        <w:rPr>
          <w:rFonts w:ascii="Arial" w:hAnsi="Arial" w:cs="Arial"/>
          <w:sz w:val="24"/>
          <w:szCs w:val="24"/>
        </w:rPr>
        <w:t xml:space="preserve"> </w:t>
      </w:r>
      <w:r w:rsidRPr="00F82993">
        <w:rPr>
          <w:rFonts w:ascii="Arial" w:hAnsi="Arial" w:cs="Arial"/>
          <w:sz w:val="24"/>
          <w:szCs w:val="24"/>
        </w:rPr>
        <w:t xml:space="preserve">adjustment, *p&lt;0.05, **p&lt;0.01, ***p&lt;0.001 and are represented as </w:t>
      </w:r>
      <w:proofErr w:type="spellStart"/>
      <w:r w:rsidRPr="00F82993">
        <w:rPr>
          <w:rFonts w:ascii="Arial" w:hAnsi="Arial" w:cs="Arial"/>
          <w:sz w:val="24"/>
          <w:szCs w:val="24"/>
        </w:rPr>
        <w:t>Mean±SEM</w:t>
      </w:r>
      <w:proofErr w:type="spellEnd"/>
      <w:r w:rsidRPr="00F82993">
        <w:rPr>
          <w:rFonts w:ascii="Arial" w:hAnsi="Arial" w:cs="Arial"/>
          <w:sz w:val="24"/>
          <w:szCs w:val="24"/>
        </w:rPr>
        <w:t xml:space="preserve"> with n=3-8.</w:t>
      </w:r>
    </w:p>
    <w:p w:rsidR="00AE0497" w:rsidRDefault="00AE0497">
      <w:pPr>
        <w:spacing w:after="160" w:line="259" w:lineRule="auto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  <w:br w:type="page"/>
      </w:r>
    </w:p>
    <w:p w:rsidR="00C51C60" w:rsidRDefault="00242A6D" w:rsidP="00AE0497">
      <w:pPr>
        <w:spacing w:after="160" w:line="259" w:lineRule="auto"/>
        <w:jc w:val="center"/>
        <w:rPr>
          <w:rFonts w:ascii="Arial" w:hAnsi="Arial" w:cs="Arial"/>
          <w:sz w:val="24"/>
          <w:szCs w:val="24"/>
          <w:highlight w:val="yellow"/>
        </w:rPr>
      </w:pPr>
      <w:r w:rsidRPr="00242A6D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D4944E" wp14:editId="4A5FC58D">
                <wp:simplePos x="0" y="0"/>
                <wp:positionH relativeFrom="column">
                  <wp:posOffset>1142365</wp:posOffset>
                </wp:positionH>
                <wp:positionV relativeFrom="paragraph">
                  <wp:posOffset>1228725</wp:posOffset>
                </wp:positionV>
                <wp:extent cx="266861" cy="0"/>
                <wp:effectExtent l="0" t="19050" r="19050" b="19050"/>
                <wp:wrapNone/>
                <wp:docPr id="1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861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8E78EA" id="Straight Connector 4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9.95pt,96.75pt" to="110.95pt,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" strokecolor="white [3212]" strokeweight="3pt">
                <v:stroke joinstyle="miter"/>
              </v:line>
            </w:pict>
          </mc:Fallback>
        </mc:AlternateContent>
      </w:r>
      <w:r w:rsidR="00AE0497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978234" cy="6854190"/>
            <wp:effectExtent l="0" t="0" r="381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. S3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067"/>
                    <a:stretch/>
                  </pic:blipFill>
                  <pic:spPr bwMode="auto">
                    <a:xfrm>
                      <a:off x="0" y="0"/>
                      <a:ext cx="3978234" cy="6854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39AE" w:rsidRPr="00C51C60" w:rsidRDefault="007739AE" w:rsidP="00C51C60">
      <w:pPr>
        <w:snapToGrid w:val="0"/>
        <w:spacing w:after="16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51C60">
        <w:rPr>
          <w:rFonts w:ascii="Arial" w:hAnsi="Arial" w:cs="Arial"/>
          <w:sz w:val="24"/>
          <w:szCs w:val="24"/>
        </w:rPr>
        <w:t xml:space="preserve">Supplementary Fig. 3: </w:t>
      </w:r>
      <w:r w:rsidRPr="00C51C60">
        <w:rPr>
          <w:rFonts w:ascii="Arial" w:hAnsi="Arial" w:cs="Arial"/>
          <w:b/>
          <w:sz w:val="24"/>
          <w:szCs w:val="24"/>
        </w:rPr>
        <w:t>Pesticide exposure does not induce acetylation of microtubules at early time points in microglial cells.</w:t>
      </w:r>
      <w:r w:rsidRPr="00C51C60">
        <w:rPr>
          <w:rFonts w:ascii="Arial" w:hAnsi="Arial" w:cs="Arial"/>
          <w:sz w:val="24"/>
          <w:szCs w:val="24"/>
        </w:rPr>
        <w:t xml:space="preserve"> ICC analysis reveals that SIRT2 levels or acetylated α-tubulin did not significantly change after 2 h of 1-µM pesticide exposure in primed and unp</w:t>
      </w:r>
      <w:r w:rsidR="00705336">
        <w:rPr>
          <w:rFonts w:ascii="Arial" w:hAnsi="Arial" w:cs="Arial"/>
          <w:sz w:val="24"/>
          <w:szCs w:val="24"/>
        </w:rPr>
        <w:t>rimed primary microglial cells.</w:t>
      </w:r>
      <w:r w:rsidR="00705336" w:rsidRPr="00705336">
        <w:rPr>
          <w:rFonts w:ascii="Arial" w:hAnsi="Arial" w:cs="Arial"/>
          <w:sz w:val="24"/>
          <w:szCs w:val="24"/>
        </w:rPr>
        <w:t xml:space="preserve"> </w:t>
      </w:r>
      <w:r w:rsidR="00705336">
        <w:rPr>
          <w:rFonts w:ascii="Arial" w:hAnsi="Arial" w:cs="Arial"/>
          <w:sz w:val="24"/>
          <w:szCs w:val="24"/>
        </w:rPr>
        <w:t>Scale bar, 20</w:t>
      </w:r>
      <w:r w:rsidR="00705336" w:rsidRPr="00705336">
        <w:rPr>
          <w:rFonts w:ascii="Arial" w:hAnsi="Arial" w:cs="Arial"/>
          <w:sz w:val="24"/>
          <w:szCs w:val="24"/>
        </w:rPr>
        <w:t> </w:t>
      </w:r>
      <w:proofErr w:type="spellStart"/>
      <w:r w:rsidR="00705336" w:rsidRPr="00705336">
        <w:rPr>
          <w:rFonts w:ascii="Arial" w:hAnsi="Arial" w:cs="Arial"/>
          <w:sz w:val="24"/>
          <w:szCs w:val="24"/>
        </w:rPr>
        <w:t>μm</w:t>
      </w:r>
      <w:proofErr w:type="spellEnd"/>
      <w:r w:rsidR="00705336">
        <w:rPr>
          <w:rFonts w:ascii="Arial" w:hAnsi="Arial" w:cs="Arial"/>
          <w:sz w:val="24"/>
          <w:szCs w:val="24"/>
        </w:rPr>
        <w:t>.</w:t>
      </w:r>
    </w:p>
    <w:p w:rsidR="00C51C60" w:rsidRDefault="00C51C60">
      <w:pPr>
        <w:spacing w:after="160" w:line="259" w:lineRule="auto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br w:type="page"/>
      </w:r>
    </w:p>
    <w:p w:rsidR="00C51C60" w:rsidRDefault="00C51C60" w:rsidP="00C51C60">
      <w:pPr>
        <w:spacing w:after="160" w:line="259" w:lineRule="auto"/>
        <w:jc w:val="center"/>
        <w:rPr>
          <w:rFonts w:ascii="Arial" w:eastAsiaTheme="minorEastAsia" w:hAnsi="Arial" w:cs="Arial"/>
          <w:sz w:val="24"/>
          <w:szCs w:val="24"/>
        </w:rPr>
      </w:pPr>
    </w:p>
    <w:p w:rsidR="00C51C60" w:rsidRDefault="00C51C60" w:rsidP="00C51C60">
      <w:pPr>
        <w:spacing w:after="160" w:line="259" w:lineRule="auto"/>
        <w:jc w:val="center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noProof/>
          <w:sz w:val="24"/>
          <w:szCs w:val="24"/>
        </w:rPr>
        <w:drawing>
          <wp:inline distT="0" distB="0" distL="0" distR="0" wp14:anchorId="76622BB9" wp14:editId="2F34503E">
            <wp:extent cx="3954483" cy="2121535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. S4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466"/>
                    <a:stretch/>
                  </pic:blipFill>
                  <pic:spPr bwMode="auto">
                    <a:xfrm>
                      <a:off x="0" y="0"/>
                      <a:ext cx="3954483" cy="2121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1C60" w:rsidRDefault="00C51C60" w:rsidP="00C51C60">
      <w:pPr>
        <w:spacing w:after="160" w:line="259" w:lineRule="auto"/>
        <w:jc w:val="center"/>
        <w:rPr>
          <w:rFonts w:ascii="Arial" w:eastAsiaTheme="minorEastAsia" w:hAnsi="Arial" w:cs="Arial"/>
          <w:sz w:val="24"/>
          <w:szCs w:val="24"/>
        </w:rPr>
      </w:pPr>
    </w:p>
    <w:p w:rsidR="007739AE" w:rsidRPr="00C51C60" w:rsidRDefault="007739AE" w:rsidP="00C51C60">
      <w:pPr>
        <w:snapToGrid w:val="0"/>
        <w:spacing w:after="160" w:line="360" w:lineRule="auto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C51C60">
        <w:rPr>
          <w:rFonts w:ascii="Arial" w:eastAsiaTheme="minorEastAsia" w:hAnsi="Arial" w:cs="Arial"/>
          <w:sz w:val="24"/>
          <w:szCs w:val="24"/>
        </w:rPr>
        <w:t xml:space="preserve">Supplementary Fig. 4: </w:t>
      </w:r>
      <w:r w:rsidRPr="00C51C60">
        <w:rPr>
          <w:rFonts w:ascii="Arial" w:eastAsiaTheme="minorEastAsia" w:hAnsi="Arial" w:cs="Arial"/>
          <w:b/>
          <w:sz w:val="24"/>
          <w:szCs w:val="24"/>
        </w:rPr>
        <w:t xml:space="preserve">Pesticide exposure alone induced NLRP3 and pro-IL-β in presence of neurons. </w:t>
      </w:r>
      <w:r w:rsidRPr="00C51C60">
        <w:rPr>
          <w:rFonts w:ascii="Arial" w:eastAsiaTheme="minorEastAsia" w:hAnsi="Arial" w:cs="Arial"/>
          <w:sz w:val="24"/>
          <w:szCs w:val="24"/>
        </w:rPr>
        <w:t xml:space="preserve">(A-B) </w:t>
      </w:r>
      <w:proofErr w:type="spellStart"/>
      <w:r w:rsidRPr="00C51C60">
        <w:rPr>
          <w:rFonts w:ascii="Arial" w:eastAsiaTheme="minorEastAsia" w:hAnsi="Arial" w:cs="Arial"/>
          <w:sz w:val="24"/>
          <w:szCs w:val="24"/>
        </w:rPr>
        <w:t>qRT</w:t>
      </w:r>
      <w:proofErr w:type="spellEnd"/>
      <w:r w:rsidRPr="00C51C60">
        <w:rPr>
          <w:rFonts w:ascii="Arial" w:eastAsiaTheme="minorEastAsia" w:hAnsi="Arial" w:cs="Arial"/>
          <w:sz w:val="24"/>
          <w:szCs w:val="24"/>
        </w:rPr>
        <w:t xml:space="preserve">-PCR analysis showing gene level of NLRP3 (A) and pro-IL-1β (B) following 1 µM rotenone exposure for 6 h in presence of neurons. </w:t>
      </w:r>
      <w:r w:rsidRPr="00C51C60">
        <w:rPr>
          <w:rFonts w:ascii="Arial" w:hAnsi="Arial" w:cs="Arial"/>
          <w:sz w:val="24"/>
          <w:szCs w:val="24"/>
        </w:rPr>
        <w:t xml:space="preserve">Data analyzed via two-way ANOVA with Bonferroni adjustment, *p&lt;0.05, **p&lt;0.01, ***&lt;0.001 and are represented as </w:t>
      </w:r>
      <w:proofErr w:type="spellStart"/>
      <w:r w:rsidRPr="00C51C60">
        <w:rPr>
          <w:rFonts w:ascii="Arial" w:hAnsi="Arial" w:cs="Arial"/>
          <w:sz w:val="24"/>
          <w:szCs w:val="24"/>
        </w:rPr>
        <w:t>Mean±SEM</w:t>
      </w:r>
      <w:proofErr w:type="spellEnd"/>
      <w:r w:rsidRPr="00C51C60">
        <w:rPr>
          <w:rFonts w:ascii="Arial" w:hAnsi="Arial" w:cs="Arial"/>
          <w:sz w:val="24"/>
          <w:szCs w:val="24"/>
        </w:rPr>
        <w:t xml:space="preserve"> with n=3-8.</w:t>
      </w:r>
    </w:p>
    <w:p w:rsidR="00C51C60" w:rsidRDefault="00C51C60">
      <w:pPr>
        <w:spacing w:after="160" w:line="259" w:lineRule="auto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br w:type="page"/>
      </w:r>
    </w:p>
    <w:p w:rsidR="007739AE" w:rsidRPr="00C51C60" w:rsidRDefault="00242A6D" w:rsidP="00C51C60">
      <w:pPr>
        <w:snapToGrid w:val="0"/>
        <w:spacing w:after="160" w:line="360" w:lineRule="auto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242A6D">
        <w:rPr>
          <w:rFonts w:ascii="Arial" w:hAnsi="Arial" w:cs="Arial"/>
          <w:noProof/>
          <w:sz w:val="24"/>
          <w:szCs w:val="24"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252CBE" wp14:editId="0EF5F596">
                <wp:simplePos x="0" y="0"/>
                <wp:positionH relativeFrom="column">
                  <wp:posOffset>828675</wp:posOffset>
                </wp:positionH>
                <wp:positionV relativeFrom="paragraph">
                  <wp:posOffset>3295650</wp:posOffset>
                </wp:positionV>
                <wp:extent cx="371783" cy="0"/>
                <wp:effectExtent l="0" t="19050" r="28575" b="19050"/>
                <wp:wrapNone/>
                <wp:docPr id="1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783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68EC5F" id="Straight Connector 4" o:spid="_x0000_s1026" style="position:absolute;flip:y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5.25pt,259.5pt" to="94.5pt,2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" strokecolor="white [3212]" strokeweight="3pt">
                <v:stroke joinstyle="miter"/>
              </v:line>
            </w:pict>
          </mc:Fallback>
        </mc:AlternateContent>
      </w:r>
      <w:r w:rsidR="00C51C60">
        <w:rPr>
          <w:rFonts w:ascii="Arial" w:eastAsiaTheme="minorEastAsia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3942608</wp:posOffset>
                </wp:positionH>
                <wp:positionV relativeFrom="paragraph">
                  <wp:posOffset>-213756</wp:posOffset>
                </wp:positionV>
                <wp:extent cx="2422566" cy="653143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2566" cy="65314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9D4DE8" id="Rectangle 6" o:spid="_x0000_s1026" style="position:absolute;margin-left:310.45pt;margin-top:-16.85pt;width:190.75pt;height:5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" fillcolor="white [3212]" stroked="f" strokeweight="1pt"/>
            </w:pict>
          </mc:Fallback>
        </mc:AlternateContent>
      </w:r>
      <w:r w:rsidR="00C51C60">
        <w:rPr>
          <w:rFonts w:ascii="Arial" w:eastAsiaTheme="minorEastAsia" w:hAnsi="Arial" w:cs="Arial"/>
          <w:noProof/>
          <w:sz w:val="24"/>
          <w:szCs w:val="24"/>
        </w:rPr>
        <w:drawing>
          <wp:inline distT="0" distB="0" distL="0" distR="0">
            <wp:extent cx="5237018" cy="4916805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. S5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793" t="-2898" r="19681" b="2898"/>
                    <a:stretch/>
                  </pic:blipFill>
                  <pic:spPr bwMode="auto">
                    <a:xfrm>
                      <a:off x="0" y="0"/>
                      <a:ext cx="5237018" cy="4916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39AE" w:rsidRPr="00C51C60">
        <w:rPr>
          <w:rFonts w:ascii="Arial" w:eastAsiaTheme="minorEastAsia" w:hAnsi="Arial" w:cs="Arial"/>
          <w:sz w:val="24"/>
          <w:szCs w:val="24"/>
        </w:rPr>
        <w:t xml:space="preserve">Supplementary Fig. 5: </w:t>
      </w:r>
      <w:r w:rsidR="007739AE" w:rsidRPr="00C51C60">
        <w:rPr>
          <w:rFonts w:ascii="Arial" w:eastAsiaTheme="minorEastAsia" w:hAnsi="Arial" w:cs="Arial"/>
          <w:b/>
          <w:sz w:val="24"/>
          <w:szCs w:val="24"/>
        </w:rPr>
        <w:t xml:space="preserve">Rotenone induced NLRP3 inflammasome activation in rat model. </w:t>
      </w:r>
      <w:r w:rsidR="007739AE" w:rsidRPr="00C51C60">
        <w:rPr>
          <w:rFonts w:ascii="Arial" w:eastAsiaTheme="minorEastAsia" w:hAnsi="Arial" w:cs="Arial"/>
          <w:sz w:val="24"/>
          <w:szCs w:val="24"/>
        </w:rPr>
        <w:t xml:space="preserve">(A) </w:t>
      </w:r>
      <w:proofErr w:type="spellStart"/>
      <w:r w:rsidR="007739AE" w:rsidRPr="00C51C60">
        <w:rPr>
          <w:rFonts w:ascii="Arial" w:eastAsiaTheme="minorEastAsia" w:hAnsi="Arial" w:cs="Arial"/>
          <w:sz w:val="24"/>
          <w:szCs w:val="24"/>
        </w:rPr>
        <w:t>qRT</w:t>
      </w:r>
      <w:proofErr w:type="spellEnd"/>
      <w:r w:rsidR="007739AE" w:rsidRPr="00C51C60">
        <w:rPr>
          <w:rFonts w:ascii="Arial" w:eastAsiaTheme="minorEastAsia" w:hAnsi="Arial" w:cs="Arial"/>
          <w:sz w:val="24"/>
          <w:szCs w:val="24"/>
        </w:rPr>
        <w:t xml:space="preserve">-PCR analysis revealed NLRP3 upregulation in rotenone-treated rats. (B) IHC analysis showing increased NLRP3 in IBA1-positive cells in the striatum of rotenone treated rats. </w:t>
      </w:r>
      <w:r w:rsidR="007739AE" w:rsidRPr="00C51C60">
        <w:rPr>
          <w:rFonts w:ascii="Arial" w:hAnsi="Arial" w:cs="Arial"/>
          <w:sz w:val="24"/>
          <w:szCs w:val="24"/>
        </w:rPr>
        <w:t xml:space="preserve">Data analyzed via Student’s t-test, *p&lt;0.05, **p&lt;0.01, ***&lt;0.001 and are represented as </w:t>
      </w:r>
      <w:proofErr w:type="spellStart"/>
      <w:r w:rsidR="007739AE" w:rsidRPr="00C51C60">
        <w:rPr>
          <w:rFonts w:ascii="Arial" w:hAnsi="Arial" w:cs="Arial"/>
          <w:sz w:val="24"/>
          <w:szCs w:val="24"/>
        </w:rPr>
        <w:t>Mean±SEM</w:t>
      </w:r>
      <w:proofErr w:type="spellEnd"/>
      <w:r w:rsidR="007739AE" w:rsidRPr="00C51C60">
        <w:rPr>
          <w:rFonts w:ascii="Arial" w:hAnsi="Arial" w:cs="Arial"/>
          <w:sz w:val="24"/>
          <w:szCs w:val="24"/>
        </w:rPr>
        <w:t xml:space="preserve"> with n=4.</w:t>
      </w:r>
      <w:r w:rsidR="00705336">
        <w:rPr>
          <w:rFonts w:ascii="Arial" w:hAnsi="Arial" w:cs="Arial"/>
          <w:sz w:val="24"/>
          <w:szCs w:val="24"/>
        </w:rPr>
        <w:t xml:space="preserve"> Scale bar, 15</w:t>
      </w:r>
      <w:r w:rsidR="00705336" w:rsidRPr="00705336">
        <w:rPr>
          <w:rFonts w:ascii="Arial" w:hAnsi="Arial" w:cs="Arial"/>
          <w:sz w:val="24"/>
          <w:szCs w:val="24"/>
        </w:rPr>
        <w:t> </w:t>
      </w:r>
      <w:proofErr w:type="spellStart"/>
      <w:r w:rsidR="00705336" w:rsidRPr="00705336">
        <w:rPr>
          <w:rFonts w:ascii="Arial" w:hAnsi="Arial" w:cs="Arial"/>
          <w:sz w:val="24"/>
          <w:szCs w:val="24"/>
        </w:rPr>
        <w:t>μm</w:t>
      </w:r>
      <w:proofErr w:type="spellEnd"/>
      <w:r w:rsidR="00705336">
        <w:rPr>
          <w:rFonts w:ascii="Arial" w:hAnsi="Arial" w:cs="Arial"/>
          <w:sz w:val="24"/>
          <w:szCs w:val="24"/>
        </w:rPr>
        <w:t>.</w:t>
      </w:r>
    </w:p>
    <w:p w:rsidR="00C51C60" w:rsidRDefault="00C51C60" w:rsidP="007739AE">
      <w:pPr>
        <w:spacing w:line="480" w:lineRule="auto"/>
        <w:rPr>
          <w:rFonts w:ascii="Arial" w:eastAsiaTheme="minorEastAsia" w:hAnsi="Arial" w:cs="Arial"/>
          <w:sz w:val="24"/>
          <w:szCs w:val="24"/>
        </w:rPr>
      </w:pPr>
    </w:p>
    <w:p w:rsidR="00C51C60" w:rsidRDefault="00C51C60" w:rsidP="007739AE">
      <w:pPr>
        <w:spacing w:line="480" w:lineRule="auto"/>
        <w:rPr>
          <w:rFonts w:ascii="Arial" w:eastAsiaTheme="minorEastAsia" w:hAnsi="Arial" w:cs="Arial"/>
          <w:sz w:val="24"/>
          <w:szCs w:val="24"/>
        </w:rPr>
      </w:pPr>
    </w:p>
    <w:p w:rsidR="00C51C60" w:rsidRDefault="00C51C60" w:rsidP="007739AE">
      <w:pPr>
        <w:spacing w:line="480" w:lineRule="auto"/>
        <w:rPr>
          <w:rFonts w:ascii="Arial" w:eastAsiaTheme="minorEastAsia" w:hAnsi="Arial" w:cs="Arial"/>
          <w:sz w:val="24"/>
          <w:szCs w:val="24"/>
        </w:rPr>
      </w:pPr>
    </w:p>
    <w:p w:rsidR="00C51C60" w:rsidRDefault="00C51C60" w:rsidP="007739AE">
      <w:pPr>
        <w:spacing w:line="480" w:lineRule="auto"/>
        <w:rPr>
          <w:rFonts w:ascii="Arial" w:eastAsiaTheme="minorEastAsia" w:hAnsi="Arial" w:cs="Arial"/>
          <w:sz w:val="24"/>
          <w:szCs w:val="24"/>
        </w:rPr>
      </w:pPr>
    </w:p>
    <w:p w:rsidR="007739AE" w:rsidRPr="00C51C60" w:rsidRDefault="00C51C60" w:rsidP="00C51C60">
      <w:pPr>
        <w:snapToGrid w:val="0"/>
        <w:spacing w:after="160" w:line="360" w:lineRule="auto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noProof/>
          <w:sz w:val="24"/>
          <w:szCs w:val="24"/>
        </w:rPr>
        <w:lastRenderedPageBreak/>
        <w:drawing>
          <wp:inline distT="0" distB="0" distL="0" distR="0">
            <wp:extent cx="5943600" cy="451902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. S6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66"/>
                    <a:stretch/>
                  </pic:blipFill>
                  <pic:spPr bwMode="auto">
                    <a:xfrm>
                      <a:off x="0" y="0"/>
                      <a:ext cx="5943600" cy="4519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39AE" w:rsidRPr="00C51C60">
        <w:rPr>
          <w:rFonts w:ascii="Arial" w:eastAsiaTheme="minorEastAsia" w:hAnsi="Arial" w:cs="Arial"/>
          <w:sz w:val="24"/>
          <w:szCs w:val="24"/>
        </w:rPr>
        <w:t xml:space="preserve">Supplementary Fig. 6: </w:t>
      </w:r>
      <w:r w:rsidR="007739AE" w:rsidRPr="00C51C60">
        <w:rPr>
          <w:rFonts w:ascii="Arial" w:hAnsi="Arial" w:cs="Arial"/>
          <w:b/>
          <w:sz w:val="24"/>
          <w:szCs w:val="24"/>
        </w:rPr>
        <w:t xml:space="preserve"> MCC950, an NLRP3-specific inhibitor, does not affect cell viability in primary microglial culture</w:t>
      </w:r>
      <w:r w:rsidR="007739AE" w:rsidRPr="00C51C60">
        <w:rPr>
          <w:rFonts w:ascii="Arial" w:hAnsi="Arial" w:cs="Arial"/>
          <w:sz w:val="24"/>
          <w:szCs w:val="24"/>
        </w:rPr>
        <w:t xml:space="preserve">. MTS assay of cell viability after treatment with MCC950. Data analyzed via two-way ANOVA with Bonferroni adjustment, *p&lt;0.05, **p&lt;0.01, ***&lt;0.001 and are represented as </w:t>
      </w:r>
      <w:proofErr w:type="spellStart"/>
      <w:r w:rsidR="007739AE" w:rsidRPr="00C51C60">
        <w:rPr>
          <w:rFonts w:ascii="Arial" w:hAnsi="Arial" w:cs="Arial"/>
          <w:sz w:val="24"/>
          <w:szCs w:val="24"/>
        </w:rPr>
        <w:t>Mean±SEM</w:t>
      </w:r>
      <w:proofErr w:type="spellEnd"/>
      <w:r w:rsidR="007739AE" w:rsidRPr="00C51C60">
        <w:rPr>
          <w:rFonts w:ascii="Arial" w:hAnsi="Arial" w:cs="Arial"/>
          <w:sz w:val="24"/>
          <w:szCs w:val="24"/>
        </w:rPr>
        <w:t xml:space="preserve"> with n=3-8.</w:t>
      </w:r>
    </w:p>
    <w:p w:rsidR="00C51C60" w:rsidRDefault="00C51C60">
      <w:pPr>
        <w:spacing w:after="160" w:line="259" w:lineRule="auto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br w:type="page"/>
      </w:r>
    </w:p>
    <w:p w:rsidR="00C51C60" w:rsidRDefault="00C51C60" w:rsidP="00C51C60">
      <w:pPr>
        <w:spacing w:after="160" w:line="259" w:lineRule="auto"/>
        <w:jc w:val="center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BFE1D0" wp14:editId="7E469272">
                <wp:simplePos x="0" y="0"/>
                <wp:positionH relativeFrom="column">
                  <wp:posOffset>4639755</wp:posOffset>
                </wp:positionH>
                <wp:positionV relativeFrom="paragraph">
                  <wp:posOffset>-1006</wp:posOffset>
                </wp:positionV>
                <wp:extent cx="2422566" cy="653143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2566" cy="65314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11AEB6" id="Rectangle 9" o:spid="_x0000_s1026" style="position:absolute;margin-left:365.35pt;margin-top:-.1pt;width:190.75pt;height:5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" fillcolor="white [3212]" stroked="f" strokeweight="1pt"/>
            </w:pict>
          </mc:Fallback>
        </mc:AlternateContent>
      </w:r>
      <w:r>
        <w:rPr>
          <w:rFonts w:ascii="Arial" w:eastAsiaTheme="minorEastAsia" w:hAnsi="Arial" w:cs="Arial"/>
          <w:noProof/>
          <w:sz w:val="24"/>
          <w:szCs w:val="24"/>
        </w:rPr>
        <w:drawing>
          <wp:inline distT="0" distB="0" distL="0" distR="0">
            <wp:extent cx="4358244" cy="5013325"/>
            <wp:effectExtent l="0" t="0" r="444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. S7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37" r="26667"/>
                    <a:stretch/>
                  </pic:blipFill>
                  <pic:spPr bwMode="auto">
                    <a:xfrm>
                      <a:off x="0" y="0"/>
                      <a:ext cx="4358631" cy="5013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39AE" w:rsidRPr="00C51C60" w:rsidRDefault="007739AE" w:rsidP="00C51C60">
      <w:pPr>
        <w:snapToGrid w:val="0"/>
        <w:spacing w:after="160" w:line="360" w:lineRule="auto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C51C60">
        <w:rPr>
          <w:rFonts w:ascii="Arial" w:eastAsiaTheme="minorEastAsia" w:hAnsi="Arial" w:cs="Arial"/>
          <w:sz w:val="24"/>
          <w:szCs w:val="24"/>
        </w:rPr>
        <w:t xml:space="preserve">Supplementary Fig. 7: </w:t>
      </w:r>
      <w:r w:rsidRPr="00C51C60">
        <w:rPr>
          <w:rFonts w:ascii="Arial" w:eastAsiaTheme="minorEastAsia" w:hAnsi="Arial" w:cs="Arial"/>
          <w:b/>
          <w:sz w:val="24"/>
          <w:szCs w:val="24"/>
        </w:rPr>
        <w:t xml:space="preserve">MCC950 does not alter mitochondrial dynamics. </w:t>
      </w:r>
      <w:r w:rsidRPr="00C51C60">
        <w:rPr>
          <w:rFonts w:ascii="Arial" w:eastAsiaTheme="minorEastAsia" w:hAnsi="Arial" w:cs="Arial"/>
          <w:sz w:val="24"/>
          <w:szCs w:val="24"/>
        </w:rPr>
        <w:t xml:space="preserve">(A-B) </w:t>
      </w:r>
      <w:r w:rsidRPr="00C51C60">
        <w:rPr>
          <w:rFonts w:ascii="Arial" w:hAnsi="Arial" w:cs="Arial"/>
          <w:sz w:val="24"/>
          <w:szCs w:val="24"/>
        </w:rPr>
        <w:t xml:space="preserve">Seahorse Mito Stress assays showing MCC-950 does not alter impaired mitochondrial bioenergetics in LPS-primed primary microglial cells treated with pesticides for 3 h. Data analyzed via two-way ANOVA with Bonferroni adjustment, *p&lt;0.05, **p&lt;0.01, ***&lt;0.001 and are represented as </w:t>
      </w:r>
      <w:proofErr w:type="spellStart"/>
      <w:r w:rsidRPr="00C51C60">
        <w:rPr>
          <w:rFonts w:ascii="Arial" w:hAnsi="Arial" w:cs="Arial"/>
          <w:sz w:val="24"/>
          <w:szCs w:val="24"/>
        </w:rPr>
        <w:t>Mean±SEM</w:t>
      </w:r>
      <w:proofErr w:type="spellEnd"/>
      <w:r w:rsidRPr="00C51C60">
        <w:rPr>
          <w:rFonts w:ascii="Arial" w:hAnsi="Arial" w:cs="Arial"/>
          <w:sz w:val="24"/>
          <w:szCs w:val="24"/>
        </w:rPr>
        <w:t xml:space="preserve"> with n=3-8.</w:t>
      </w:r>
    </w:p>
    <w:p w:rsidR="00C51C60" w:rsidRDefault="00C51C60">
      <w:pPr>
        <w:spacing w:after="160" w:line="259" w:lineRule="auto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br w:type="page"/>
      </w:r>
    </w:p>
    <w:p w:rsidR="00C51C60" w:rsidRDefault="00242A6D" w:rsidP="00C51C60">
      <w:pPr>
        <w:spacing w:after="160" w:line="259" w:lineRule="auto"/>
        <w:jc w:val="center"/>
        <w:rPr>
          <w:rFonts w:ascii="Arial" w:eastAsiaTheme="minorEastAsia" w:hAnsi="Arial" w:cs="Arial"/>
          <w:sz w:val="24"/>
          <w:szCs w:val="24"/>
        </w:rPr>
      </w:pPr>
      <w:r w:rsidRPr="00242A6D">
        <w:rPr>
          <w:rFonts w:ascii="Arial" w:eastAsiaTheme="minorEastAsia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6A4616" wp14:editId="1B11AAC7">
                <wp:simplePos x="0" y="0"/>
                <wp:positionH relativeFrom="column">
                  <wp:posOffset>1571625</wp:posOffset>
                </wp:positionH>
                <wp:positionV relativeFrom="paragraph">
                  <wp:posOffset>1362075</wp:posOffset>
                </wp:positionV>
                <wp:extent cx="166314" cy="0"/>
                <wp:effectExtent l="0" t="19050" r="24765" b="19050"/>
                <wp:wrapNone/>
                <wp:docPr id="18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6314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376480" id="Straight Connector 5" o:spid="_x0000_s1026" style="position:absolute;flip:y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3.75pt,107.25pt" to="136.85pt,10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" strokecolor="white [3212]" strokeweight="3pt">
                <v:stroke joinstyle="miter"/>
              </v:line>
            </w:pict>
          </mc:Fallback>
        </mc:AlternateContent>
      </w:r>
      <w:r w:rsidR="00C51C60">
        <w:rPr>
          <w:rFonts w:ascii="Arial" w:eastAsiaTheme="minorEastAsia" w:hAnsi="Arial" w:cs="Arial"/>
          <w:noProof/>
          <w:sz w:val="24"/>
          <w:szCs w:val="24"/>
        </w:rPr>
        <w:drawing>
          <wp:inline distT="0" distB="0" distL="0" distR="0">
            <wp:extent cx="3134572" cy="6341423"/>
            <wp:effectExtent l="0" t="0" r="889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. S8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667"/>
                    <a:stretch/>
                  </pic:blipFill>
                  <pic:spPr bwMode="auto">
                    <a:xfrm>
                      <a:off x="0" y="0"/>
                      <a:ext cx="3138346" cy="6349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39AE" w:rsidRPr="00C51C60" w:rsidRDefault="007739AE" w:rsidP="00C51C60">
      <w:pPr>
        <w:snapToGrid w:val="0"/>
        <w:spacing w:after="160" w:line="360" w:lineRule="auto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C51C60">
        <w:rPr>
          <w:rFonts w:ascii="Arial" w:eastAsiaTheme="minorEastAsia" w:hAnsi="Arial" w:cs="Arial"/>
          <w:sz w:val="24"/>
          <w:szCs w:val="24"/>
        </w:rPr>
        <w:t xml:space="preserve">Supplementary Fig. 8: </w:t>
      </w:r>
      <w:r w:rsidRPr="00C51C60">
        <w:rPr>
          <w:rFonts w:ascii="Arial" w:eastAsiaTheme="minorEastAsia" w:hAnsi="Arial" w:cs="Arial"/>
          <w:b/>
          <w:sz w:val="24"/>
          <w:szCs w:val="24"/>
        </w:rPr>
        <w:t xml:space="preserve">Conditioned medium from pesticide-exposed microglial cells does not alter TH-negative neurite length. </w:t>
      </w:r>
      <w:r w:rsidRPr="00C51C60">
        <w:rPr>
          <w:rFonts w:ascii="Arial" w:eastAsiaTheme="minorEastAsia" w:hAnsi="Arial" w:cs="Arial"/>
          <w:sz w:val="24"/>
          <w:szCs w:val="24"/>
        </w:rPr>
        <w:t xml:space="preserve">ICC analysis showing that TH-negative neurite length is not affected on exposure to conditioned medium from primed microglial cells exposed to rotenone or pesticides. </w:t>
      </w:r>
      <w:r w:rsidRPr="00C51C60">
        <w:rPr>
          <w:rFonts w:ascii="Arial" w:hAnsi="Arial" w:cs="Arial"/>
          <w:sz w:val="24"/>
          <w:szCs w:val="24"/>
        </w:rPr>
        <w:t xml:space="preserve">Data analyzed via two-way ANOVA with Bonferroni adjustment, *p&lt;0.05, **p&lt;0.01, ***&lt;0.001 and are represented as </w:t>
      </w:r>
      <w:proofErr w:type="spellStart"/>
      <w:r w:rsidRPr="00C51C60">
        <w:rPr>
          <w:rFonts w:ascii="Arial" w:hAnsi="Arial" w:cs="Arial"/>
          <w:sz w:val="24"/>
          <w:szCs w:val="24"/>
        </w:rPr>
        <w:t>Mean±SEM</w:t>
      </w:r>
      <w:proofErr w:type="spellEnd"/>
      <w:r w:rsidRPr="00C51C60">
        <w:rPr>
          <w:rFonts w:ascii="Arial" w:hAnsi="Arial" w:cs="Arial"/>
          <w:sz w:val="24"/>
          <w:szCs w:val="24"/>
        </w:rPr>
        <w:t xml:space="preserve"> with n=3-8.</w:t>
      </w:r>
      <w:r w:rsidR="00705336" w:rsidRPr="00705336">
        <w:rPr>
          <w:rFonts w:ascii="Arial" w:hAnsi="Arial" w:cs="Arial"/>
          <w:sz w:val="24"/>
          <w:szCs w:val="24"/>
        </w:rPr>
        <w:t xml:space="preserve"> Scale bar, 10</w:t>
      </w:r>
      <w:r w:rsidR="00705336">
        <w:rPr>
          <w:rFonts w:ascii="Arial" w:hAnsi="Arial" w:cs="Arial"/>
          <w:sz w:val="24"/>
          <w:szCs w:val="24"/>
        </w:rPr>
        <w:t>0</w:t>
      </w:r>
      <w:r w:rsidR="00705336" w:rsidRPr="00705336">
        <w:rPr>
          <w:rFonts w:ascii="Arial" w:hAnsi="Arial" w:cs="Arial"/>
          <w:sz w:val="24"/>
          <w:szCs w:val="24"/>
        </w:rPr>
        <w:t> </w:t>
      </w:r>
      <w:proofErr w:type="spellStart"/>
      <w:r w:rsidR="00705336" w:rsidRPr="00705336">
        <w:rPr>
          <w:rFonts w:ascii="Arial" w:hAnsi="Arial" w:cs="Arial"/>
          <w:sz w:val="24"/>
          <w:szCs w:val="24"/>
        </w:rPr>
        <w:t>μm</w:t>
      </w:r>
      <w:proofErr w:type="spellEnd"/>
      <w:r w:rsidR="00705336">
        <w:rPr>
          <w:rFonts w:ascii="Arial" w:hAnsi="Arial" w:cs="Arial"/>
          <w:sz w:val="24"/>
          <w:szCs w:val="24"/>
        </w:rPr>
        <w:t>.</w:t>
      </w:r>
    </w:p>
    <w:p w:rsidR="00C51C60" w:rsidRDefault="00C51C60">
      <w:pPr>
        <w:spacing w:after="160" w:line="259" w:lineRule="auto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br w:type="page"/>
      </w:r>
    </w:p>
    <w:p w:rsidR="00C51C60" w:rsidRDefault="00C87C94" w:rsidP="00C51C60">
      <w:pPr>
        <w:snapToGrid w:val="0"/>
        <w:spacing w:after="160" w:line="360" w:lineRule="auto"/>
        <w:contextualSpacing/>
        <w:jc w:val="center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noProof/>
          <w:sz w:val="24"/>
          <w:szCs w:val="24"/>
        </w:rPr>
        <w:lastRenderedPageBreak/>
        <w:drawing>
          <wp:inline distT="0" distB="0" distL="0" distR="0" wp14:anchorId="45D07297">
            <wp:extent cx="5486400" cy="6319241"/>
            <wp:effectExtent l="0" t="0" r="0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192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1C60" w:rsidRDefault="00C51C60" w:rsidP="00C51C60">
      <w:pPr>
        <w:snapToGrid w:val="0"/>
        <w:spacing w:after="160" w:line="360" w:lineRule="auto"/>
        <w:contextualSpacing/>
        <w:jc w:val="both"/>
        <w:rPr>
          <w:rFonts w:ascii="Arial" w:eastAsiaTheme="minorEastAsia" w:hAnsi="Arial" w:cs="Arial"/>
          <w:sz w:val="24"/>
          <w:szCs w:val="24"/>
        </w:rPr>
      </w:pPr>
    </w:p>
    <w:p w:rsidR="007739AE" w:rsidRPr="00C51C60" w:rsidRDefault="007739AE" w:rsidP="00C51C60">
      <w:pPr>
        <w:snapToGrid w:val="0"/>
        <w:spacing w:after="160" w:line="360" w:lineRule="auto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C51C60">
        <w:rPr>
          <w:rFonts w:ascii="Arial" w:eastAsiaTheme="minorEastAsia" w:hAnsi="Arial" w:cs="Arial"/>
          <w:sz w:val="24"/>
          <w:szCs w:val="24"/>
        </w:rPr>
        <w:t xml:space="preserve">Supplementary Fig 9: </w:t>
      </w:r>
      <w:r w:rsidRPr="00C51C60">
        <w:rPr>
          <w:rFonts w:ascii="Arial" w:eastAsiaTheme="minorEastAsia" w:hAnsi="Arial" w:cs="Arial"/>
          <w:b/>
          <w:sz w:val="24"/>
          <w:szCs w:val="24"/>
        </w:rPr>
        <w:t xml:space="preserve">Full length Western blots shown in Fig 1. </w:t>
      </w:r>
      <w:r w:rsidRPr="00C51C60">
        <w:rPr>
          <w:rFonts w:ascii="Arial" w:eastAsiaTheme="minorEastAsia" w:hAnsi="Arial" w:cs="Arial"/>
          <w:sz w:val="24"/>
          <w:szCs w:val="24"/>
        </w:rPr>
        <w:t xml:space="preserve"> (A-B) Full length Western blots corresponding to Fig. 1C. (C-H) Full length Western blots corresponding to Fig. 1G.  (I-J) Full Western blots corresponding to Fig. 5D.</w:t>
      </w:r>
      <w:r w:rsidR="00F36CA7">
        <w:rPr>
          <w:rFonts w:ascii="Arial" w:eastAsiaTheme="minorEastAsia" w:hAnsi="Arial" w:cs="Arial"/>
          <w:sz w:val="24"/>
          <w:szCs w:val="24"/>
        </w:rPr>
        <w:t xml:space="preserve"> </w:t>
      </w:r>
      <w:r w:rsidR="00F36CA7" w:rsidRPr="00F36CA7">
        <w:rPr>
          <w:rFonts w:ascii="Arial" w:eastAsiaTheme="minorEastAsia" w:hAnsi="Arial" w:cs="Arial"/>
          <w:sz w:val="24"/>
          <w:szCs w:val="24"/>
        </w:rPr>
        <w:t>Samples derive from the same experiment and gels/blots were processed in parallel</w:t>
      </w:r>
      <w:r w:rsidR="00F36CA7">
        <w:rPr>
          <w:rFonts w:ascii="Arial" w:eastAsiaTheme="minorEastAsia" w:hAnsi="Arial" w:cs="Arial"/>
          <w:sz w:val="24"/>
          <w:szCs w:val="24"/>
        </w:rPr>
        <w:t>.</w:t>
      </w:r>
    </w:p>
    <w:p w:rsidR="00C51C60" w:rsidRDefault="00C51C60" w:rsidP="007739AE">
      <w:pPr>
        <w:spacing w:line="480" w:lineRule="auto"/>
        <w:rPr>
          <w:rFonts w:ascii="Arial" w:eastAsiaTheme="minorEastAsia" w:hAnsi="Arial" w:cs="Arial"/>
          <w:sz w:val="24"/>
          <w:szCs w:val="24"/>
        </w:rPr>
      </w:pPr>
      <w:bookmarkStart w:id="0" w:name="_GoBack"/>
      <w:bookmarkEnd w:id="0"/>
    </w:p>
    <w:p w:rsidR="007739AE" w:rsidRPr="00417AED" w:rsidRDefault="007739AE" w:rsidP="00C51C60">
      <w:pPr>
        <w:snapToGrid w:val="0"/>
        <w:spacing w:line="360" w:lineRule="auto"/>
        <w:contextualSpacing/>
        <w:rPr>
          <w:rFonts w:ascii="Arial" w:eastAsiaTheme="minorEastAsia" w:hAnsi="Arial" w:cs="Arial"/>
          <w:sz w:val="24"/>
          <w:szCs w:val="24"/>
        </w:rPr>
      </w:pPr>
      <w:r w:rsidRPr="00C51C60">
        <w:rPr>
          <w:rFonts w:ascii="Arial" w:eastAsiaTheme="minorEastAsia" w:hAnsi="Arial" w:cs="Arial"/>
          <w:sz w:val="24"/>
          <w:szCs w:val="24"/>
        </w:rPr>
        <w:lastRenderedPageBreak/>
        <w:t xml:space="preserve">Supplementary Videos 1-3: </w:t>
      </w:r>
      <w:r w:rsidRPr="00C51C60">
        <w:rPr>
          <w:rFonts w:ascii="Arial" w:eastAsiaTheme="minorEastAsia" w:hAnsi="Arial" w:cs="Arial"/>
          <w:b/>
          <w:sz w:val="24"/>
          <w:szCs w:val="24"/>
        </w:rPr>
        <w:t>Time-lapse videos of mitochondrial superoxide generation in primed microglial cells treated with vehicle, rotenone, and tebufenpyrad, respectively.</w:t>
      </w:r>
      <w:r w:rsidR="004A293B">
        <w:rPr>
          <w:rFonts w:ascii="Arial" w:eastAsiaTheme="minorEastAsia" w:hAnsi="Arial" w:cs="Arial"/>
          <w:b/>
          <w:sz w:val="24"/>
          <w:szCs w:val="24"/>
        </w:rPr>
        <w:t xml:space="preserve"> </w:t>
      </w:r>
    </w:p>
    <w:p w:rsidR="00704DB1" w:rsidRDefault="00704DB1"/>
    <w:sectPr w:rsidR="00704DB1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77F2" w:rsidRDefault="00C51C60">
      <w:pPr>
        <w:spacing w:after="0" w:line="240" w:lineRule="auto"/>
      </w:pPr>
      <w:r>
        <w:separator/>
      </w:r>
    </w:p>
  </w:endnote>
  <w:endnote w:type="continuationSeparator" w:id="0">
    <w:p w:rsidR="00E577F2" w:rsidRDefault="00C51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53681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3103" w:rsidRDefault="007739A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533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D3103" w:rsidRDefault="00F36C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77F2" w:rsidRDefault="00C51C60">
      <w:pPr>
        <w:spacing w:after="0" w:line="240" w:lineRule="auto"/>
      </w:pPr>
      <w:r>
        <w:separator/>
      </w:r>
    </w:p>
  </w:footnote>
  <w:footnote w:type="continuationSeparator" w:id="0">
    <w:p w:rsidR="00E577F2" w:rsidRDefault="00C51C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9AE"/>
    <w:rsid w:val="00242A6D"/>
    <w:rsid w:val="004A293B"/>
    <w:rsid w:val="00704DB1"/>
    <w:rsid w:val="00705336"/>
    <w:rsid w:val="007739AE"/>
    <w:rsid w:val="00A36050"/>
    <w:rsid w:val="00AE0497"/>
    <w:rsid w:val="00C51C60"/>
    <w:rsid w:val="00C87C94"/>
    <w:rsid w:val="00E577F2"/>
    <w:rsid w:val="00E84AD3"/>
    <w:rsid w:val="00ED0BF5"/>
    <w:rsid w:val="00F3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69D0A"/>
  <w15:chartTrackingRefBased/>
  <w15:docId w15:val="{ED8B9815-9C08-4438-9ECD-304D72D3E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39AE"/>
    <w:pPr>
      <w:spacing w:after="200" w:line="276" w:lineRule="auto"/>
    </w:pPr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739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9AE"/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Veterinary Medicine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Sarkar, Souvarish [G COL]</dc:creator>
  <cp:keywords/>
  <dc:description/>
  <cp:lastModifiedBy>Souvarish Sarkar</cp:lastModifiedBy>
  <cp:revision>4</cp:revision>
  <dcterms:created xsi:type="dcterms:W3CDTF">2017-08-21T13:53:00Z</dcterms:created>
  <dcterms:modified xsi:type="dcterms:W3CDTF">2017-08-22T14:20:00Z</dcterms:modified>
</cp:coreProperties>
</file>