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162" w:rsidRDefault="00BF7638">
      <w:pPr>
        <w:pStyle w:val="Titre"/>
        <w:jc w:val="center"/>
        <w:rPr>
          <w:rFonts w:ascii="Times New Roman" w:eastAsia="Times New Roman" w:hAnsi="Times New Roman" w:cs="Times New Roman"/>
        </w:rPr>
      </w:pPr>
      <w:bookmarkStart w:id="0" w:name="_heading=h.gjdgxs" w:colFirst="0" w:colLast="0"/>
      <w:bookmarkEnd w:id="0"/>
      <w:r>
        <w:rPr>
          <w:rFonts w:ascii="Times New Roman" w:eastAsia="Times New Roman" w:hAnsi="Times New Roman" w:cs="Times New Roman"/>
        </w:rPr>
        <w:t>Supplementary Materials</w:t>
      </w:r>
    </w:p>
    <w:p w:rsidR="009F4162" w:rsidRDefault="00BF7638">
      <w:pPr>
        <w:spacing w:after="20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40"/>
          <w:szCs w:val="40"/>
        </w:rPr>
        <w:t>Characterizing the heterogeneity of neurodegenerative diseases through EEG and normative modeling</w:t>
      </w:r>
    </w:p>
    <w:p w:rsidR="009F4162" w:rsidRDefault="009F4162">
      <w:pPr>
        <w:spacing w:after="240" w:line="240" w:lineRule="auto"/>
        <w:rPr>
          <w:rFonts w:ascii="Times New Roman" w:eastAsia="Times New Roman" w:hAnsi="Times New Roman" w:cs="Times New Roman"/>
          <w:sz w:val="24"/>
          <w:szCs w:val="24"/>
        </w:rPr>
      </w:pPr>
    </w:p>
    <w:p w:rsidR="009F4162" w:rsidRDefault="009F4162">
      <w:pPr>
        <w:rPr>
          <w:rFonts w:ascii="Times New Roman" w:eastAsia="Times New Roman" w:hAnsi="Times New Roman" w:cs="Times New Roman"/>
        </w:rPr>
      </w:pPr>
    </w:p>
    <w:p w:rsidR="009F4162" w:rsidRDefault="00712772" w:rsidP="00041CE3">
      <w:pPr>
        <w:spacing w:after="200"/>
        <w:jc w:val="both"/>
        <w:rPr>
          <w:rFonts w:ascii="Times New Roman" w:eastAsia="Times New Roman" w:hAnsi="Times New Roman" w:cs="Times New Roman"/>
          <w:b/>
        </w:rPr>
      </w:pPr>
      <w:bookmarkStart w:id="1" w:name="_heading=h.30j0zll" w:colFirst="0" w:colLast="0"/>
      <w:bookmarkStart w:id="2" w:name="_heading=h.1fob9te" w:colFirst="0" w:colLast="0"/>
      <w:bookmarkEnd w:id="1"/>
      <w:bookmarkEnd w:id="2"/>
      <w:r>
        <w:rPr>
          <w:rFonts w:ascii="Times New Roman" w:eastAsia="Times New Roman" w:hAnsi="Times New Roman" w:cs="Times New Roman"/>
          <w:b/>
        </w:rPr>
        <w:t xml:space="preserve">Supplementary </w:t>
      </w:r>
      <w:r w:rsidR="003261CB">
        <w:rPr>
          <w:rFonts w:ascii="Times New Roman" w:eastAsia="Times New Roman" w:hAnsi="Times New Roman" w:cs="Times New Roman"/>
          <w:b/>
        </w:rPr>
        <w:t>Data</w:t>
      </w:r>
      <w:r>
        <w:rPr>
          <w:rFonts w:ascii="Times New Roman" w:eastAsia="Times New Roman" w:hAnsi="Times New Roman" w:cs="Times New Roman"/>
          <w:b/>
        </w:rPr>
        <w:t xml:space="preserve"> </w:t>
      </w:r>
      <w:r w:rsidR="00BF7638">
        <w:rPr>
          <w:rFonts w:ascii="Times New Roman" w:eastAsia="Times New Roman" w:hAnsi="Times New Roman" w:cs="Times New Roman"/>
          <w:b/>
        </w:rPr>
        <w:t>1 | Demographic and EEG system details of the control and clinical cohorts used in this study across 14 site</w:t>
      </w:r>
      <w:r w:rsidR="00BF7638" w:rsidRPr="006773DE">
        <w:rPr>
          <w:rFonts w:ascii="Times New Roman" w:eastAsia="Times New Roman" w:hAnsi="Times New Roman" w:cs="Times New Roman"/>
          <w:b/>
        </w:rPr>
        <w:t>s</w:t>
      </w:r>
      <w:r w:rsidR="00535EE5" w:rsidRPr="006773DE">
        <w:rPr>
          <w:rFonts w:ascii="Times New Roman" w:eastAsia="Times New Roman" w:hAnsi="Times New Roman" w:cs="Times New Roman"/>
          <w:b/>
        </w:rPr>
        <w:fldChar w:fldCharType="begin"/>
      </w:r>
      <w:r w:rsidR="00041CE3">
        <w:rPr>
          <w:rFonts w:ascii="Times New Roman" w:eastAsia="Times New Roman" w:hAnsi="Times New Roman" w:cs="Times New Roman"/>
          <w:b/>
        </w:rPr>
        <w:instrText xml:space="preserve"> ADDIN ZOTERO_ITEM CSL_CITATION {"citationID":"BPgHSJO1","properties":{"unsorted":true,"formattedCitation":"\\super 1\\uc0\\u8211{}22\\nosupersub{}","plainCitation":"1–22","noteIndex":0},"citationItems":[{"id":4838,"uris":["http://zotero.org/groups/2424647/items/TTJPGAQI"],"itemData":{"id":4838,"type":"article-journal","abstract":"Recently, there has been a growing research interest in utilizing the electroencephalogram (EEG) as a non-invasive diagnostic tool for neurodegenerative diseases. This article provides a detailed description of a resting-state EEG dataset of individuals with Alzheimer’s disease and frontotemporal dementia, and healthy controls. The dataset was collected using a clinical EEG system with 19 scalp electrodes while participants were in a resting state with their eyes closed. The data collection process included rigorous quality control measures to ensure data accuracy and consistency. The dataset contains recordings of 36 Alzheimer’s patients, 23 frontotemporal dementia patients, and 29 healthy age-matched subjects. For each subject, the Mini-Mental State Examination score is reported. A monopolar montage was used to collect the signals. A raw and preprocessed EEG is included in the standard BIDS format. For the preprocessed signals, established methods such as artifact subspace reconstruction and an independent component analysis have been employed for denoising. The dataset has significant reuse potential since Alzheimer’s EEG Machine Learning studies are increasing in popularity and there is a lack of publicly available EEG datasets. The resting-state EEG data can be used to explore alterations in brain activity and connectivity in these conditions, and to develop new diagnostic and treatment approaches. Additionally, the dataset can be used to compare EEG characteristics between different types of dementia, which could provide insights into the underlying mechanisms of these conditions.","container-title":"Data","DOI":"10.3390/data8060095","ISSN":"2306-5729","issue":"6","language":"en","license":"http://creativecommons.org/licenses/by/3.0/","note":"number: 6\npublisher: Multidisciplinary Digital Publishing Institute","page":"95","source":"www.mdpi.com","title":"A Dataset of Scalp EEG Recordings of Alzheimer’s Disease, Frontotemporal Dementia and Healthy Subjects from Routine EEG","volume":"8","author":[{"family":"Miltiadous","given":"Andreas"},{"family":"Tzimourta","given":"Katerina D."},{"family":"Afrantou","given":"Theodora"},{"family":"Ioannidis","given":"Panagiotis"},{"family":"Grigoriadis","given":"Nikolaos"},{"family":"Tsalikakis","given":"Dimitrios G."},{"family":"Angelidis","given":"Pantelis"},{"family":"Tsipouras","given":"Markos G."},{"family":"Glavas","given":"Euripidis"},{"family":"Giannakeas","given":"Nikolaos"},{"family":"Tzallas","given":"Alexandros T."}],"issued":{"date-parts":[["2023",6]]}},"label":"page"},{"id":4840,"uris":["http://zotero.org/groups/2424647/items/SZJI5GYT"],"itemData":{"id":4840,"type":"article-journal","abstract":"Chronic pain is a highly prevalent and severely disabling disease that is associated with substantial changes of brain function. Such changes have mostly been observed when analyzing static measures of resting-state brain activity. However, brain activity varies over time, and it is increasingly recognized that the temporal dynamics of brain activity provide behaviorally relevant information in different neuropsychiatric disorders. Here, we therefore investigated whether the temporal dynamics of brain function are altered in chronic pain. To this end, we applied microstate analysis to eyes-open and eyes-closed resting-state electroencephalography data of 101 patients suffering from chronic pain and 88 age- and sex-matched healthy controls. Microstate analysis describes electroencephalography activity as a sequence of a limited number of topographies termed microstates that remain stable for tens of milliseconds. Our results revealed that sequences of 5 microstates, labelled with the letters A to E, consistently described resting-state brain activity in both groups in the eyes-closed condition. Bayesian analysis of the temporal characteristics of microstates revealed that microstate D has a less predominant role in patients than in controls. As microstate D has previously been related to attentional networks and functions, these abnormalities might relate to dysfunctional attentional processes in chronic pain. Subgroup analyses replicated microstate D changes in patients with chronic back pain, while patients with chronic widespread pain did not show microstates alterations. Together, these findings add to the understanding of the pathophysiology of chronic pain and point to changes of brain dynamics specific to certain types of chronic pain.","container-title":"Pain","DOI":"10.1097/j.pain.0000000000002281","ISSN":"1872-6623","issue":"12","journalAbbreviation":"Pain","language":"eng","note":"PMID: 33863863\nPMCID: PMC8600543","page":"2894-2908","source":"PubMed","title":"Dynamics of brain function in patients with chronic pain assessed by microstate analysis of resting-state electroencephalography","volume":"162","author":[{"family":"May","given":"Elisabeth S."},{"family":"Gil Ávila","given":"Cristina"},{"family":"Ta Dinh","given":"Son"},{"family":"Heitmann","given":"Henrik"},{"family":"Hohn","given":"Vanessa D."},{"family":"Nickel","given":"Moritz M."},{"family":"Tiemann","given":"Laura"},{"family":"Tölle","given":"Thomas R."},{"family":"Ploner","given":"Markus"}],"issued":{"date-parts":[["2021",12,1]]}},"label":"page"},{"id":4743,"uris":["http://zotero.org/groups/2424647/items/WGPMYLDM"],"itemData":{"id":4743,"type":"article-journal","container-title":"Movement Disorders","DOI":"10.1002/mds.29026","ISSN":"0885-3185","issue":"7","journalAbbreviation":"Mov Disord","note":"PMID: 35420713\nPMCID: PMC9543227","page":"1444-1453","source":"PubMed Central","title":"Functional Brain Dysconnectivity in Parkinson's Disease: A 5‐Year Longitudinal Study","title-short":"Functional Brain Dysconnectivity in Parkinson's Disease","volume":"37","author":[{"family":"Yassine","given":"Sahar"},{"family":"Gschwandtner","given":"Ute"},{"family":"Auffret","given":"Manon"},{"family":"Achard","given":"Sophie"},{"family":"Verin","given":"Marc"},{"family":"Fuhr","given":"Peter"},{"family":"Hassan","given":"Mahmoud"}],"issued":{"date-parts":[["2022",7]]}},"label":"page"},{"id":4942,"uris":["http://zotero.org/groups/2424647/items/9UFLW8IZ"],"itemData":{"id":4942,"type":"article-journal","abstract":"OBJECTIVES: We aimed to test if EEG responses to novel events reliably dissociated individuals with Parkinson's disease and controls, and if this dissociation was sensitive and specific enough to be a candidate biomarker of cognitive dysfunction in Parkinson's disease.\nMETHODS: Participants included N = 25 individuals with Parkinson's disease and an equal number of well-matched controls. EEG was recorded during a three-stimulus auditory oddball paradigm both ON and OFF medication.\nRESULTS: While control participants showed reliable EEG habituation to novel events over time, individuals with Parkinson's did not. In the OFF condition, individual differences in habituation correlated with years since diagnosis. Pattern classifiers achieved high sensitivity and specificity in discriminating patients from controls, with a maximum accuracy of 82%. Most importantly, the confidence of the classifier was related to years since diagnosis, and this correlation increased as the time course of differential habituation increasingly distinguished the groups.\nCONCLUSIONS: These findings identify systemic alteration in an obligatory neural mechanism that may contribute to higher-level cognitive dysfunction in Parkinson's disease.\nSIGNIFICANCE: These findings suggest that EEG responses to novel events in this rapid, simple, and inexpensive test have tremendous promise for tracking individual trajectories of cognitive dysfunction in Parkinson's disease.","container-title":"Clinical Neurophysiology: Official Journal of the International Federation of Clinical Neurophysiology","DOI":"10.1016/j.clinph.2017.11.023","ISSN":"1872-8952","issue":"2","journalAbbreviation":"Clin Neurophysiol","language":"eng","note":"PMID: 29294412\nPMCID: PMC5999543","page":"409-418","source":"PubMed","title":"Diminished EEG habituation to novel events effectively classifies Parkinson's patients","volume":"129","author":[{"family":"Cavanagh","given":"James F."},{"family":"Kumar","given":"Praveen"},{"family":"Mueller","given":"Andrea A."},{"family":"Richardson","given":"Sarah Pirio"},{"family":"Mueen","given":"Abdullah"}],"issued":{"date-parts":[["2018",2]]}},"label":"page"},{"id":4945,"uris":["http://zotero.org/groups/2424647/items/4Q8LE2P8"],"itemData":{"id":4945,"type":"article-journal","abstract":"Neuroscience research has shown that specific brain patterns can relate to creativity during multiple tasks but also at rest. Nevertheless, the electrophysiological correlates of a highly creative brain remain largely unexplored. This study aims to uncover resting-state networks related to creative behavior using high-density electroencephalography (HD-EEG) and to test whether the strength of functional connectivity within these networks could predict individual creativity in novel subjects. We acquired resting state HD-EEG data from 90 healthy participants who completed a creative behavior inventory. We then employed connectome-based predictive modeling; a machine-learning technique that predicts behavioral measures from brain connectivity features. Using a support vector regression, our results reveal functional connectivity patterns related to high and low creativity, in the gamma frequency band (30-45 Hz). In leave-one-out cross-validation, the combined model of high and low networks predicts individual creativity with very good accuracy (r = 0.36, p = 0.00045). Furthermore, the model’s predictive power is established through external validation on an independent dataset (N = 41), showing a statistically significant correlation between observed and predicted creativity scores (r = 0.35, p = 0.02). These findings reveal large-scale networks that could predict creative behavior at rest, providing a crucial foundation for developing HD-EEG-network-based markers of creativity.","container-title":"Communications Biology","DOI":"10.1038/s42003-024-06461-6","ISSN":"2399-3642","issue":"1","journalAbbreviation":"Commun Biol","language":"en","license":"2024 The Author(s)","note":"publisher: Nature Publishing Group","page":"1-11","source":"www.nature.com","title":"Predicting creative behavior using resting-state electroencephalography","volume":"7","author":[{"family":"Chhade","given":"Fatima"},{"family":"Tabbal","given":"Judie"},{"family":"Paban","given":"Véronique"},{"family":"Auffret","given":"Manon"},{"family":"Hassan","given":"Mahmoud"},{"family":"Vérin","given":"Marc"}],"issued":{"date-parts":[["2024",6,29]]}},"label":"page"},{"id":4873,"uris":["http://zotero.org/groups/2424647/items/LCU4EGLH"],"itemData":{"id":4873,"type":"article-journal","abstract":"Abstract\n            \n              Behavioral studies have shown that the recognition of facial expressions may be impaired in patients with Alzheimer's disease (AD). The identification and recognition of a facial expression might be represented by event‐related brain oscillations. The present study aims to analyze EEG event‐related oscillations and determine the electrophysiological indicators of impaired facial expression recognition in AD patients. EEGs of 30 healthy controls and 30 AD patients were recorded during their perception of three different facial expressions (angry, happy, neutral). Event‐related power spectrum and phase locking were analyzed in the theta (4‒7) and alpha (8‒13 Hz) frequency bands with the EEGLAB open toolbox. There was a significant facial Expression × Group interaction (\n              p\n               &lt; 0.05) for the theta power spectrum; the healthy control group had higher theta power than the AD group during the perception of angry facial expressions (\n              p\n               &lt; 0.05). There was a significant hemisphere difference between the two groups (\n              p\n               &lt; 0.05). There was a right hemisphere alpha power dominance in healthy subjects. However, AD patients did not have this alpha power asymmetry. The present study, for the first time in the literature, presents the electrophysiological indicators of impaired recognition of facial expression in AD patients. The current study could be a basis for future studies that will analyze emotional processing in different kinds of dementia patients, and this study may have provided indicators of electrophysiological correlates of behavioral problems observed in clinical practice.\n            \n          , \n            The present study aims to analyze the impaired recognition of facial expression in Alzheimer's disease (AD) patients by the analysis of event related theta and alpha responses. The Alzheimer's disease patients had lower theta power during the recognition of “angry” facial expressions; this result supports the behavioral studies indicating that impairment in AD patients exists in the recognition of negative emotions. Healthy controls had higher right alpha power, AD patients did not have this alpha power asymmetry. The present study presents, for the first time in the literature, the electrophysiological indicators of impaired recognition of facial expression in AD patients.","container-title":"Psychophysiology","DOI":"10.1111/psyp.13434","ISSN":"0048-5772, 1469-8986","issue":"11","journalAbbreviation":"Psychophysiology","language":"en","page":"e13434","source":"DOI.org (Crossref)","title":"Impairment in recognition of emotional facial expressions in Alzheimer's disease is represented by EEG theta and alpha responses","volume":"56","author":[{"family":"Güntekin","given":"Bahar"},{"family":"Hanoğlu","given":"Lütfü"},{"family":"Aktürk","given":"Tuba"},{"family":"Fide","given":"Ezgi"},{"family":"Emek‐Savaş","given":"Derya Durusu"},{"family":"Ruşen","given":"Ece"},{"family":"Yıldırım","given":"Ebru"},{"family":"Yener","given":"Görsev G."}],"issued":{"date-parts":[["2019",11]]}},"label":"page"},{"id":4874,"uris":["http://zotero.org/groups/2424647/items/C7THVYYT"],"itemData":{"id":4874,"type":"article-journal","abstract":"Abstract\n            We propose a novel approach for the reconstruction of functional networks representing brain dynamics based on the idea that the coparticipation of two brain regions in a common cognitive task should result in a drop in their identifiability, or in the uniqueness of their dynamics. This identifiability is estimated through the score obtained by deep learning models in supervised classification tasks and therefore requires no a priori assumptions about the nature of such coparticipation. The method is tested on EEG recordings obtained from Alzheimer’s and Parkinson’s disease patients, and matched healthy volunteers, for eyes-open and eyes-closed resting–state conditions, and the resulting functional networks are analysed through standard topological metrics. Both groups of patients are characterised by a reduction in the identifiability of the corresponding EEG signals, and by differences in the patterns that support such identifiability. Resulting functional networks are similar, but not identical to those reconstructed by using a correlation metric. Differences between control subjects and patients can be observed in network metrics like the clustering coefficient and the assortativity in different frequency bands. Differences are also observed between eyes open and closed conditions, especially for Parkinson’s disease patients.","container-title":"Network Neuroscience","DOI":"10.1162/netn_a_00353","ISSN":"2472-1751","issue":"1","language":"en","page":"241-259","source":"DOI.org (Crossref)","title":"Reconstructing brain functional networks through identifiability and deep learning","volume":"8","author":[{"family":"Zanin","given":"Massimiliano"},{"family":"Aktürk","given":"Tuba"},{"family":"Yıldırım","given":"Ebru"},{"family":"Yerlikaya","given":"Deniz"},{"family":"Yener","given":"Görsev"},{"family":"Güntekin","given":"Bahar"}],"issued":{"date-parts":[["2024",4,1]]}},"label":"page"},{"id":4856,"uris":["http://zotero.org/groups/2424647/items/T65J39DT"],"itemData":{"id":4856,"type":"article-journal","abstract":"Objective. Emerging evidence shows that cognitive deficits in Alzheimer’s disease (AD) are associated with disruptions in brain functional connectivity. Thus, the identification of alterations in AD functional networks has become a topic of increasing interest. However, to what extent AD induces disruption of the balance of local and global information processing in the human brain remains elusive. The main objective of this study is to explore the dynamic topological changes of AD networks in terms of brain network segregation and integration. Approach. We used electroencephalography (EEG) data recorded from 20 participants (10 AD patients and 10 healthy controls) during resting state. Functional brain networks were reconstructed using EEG source connectivity computed in different frequency bands. Graph theoretical analyses were performed assess differences between both groups. Main results. Results revealed that AD networks, compared to networks of age-matched healthy controls, are characterized by lower global information processing (integration) and higher local information processing (segregation). Results showed also significant correlation between the alterations in the AD patients’ functional brain networks and their cognitive scores. Significance. These findings may contribute to the development of EEG network-based test that could strengthen results obtained from currently-used neurophysiological tests in neurodegenerative diseases.","container-title":"Journal of Neural Engineering","DOI":"10.1088/1741-2552/aaaa76","ISSN":"1741-2552","issue":"2","journalAbbreviation":"J. Neural Eng.","language":"en","note":"publisher: IOP Publishing","page":"026023","source":"Institute of Physics","title":"Reduced integration and improved segregation of functional brain networks in Alzheimer’s disease","volume":"15","author":[{"family":"Kabbara","given":"A."},{"family":"Eid","given":"H."},{"family":"Falou","given":"W. El"},{"family":"Khalil","given":"M."},{"family":"Wendling","given":"F."},{"family":"Hassan","given":"M."}],"issued":{"date-parts":[["2018",2]]}},"label":"page"},{"id":4858,"uris":["http://zotero.org/groups/2424647/items/KMN4FVQP"],"itemData":{"id":4858,"type":"paper-conference","container-title":"2019 Fifth International Conference on Advances in Biomedical Engineering (ICABME)","DOI":"10.1109/ICABME47164.2019.8940204","event-place":"Tripoli, Lebanon","event-title":"2019 Fifth International Conference on Advances in Biomedical Engineering (ICABME)","ISBN":"978-1-72812-314-1","license":"https://ieeexplore.ieee.org/Xplorehelp/downloads/license-information/IEEE.html","page":"1-4","publisher":"IEEE","publisher-place":"Tripoli, Lebanon","source":"DOI.org (Crossref)","title":"Altered motor performance in Alzheimer’s disease: a dynamic analysis using EEG","title-short":"Altered motor performance in Alzheimer’s disease","URL":"https://ieeexplore.ieee.org/document/8940204/","author":[{"family":"Allouch","given":"Sahar"},{"family":"Tabbal","given":"Judie"},{"family":"Nasser","given":"Assef"},{"family":"Hassan","given":"Mahmoud"},{"family":"Khalil","given":"Mohamad"},{"family":"Kabbara","given":"Aya"}],"accessed":{"date-parts":[["2024",4,17]]},"issued":{"date-parts":[["2019",10]]}},"label":"page"},{"id":4855,"uris":["http://zotero.org/groups/2424647/items/DY7KIYSK"],"itemData":{"id":4855,"type":"article-journal","abstract":"This study aims to investigate the effects of individual differences in trait coping on brain networks at rest using electroencephalography (EEG) data. EEG recordings were processed using graph theory analysis. Active and passive coping styles were determined according to the factor structure of the Brief Coping Orientation to Problems Experienced questionnaire. A structural equation modeling analysis indicated that the influence of coping strategies on quality of life varies in strength and direction. In particular, active coping strategies were positively correlated with the psychological dimension. Graph measures, at both global and nodal levels, were used to identify the brain network properties in accordance with passive versus active coping styles. Preliminary evidence showed that both the global and nodal graph metrics were affected by the coping strategy in the delta band. During resting state, passive coping strategy participants had network topology characterized by a high global efficiency, indicating an important level of integration between distant brain areas and a high local efficiency and transitivity, suggesting a high local communication between adjacent regions. Various regions, such as the paracentral lobule, posterior cingulate, and other frontal or parietal areas, seemed to play a key role, suggesting that processes such as emotional load are highly solicited in passive coping individuals. In active coping participants, the superior temporal gyrus seemed to be of importance when neurons oscillated in the theta and alpha frequencies.","container-title":"Brain Connectivity","DOI":"10.1089/brain.2018.0613","ISSN":"2158-0014","issue":"8","note":"publisher: Mary Ann Liebert, Inc., publishers","page":"475-486","source":"liebertpub.com (Atypon)","title":"Resting Brain Functional Networks and Trait Coping","volume":"8","author":[{"family":"Paban","given":"Veronique"},{"family":"Deshayes","given":"Claire"},{"family":"Ferrer","given":"Marie-Hélene"},{"family":"Weill","given":"Arnaud"},{"family":"Alescio-Lautier","given":"Beatrice"}],"issued":{"date-parts":[["2018",10]]}},"label":"page"},{"id":4843,"uris":["http://zotero.org/groups/2424647/items/IWLECGNQ"],"itemData":{"id":4843,"type":"article","abstract":"Resting state electroencephalographic (EEG) recording could provide cost-effective means to aid in the detection of neurological disorders such as Parkinson’s disease (PD). We examined how many electrodes are needed for classification of PD based on EEG, which electrode locations provide most value for classification, and whether data recorded eyes open or closed yield comparable results. We used a nested cross-validated classifier which included a budget-based search algorithm for selecting the optimal electrodes for classification. By iterating over variable budgets, we show that with eyes open recording, only 10 electrodes, localized over motor and occipital areas enable relatively accurate classification (AUC = .82) between PD patients (N=20) and age-matched healthy control participants (N=20). Classification accuracy only slightly increased when all 64 electrodes were included (AUC = .85). With the data recorded eyes closed, classification was not statistically significantly above chance even with full set of 64 electrodes (AUC = .55). These results show that classification based on small number of EEG electrodes is a promising tool for classifying PD, but measurement conditions and electrode locations can have a significant effect on classifier performance.","DOI":"10.1101/2020.05.08.084343","language":"en","license":"© 2020, Posted by Cold Spring Harbor Laboratory. This pre-print is available under a Creative Commons License (Attribution-NoDerivs 4.0 International), CC BY-ND 4.0, as described at http://creativecommons.org/licenses/by-nd/4.0/","note":"page: 2020.05.08.084343\nsection: New Results","publisher":"bioRxiv","source":"bioRxiv","title":"Resting state EEG as a biomarker of Parkinson’s disease: Influence of measurement conditions","title-short":"Resting state EEG as a biomarker of Parkinson’s disease","URL":"https://www.biorxiv.org/content/10.1101/2020.05.08.084343v1","author":[{"family":"Railo","given":"Henry"},{"family":"Suuronen","given":"Ilkka"},{"family":"Kaasinen","given":"Valtteri"},{"family":"Murtojärvi","given":"Mika"},{"family":"Pahikkala","given":"Tapio"},{"family":"Airola","given":"Antti"}],"accessed":{"date-parts":[["2024",4,17]]},"issued":{"date-parts":[["2020",5,10]]}},"label":"page"},{"id":4851,"uris":["http://zotero.org/groups/2424647/items/7IYG3XJR"],"itemData":{"id":4851,"type":"article-journal","abstract":"Many laboratories have begun to develop brain-computer interface (BCI) systems that provide communication and control capabilities to people with severe motor disabilities. Further progress and realization of practical applications depends on systematic evaluations and comparisons of different brain signals, recording methods, processing algorithms, output formats, and operating protocols. However, the typical BCI system is designed specifically for one particular BCI method and is, therefore, not suited to the systematic studies that are essential for continued progress. In response to this problem, we have developed a documented general-purpose BCI research and development platform called BCI2000. BCI2000 can incorporate alone or in combination any brain signals, signal processing methods, output devices, and operating protocols. This report is intended to describe to investigators, biomedical engineers, and computer scientists the concepts that the BCI2000 system is based upon and gives examples of successful BCI implementations using this system. To date, we have used BCI2000 to create BCI systems for a variety of brain signals, processing methods, and applications. The data show that these systems function well in online operation and that BCI2000 satisfies the stringent real-time requirements of BCI systems. By substantially reducing labor and cost, BCI2000 facilitates the implementation of different BCI systems and other psychophysiological experiments. It is available with full documentation and free of charge for research or educational purposes and is currently being used in a variety of studies by many research groups.","container-title":"IEEE Transactions on Biomedical Engineering","DOI":"10.1109/TBME.2004.827072","ISSN":"1558-2531","issue":"6","note":"event-title: IEEE Transactions on Biomedical Engineering","page":"1034-1043","source":"IEEE Xplore","title":"BCI2000: a general-purpose brain-computer interface (BCI) system","title-short":"BCI2000","volume":"51","author":[{"family":"Schalk","given":"G."},{"family":"McFarland","given":"D.J."},{"family":"Hinterberger","given":"T."},{"family":"Birbaumer","given":"N."},{"family":"Wolpaw","given":"J.R."}],"issued":{"date-parts":[["2004",6]]}},"label":"page"},{"id":4916,"uris":["http://zotero.org/groups/2424647/items/A8I8MR9L"],"itemData":{"id":4916,"type":"article-journal","abstract":"OBJECTIVE: Using EEG to characterise functional brain networks through graph theory has gained significant interest in clinical and basic research. However, the minimal requirements for reliable measures remain largely unaddressed. Here, we examined functional connectivity estimates and graph theory metrics obtained from EEG with varying electrode densities.\nMETHODS: EEG was recorded with 128 electrodes in 33 participants. The high-density EEG data were subsequently subsampled into three sparser montages (64, 32, and 19 electrodes). Four inverse solutions, four measures of functional connectivity, and five graph theory metrics were tested.\nRESULTS: The correlation between the results obtained with 128-electrode and the subsampled montages decreased as a function of the number of electrodes. As a result of decreased electrode density, the network metrics became skewed: mean network strength and clustering coefficient were overestimated, while characteristic path length was underestimated.\nCONCLUSIONS: Several graph theory metrics were altered when electrode density was reduced. Our results suggest that, for optimal balance between resource demand and result precision, a minimum of 64 electrodes should be utilised when graph theory metrics are used to characterise functional brain networks in source-reconstructed EEG data.\nSIGNIFICANCE: Characterisation of functional brain networks derived from low-density EEG warrants careful consideration.","container-title":"Clinical Neurophysiology: Official Journal of the International Federation of Clinical Neurophysiology","DOI":"10.1016/j.clinph.2023.03.002","ISSN":"1872-8952","journalAbbreviation":"Clin Neurophysiol","language":"eng","note":"PMID: 36972647","page":"1-16","source":"PubMed","title":"Reliable evaluation of functional connectivity and graph theory measures in source-level EEG: How many electrodes are enough?","title-short":"Reliable evaluation of functional connectivity and graph theory measures in source-level EEG","volume":"150","author":[{"family":"Hatlestad-Hall","given":"Christoffer"},{"family":"Bruña","given":"Ricardo"},{"family":"Liljeström","given":"Mia"},{"family":"Renvall","given":"Hanna"},{"family":"Heuser","given":"Kjell"},{"family":"Taubøll","given":"Erik"},{"family":"Maestú","given":"Fernando"},{"family":"Haraldsen","given":"Ira H."}],"issued":{"date-parts":[["2023",6]]}},"label":"page"},{"id":4848,"uris":["http://zotero.org/groups/2424647/items/5D44UNTV"],"itemData":{"id":4848,"type":"article-journal","abstract":"When selectively attending to a speech stream in multi-talker scenarios, low-frequency cortical activity is known to synchronize selectively to fluctuations in the attended speech signal. Older listeners with age-related sensorineural hearing loss (presbycusis) often struggle to understand speech in such situations, even when wearing a hearing aid. Yet, it is unclear whether a peripheral hearing loss degrades the attentional modulation of cortical speech tracking. Here, we used psychoacoustics and electroencephalography (EEG) in male and female human listeners to examine potential effects of hearing loss on EEG correlates of speech envelope synchronization in cortex. Behaviorally, older hearing-impaired (HI) listeners showed degraded speech-in-noise recognition and reduced temporal acuity compared with age-matched normal-hearing (NH) controls. During EEG recordings, we used a selective attention task with two spatially separated simultaneous speech streams where NH and HI listeners both showed high speech recognition performance. Low-frequency (&lt;10 Hz) envelope-entrained EEG responses were enhanced in the HI listeners, both for the attended speech, but also for tone sequences modulated at slow rates (4 Hz) during passive listening. Compared with the attended speech, responses to the ignored stream were found to be reduced in both HI and NH listeners, allowing for the attended target to be classified from single-trial EEG data with similar high accuracy in the two groups. However, despite robust attention-modulated speech entrainment, the HI listeners rated the competing speech task to be more difficult. These results suggest that speech-in-noise problems experienced by older HI listeners are not necessarily associated with degraded attentional selection.SIGNIFICANCE STATEMENT People with age-related sensorineural hearing loss often struggle to follow speech in the presence of competing talkers. It is currently unclear whether hearing impairment may impair the ability to use selective attention to suppress distracting speech in situations when the distractor is well segregated from the target. Here, we report amplified envelope-entrained cortical EEG responses to attended speech and to simple tones modulated at speech rates (4 Hz) in listeners with age-related hearing loss. Critically, despite increased self-reported listening difficulties, cortical synchronization to speech mixtures was robustly modulated by selective attention in listeners with hearing loss. This allowed the attended talker to be classified from single-trial EEG responses with high accuracy in both older hearing-impaired listeners and age-matched normal-hearing controls.","container-title":"The Journal of Neuroscience: The Official Journal of the Society for Neuroscience","DOI":"10.1523/JNEUROSCI.1936-19.2020","ISSN":"1529-2401","issue":"12","journalAbbreviation":"J Neurosci","language":"eng","note":"PMID: 32094201\nPMCID: PMC7083526","page":"2562-2572","source":"PubMed","title":"Effects of Sensorineural Hearing Loss on Cortical Synchronization to Competing Speech during Selective Attention","volume":"40","author":[{"family":"Fuglsang","given":"Søren A."},{"family":"Märcher-Rørsted","given":"Jonatan"},{"family":"Dau","given":"Torsten"},{"family":"Hjortkjær","given":"Jens"}],"issued":{"date-parts":[["2020",3,18]]}},"label":"page"},{"id":4909,"uris":["http://zotero.org/groups/2424647/items/Q3C974BB"],"itemData":{"id":4909,"type":"book","ISBN":"978-0-89042-559-6","title":"Diagnostic and statistical manual of mental disorders: DSM-5","volume":"5","author":[{"family":"American Psychiatric Association","given":""}],"issued":{"date-parts":[["2013",5,22]]}},"label":"page"},{"id":4922,"uris":["http://zotero.org/groups/2424647/items/TDHQMGTL"],"itemData":{"id":4922,"type":"article-journal","abstract":"The National Institute on Aging and the Alzheimer's Association charged a workgroup with the task of revising the 1984 criteria for Alzheimer's disease (AD) dementia. The workgroup sought to ensure that the revised criteria would be flexible enough to be used by both general healthcare providers without access to neuropsychological testing, advanced imaging, and cerebrospinal fluid measures, and specialized investigators involved in research or in clinical trial studies who would have these tools available. We present criteria for all-cause dementia and for AD dementia. We retained the general framework of probable AD dementia from the 1984 criteria. On the basis of the past 27 years of experience, we made several changes in the clinical criteria for the diagnosis. We also retained the term possible AD dementia, but redefined it in a manner more focused than before. Biomarker evidence was also integrated into the diagnostic formulations for probable and possible AD dementia for use in research settings. The core clinical criteria for AD dementia will continue to be the cornerstone of the diagnosis in clinical practice, but biomarker evidence is expected to enhance the pathophysiological specificity of the diagnosis of AD dementia. Much work lies ahead for validating the biomarker diagnosis of AD dementia.","container-title":"Alzheimer's &amp; Dementia: The Journal of the Alzheimer's Association","DOI":"10.1016/j.jalz.2011.03.005","ISSN":"1552-5279","issue":"3","journalAbbreviation":"Alzheimers Dement","language":"eng","note":"PMID: 21514250\nPMCID: PMC3312024","page":"263-269","source":"PubMed","title":"The diagnosis of dementia due to Alzheimer's disease: recommendations from the National Institute on Aging-Alzheimer's Association workgroups on diagnostic guidelines for Alzheimer's disease","title-short":"The diagnosis of dementia due to Alzheimer's disease","volume":"7","author":[{"family":"McKhann","given":"Guy M."},{"family":"Knopman","given":"David S."},{"family":"Chertkow","given":"Howard"},{"family":"Hyman","given":"Bradley T."},{"family":"Jack","given":"Clifford R."},{"family":"Kawas","given":"Claudia H."},{"family":"Klunk","given":"William E."},{"family":"Koroshetz","given":"Walter J."},{"family":"Manly","given":"Jennifer J."},{"family":"Mayeux","given":"Richard"},{"family":"Mohs","given":"Richard C."},{"family":"Morris","given":"John C."},{"family":"Rossor","given":"Martin N."},{"family":"Scheltens","given":"Philip"},{"family":"Carrillo","given":"Maria C."},{"family":"Thies","given":"Bill"},{"family":"Weintraub","given":"Sandra"},{"family":"Phelps","given":"Creighton H."}],"issued":{"date-parts":[["2011",5]]}},"label":"page"},{"id":4951,"uris":["http://zotero.org/groups/2424647/items/7JBC9GSR"],"itemData":{"id":4951,"type":"article-journal","container-title":"The New England Journal of Medicine","DOI":"10.1056/NEJM199810083391506","ISSN":"0028-4793","issue":"15","journalAbbreviation":"N Engl J Med","language":"eng","note":"PMID: 9761807","page":"1044-1053","source":"PubMed","title":"Parkinson's disease. First of two parts","volume":"339","author":[{"family":"Lang","given":"A. E."},{"family":"Lozano","given":"A. M."}],"issued":{"date-parts":[["1998",10,8]]}},"label":"page"},{"id":4975,"uris":["http://zotero.org/groups/2424647/items/GCIYA8CJ"],"itemData":{"id":4975,"type":"article-journal","container-title":"Psychopharmacology Bulletin","ISSN":"0048-5764","issue":"4","journalAbbreviation":"Psychopharmacol Bull","language":"eng","note":"PMID: 3249765","page":"637-639","source":"PubMed","title":"Clinical Dementia Rating (CDR)","volume":"24","author":[{"family":"Berg","given":"L."}],"issued":{"date-parts":[["1988"]]}},"label":"page"},{"id":4928,"uris":["http://zotero.org/groups/2424647/items/CI672XCZ"],"itemData":{"id":4928,"type":"article-journal","abstract":"This document presents the Movement Disorder Society Clinical Diagnostic Criteria for Parkinson's disease (PD). The Movement Disorder Society PD Criteria are intended for use in clinical research but also may be used to guide clinical diagnosis. The benchmark for these criteria is expert clinical diagnosis; the criteria aim to systematize the diagnostic process, to make it reproducible across centers and applicable by clinicians with less expertise in PD diagnosis. Although motor abnormalities remain central, increasing recognition has been given to nonmotor manifestations; these are incorporated into both the current criteria and particularly into separate criteria for prodromal PD. Similar to previous criteria, the Movement Disorder Society PD Criteria retain motor parkinsonism as the core feature of the disease, defined as bradykinesia plus rest tremor or rigidity. Explicit instructions for defining these cardinal features are included. After documentation of parkinsonism, determination of PD as the cause of parkinsonism relies on three categories of diagnostic features: absolute exclusion criteria (which rule out PD), red flags (which must be counterbalanced by additional supportive criteria to allow diagnosis of PD), and supportive criteria (positive features that increase confidence of the PD diagnosis). Two levels of certainty are delineated: clinically established PD (maximizing specificity at the expense of reduced sensitivity) and probable PD (which balances sensitivity and specificity). The Movement Disorder Society criteria retain elements proven valuable in previous criteria and omit aspects that are no longer justified, thereby encapsulating diagnosis according to current knowledge. As understanding of PD expands, the Movement Disorder Society criteria will need continuous revision to accommodate these advances.","container-title":"Movement Disorders: Official Journal of the Movement Disorder Society","DOI":"10.1002/mds.26424","ISSN":"1531-8257","issue":"12","journalAbbreviation":"Mov Disord","language":"eng","note":"PMID: 26474316","page":"1591-1601","source":"PubMed","title":"MDS clinical diagnostic criteria for Parkinson's disease","volume":"30","author":[{"family":"Postuma","given":"Ronald B."},{"family":"Berg","given":"Daniela"},{"family":"Stern","given":"Matthew"},{"family":"Poewe","given":"Werner"},{"family":"Olanow","given":"C. Warren"},{"family":"Oertel","given":"Wolfgang"},{"family":"Obeso","given":"José"},{"family":"Marek","given":"Kenneth"},{"family":"Litvan","given":"Irene"},{"family":"Lang","given":"Anthony E."},{"family":"Halliday","given":"Glenda"},{"family":"Goetz","given":"Christopher G."},{"family":"Gasser","given":"Thomas"},{"family":"Dubois","given":"Bruno"},{"family":"Chan","given":"Piu"},{"family":"Bloem","given":"Bastiaan R."},{"family":"Adler","given":"Charles H."},{"family":"Deuschl","given":"Günther"}],"issued":{"date-parts":[["2015",10]]}},"label":"page"},{"id":4914,"uris":["http://zotero.org/groups/2424647/items/LHH38L39"],"itemData":{"id":4914,"type":"article-journal","abstract":"The UK Parkinson's Disease Society Brain Bank receives tissue from patients with Parkinson's disease and a variety of different movement disorders. Half of the brain is used for full neuropathological examination prior to allocation for specific research projects. Clinical misdiagnosis occurs in a significant proportion of cases and clinico-pathological correlation provides valuable information for disease recognition. With the expanding number of other specialist brain banks there is a need for agreement on diagnostic criteria. Furthermore, awareness of different methods of tissue handling is essential.","container-title":"Journal of Neural Transmission. Supplementum","ISSN":"0303-6995","journalAbbreviation":"J Neural Transm Suppl","language":"eng","note":"PMID: 8360656","page":"165-172","source":"PubMed","title":"Parkinson's Disease Society Brain Bank, London: overview and research","title-short":"Parkinson's Disease Society Brain Bank, London","volume":"39","author":[{"family":"Daniel","given":"S. E."},{"family":"Lees","given":"A. J."}],"issued":{"date-parts":[["1993"]]}},"label":"page"},{"id":4949,"uris":["http://zotero.org/groups/2424647/items/ECIPNJVX"],"itemData":{"id":4949,"type":"article-journal","container-title":"Neurology","DOI":"10.1212/wnl.17.5.427","ISSN":"0028-3878","issue":"5","journalAbbreviation":"Neurology","language":"eng","note":"PMID: 6067254","page":"427-442","source":"PubMed","title":"Parkinsonism: onset, progression and mortality","title-short":"Parkinsonism","volume":"17","author":[{"family":"Hoehn","given":"M. M."},{"family":"Yahr","given":"M. D."}],"issued":{"date-parts":[["1967",5]]}},"label":"page"},{"id":4947,"uris":["http://zotero.org/groups/2424647/items/VRN5ZIAG"],"itemData":{"id":4947,"type":"article-journal","container-title":"Psychopharmacology Bulletin","ISSN":"0048-5764","issue":"4","journalAbbreviation":"Psychopharmacol Bull","language":"eng","note":"PMID: 3249771","page":"689-692","source":"PubMed","title":"Mini-Mental State Examination (MMSE)","volume":"24","author":[{"family":"Cockrell","given":"J. R."},{"family":"Folstein","given":"M. F."}],"issued":{"date-parts":[["1988"]]}},"label":"page"}],"schema":"https://github.com/citation-style-language/schema/raw/master/csl-citation.json"} </w:instrText>
      </w:r>
      <w:r w:rsidR="00535EE5" w:rsidRPr="006773DE">
        <w:rPr>
          <w:rFonts w:ascii="Times New Roman" w:eastAsia="Times New Roman" w:hAnsi="Times New Roman" w:cs="Times New Roman"/>
          <w:b/>
        </w:rPr>
        <w:fldChar w:fldCharType="separate"/>
      </w:r>
      <w:r w:rsidR="00041CE3" w:rsidRPr="00041CE3">
        <w:rPr>
          <w:rFonts w:ascii="Times New Roman" w:hAnsi="Times New Roman" w:cs="Times New Roman"/>
          <w:szCs w:val="24"/>
          <w:vertAlign w:val="superscript"/>
        </w:rPr>
        <w:t>1–22</w:t>
      </w:r>
      <w:r w:rsidR="00535EE5" w:rsidRPr="006773DE">
        <w:rPr>
          <w:rFonts w:ascii="Times New Roman" w:eastAsia="Times New Roman" w:hAnsi="Times New Roman" w:cs="Times New Roman"/>
          <w:b/>
        </w:rPr>
        <w:fldChar w:fldCharType="end"/>
      </w:r>
      <w:r w:rsidR="00BF7638">
        <w:rPr>
          <w:rFonts w:ascii="Times New Roman" w:eastAsia="Times New Roman" w:hAnsi="Times New Roman" w:cs="Times New Roman"/>
          <w:b/>
        </w:rPr>
        <w:t xml:space="preserve">. </w:t>
      </w:r>
    </w:p>
    <w:p w:rsidR="009F4162" w:rsidRDefault="00BF7638" w:rsidP="00006C79">
      <w:pPr>
        <w:spacing w:after="200"/>
        <w:jc w:val="both"/>
        <w:rPr>
          <w:rFonts w:ascii="Times New Roman" w:eastAsia="Times New Roman" w:hAnsi="Times New Roman" w:cs="Times New Roman"/>
          <w:sz w:val="24"/>
          <w:szCs w:val="24"/>
        </w:rPr>
      </w:pPr>
      <w:r>
        <w:rPr>
          <w:color w:val="0000EE"/>
          <w:u w:val="single"/>
        </w:rPr>
        <w:t>Supplementary_</w:t>
      </w:r>
      <w:r w:rsidR="00006C79">
        <w:rPr>
          <w:color w:val="0000EE"/>
          <w:u w:val="single"/>
        </w:rPr>
        <w:t>Data</w:t>
      </w:r>
      <w:r>
        <w:rPr>
          <w:color w:val="0000EE"/>
          <w:u w:val="single"/>
        </w:rPr>
        <w:t>_S1</w:t>
      </w:r>
      <w:r>
        <w:rPr>
          <w:rFonts w:ascii="Times New Roman" w:eastAsia="Times New Roman" w:hAnsi="Times New Roman" w:cs="Times New Roman"/>
          <w:sz w:val="24"/>
          <w:szCs w:val="24"/>
        </w:rPr>
        <w:t xml:space="preserve"> (Excel File)</w:t>
      </w:r>
    </w:p>
    <w:p w:rsidR="009F4162" w:rsidRPr="00C04FD3" w:rsidRDefault="00712772" w:rsidP="003261CB">
      <w:pPr>
        <w:spacing w:after="200"/>
        <w:jc w:val="both"/>
        <w:rPr>
          <w:rFonts w:ascii="Times New Roman" w:eastAsia="Times New Roman" w:hAnsi="Times New Roman" w:cs="Times New Roman"/>
          <w:sz w:val="24"/>
          <w:szCs w:val="24"/>
        </w:rPr>
      </w:pPr>
      <w:r w:rsidRPr="00C04FD3">
        <w:rPr>
          <w:rFonts w:ascii="Times New Roman" w:eastAsia="Times New Roman" w:hAnsi="Times New Roman" w:cs="Times New Roman"/>
          <w:b/>
        </w:rPr>
        <w:t xml:space="preserve">Supplementary </w:t>
      </w:r>
      <w:r w:rsidR="003261CB" w:rsidRPr="00C04FD3">
        <w:rPr>
          <w:rFonts w:ascii="Times New Roman" w:eastAsia="Times New Roman" w:hAnsi="Times New Roman" w:cs="Times New Roman"/>
          <w:b/>
        </w:rPr>
        <w:t>Data</w:t>
      </w:r>
      <w:r w:rsidRPr="00C04FD3">
        <w:rPr>
          <w:rFonts w:ascii="Times New Roman" w:eastAsia="Times New Roman" w:hAnsi="Times New Roman" w:cs="Times New Roman"/>
          <w:b/>
        </w:rPr>
        <w:t xml:space="preserve"> 2</w:t>
      </w:r>
      <w:r w:rsidR="00BF7638" w:rsidRPr="00C04FD3">
        <w:rPr>
          <w:rFonts w:ascii="Times New Roman" w:eastAsia="Times New Roman" w:hAnsi="Times New Roman" w:cs="Times New Roman"/>
          <w:b/>
        </w:rPr>
        <w:t xml:space="preserve"> | Channel indices mapping between the reference EEG system (</w:t>
      </w:r>
      <w:r w:rsidR="00BF7638" w:rsidRPr="00C04FD3">
        <w:rPr>
          <w:rFonts w:ascii="Times New Roman" w:eastAsia="Times New Roman" w:hAnsi="Times New Roman" w:cs="Times New Roman"/>
          <w:b/>
          <w:color w:val="222222"/>
        </w:rPr>
        <w:t xml:space="preserve">Nihon </w:t>
      </w:r>
      <w:proofErr w:type="spellStart"/>
      <w:r w:rsidR="00BF7638" w:rsidRPr="00C04FD3">
        <w:rPr>
          <w:rFonts w:ascii="Times New Roman" w:eastAsia="Times New Roman" w:hAnsi="Times New Roman" w:cs="Times New Roman"/>
          <w:b/>
          <w:color w:val="222222"/>
        </w:rPr>
        <w:t>Kohden</w:t>
      </w:r>
      <w:proofErr w:type="spellEnd"/>
      <w:r w:rsidR="00BF7638" w:rsidRPr="00C04FD3">
        <w:rPr>
          <w:rFonts w:ascii="Times New Roman" w:eastAsia="Times New Roman" w:hAnsi="Times New Roman" w:cs="Times New Roman"/>
          <w:b/>
          <w:color w:val="222222"/>
        </w:rPr>
        <w:t xml:space="preserve"> EEG 2100, 19 channels) and the other EEG system</w:t>
      </w:r>
      <w:r w:rsidR="00BF7638" w:rsidRPr="00C04FD3">
        <w:rPr>
          <w:rFonts w:ascii="Times New Roman" w:eastAsia="Times New Roman" w:hAnsi="Times New Roman" w:cs="Times New Roman"/>
          <w:b/>
        </w:rPr>
        <w:t xml:space="preserve">s used in this study across 14 sites. </w:t>
      </w:r>
    </w:p>
    <w:p w:rsidR="009F4162" w:rsidRPr="00C04FD3" w:rsidRDefault="00BF7638" w:rsidP="00006C79">
      <w:pPr>
        <w:spacing w:after="200"/>
        <w:jc w:val="both"/>
        <w:rPr>
          <w:rFonts w:ascii="Times New Roman" w:eastAsia="Times New Roman" w:hAnsi="Times New Roman" w:cs="Times New Roman"/>
          <w:sz w:val="24"/>
          <w:szCs w:val="24"/>
        </w:rPr>
      </w:pPr>
      <w:r w:rsidRPr="00C04FD3">
        <w:rPr>
          <w:color w:val="0000EE"/>
          <w:u w:val="single"/>
        </w:rPr>
        <w:t>Supplementary_</w:t>
      </w:r>
      <w:r w:rsidR="00006C79" w:rsidRPr="00C04FD3">
        <w:rPr>
          <w:color w:val="0000EE"/>
          <w:u w:val="single"/>
        </w:rPr>
        <w:t>Data</w:t>
      </w:r>
      <w:r w:rsidRPr="00C04FD3">
        <w:rPr>
          <w:color w:val="0000EE"/>
          <w:u w:val="single"/>
        </w:rPr>
        <w:t>_S2</w:t>
      </w:r>
      <w:r w:rsidRPr="00C04FD3">
        <w:rPr>
          <w:rFonts w:ascii="Times New Roman" w:eastAsia="Times New Roman" w:hAnsi="Times New Roman" w:cs="Times New Roman"/>
          <w:sz w:val="24"/>
          <w:szCs w:val="24"/>
        </w:rPr>
        <w:t xml:space="preserve"> (Excel File)</w:t>
      </w:r>
    </w:p>
    <w:p w:rsidR="009F4162" w:rsidRDefault="009F4162">
      <w:pPr>
        <w:jc w:val="both"/>
        <w:rPr>
          <w:rFonts w:ascii="Times New Roman" w:eastAsia="Times New Roman" w:hAnsi="Times New Roman" w:cs="Times New Roman"/>
        </w:rPr>
      </w:pPr>
      <w:bookmarkStart w:id="3" w:name="_heading=h.3znysh7" w:colFirst="0" w:colLast="0"/>
      <w:bookmarkEnd w:id="3"/>
    </w:p>
    <w:p w:rsidR="009F4162" w:rsidRPr="00712772" w:rsidRDefault="00BF7638" w:rsidP="00712772">
      <w:pPr>
        <w:pStyle w:val="Titre2"/>
        <w:spacing w:before="240" w:after="200"/>
        <w:jc w:val="both"/>
        <w:rPr>
          <w:rFonts w:ascii="Times New Roman" w:eastAsia="Times New Roman" w:hAnsi="Times New Roman" w:cs="Times New Roman"/>
          <w:b/>
        </w:rPr>
      </w:pPr>
      <w:r w:rsidRPr="00712772">
        <w:rPr>
          <w:rFonts w:ascii="Times New Roman" w:eastAsia="Times New Roman" w:hAnsi="Times New Roman" w:cs="Times New Roman"/>
          <w:b/>
        </w:rPr>
        <w:t>Exploratory Data Analysis</w:t>
      </w:r>
    </w:p>
    <w:p w:rsidR="009F4162" w:rsidRDefault="00BF7638">
      <w:pPr>
        <w:jc w:val="both"/>
        <w:rPr>
          <w:rFonts w:ascii="Times New Roman" w:eastAsia="Times New Roman" w:hAnsi="Times New Roman" w:cs="Times New Roman"/>
        </w:rPr>
      </w:pPr>
      <w:r>
        <w:rPr>
          <w:rFonts w:ascii="Times New Roman" w:eastAsia="Times New Roman" w:hAnsi="Times New Roman" w:cs="Times New Roman"/>
        </w:rPr>
        <w:t xml:space="preserve">We performed a Mann-Whitney U test to check for any significant differences in the EEG spectral power and functional connectivity distribution between male and female participants within each group. The effect sizes of these differences </w:t>
      </w:r>
      <w:proofErr w:type="gramStart"/>
      <w:r>
        <w:rPr>
          <w:rFonts w:ascii="Times New Roman" w:eastAsia="Times New Roman" w:hAnsi="Times New Roman" w:cs="Times New Roman"/>
        </w:rPr>
        <w:t>were quantified</w:t>
      </w:r>
      <w:proofErr w:type="gramEnd"/>
      <w:r>
        <w:rPr>
          <w:rFonts w:ascii="Times New Roman" w:eastAsia="Times New Roman" w:hAnsi="Times New Roman" w:cs="Times New Roman"/>
        </w:rPr>
        <w:t xml:space="preserve"> using Cohen’s d. </w:t>
      </w:r>
    </w:p>
    <w:p w:rsidR="009F4162" w:rsidRDefault="009F4162">
      <w:pPr>
        <w:rPr>
          <w:rFonts w:ascii="Times New Roman" w:eastAsia="Times New Roman" w:hAnsi="Times New Roman" w:cs="Times New Roman"/>
        </w:rPr>
      </w:pPr>
    </w:p>
    <w:p w:rsidR="009F4162" w:rsidRDefault="00BF7638">
      <w:pPr>
        <w:rPr>
          <w:rFonts w:ascii="Times New Roman" w:eastAsia="Times New Roman" w:hAnsi="Times New Roman" w:cs="Times New Roman"/>
        </w:rPr>
      </w:pPr>
      <w:r>
        <w:rPr>
          <w:rFonts w:ascii="Times New Roman" w:eastAsia="Times New Roman" w:hAnsi="Times New Roman" w:cs="Times New Roman"/>
          <w:noProof/>
          <w:lang w:val="en-US"/>
        </w:rPr>
        <w:lastRenderedPageBreak/>
        <w:drawing>
          <wp:inline distT="114300" distB="114300" distL="114300" distR="114300">
            <wp:extent cx="5943600" cy="3975100"/>
            <wp:effectExtent l="0" t="0" r="0" b="0"/>
            <wp:docPr id="2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
                    <a:srcRect/>
                    <a:stretch>
                      <a:fillRect/>
                    </a:stretch>
                  </pic:blipFill>
                  <pic:spPr>
                    <a:xfrm>
                      <a:off x="0" y="0"/>
                      <a:ext cx="5943600" cy="3975100"/>
                    </a:xfrm>
                    <a:prstGeom prst="rect">
                      <a:avLst/>
                    </a:prstGeom>
                    <a:ln/>
                  </pic:spPr>
                </pic:pic>
              </a:graphicData>
            </a:graphic>
          </wp:inline>
        </w:drawing>
      </w:r>
    </w:p>
    <w:p w:rsidR="009F4162" w:rsidRDefault="009F4162">
      <w:pPr>
        <w:rPr>
          <w:rFonts w:ascii="Times New Roman" w:eastAsia="Times New Roman" w:hAnsi="Times New Roman" w:cs="Times New Roman"/>
        </w:rPr>
      </w:pP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 xml:space="preserve">1 | Sex differences in the averaged relative power of EEG frequency bands in Healthy Controls (HC), Parkinson’s Disease (PD) and Alzheimer’s Disease (AD) groups. </w:t>
      </w:r>
      <w:r w:rsidR="00BF7638">
        <w:rPr>
          <w:rFonts w:ascii="Times New Roman" w:eastAsia="Times New Roman" w:hAnsi="Times New Roman" w:cs="Times New Roman"/>
        </w:rPr>
        <w:t>(*) denote statistically significant differences between sexes within each frequency band.</w:t>
      </w:r>
    </w:p>
    <w:p w:rsidR="009F4162" w:rsidRDefault="009F4162">
      <w:pPr>
        <w:jc w:val="center"/>
        <w:rPr>
          <w:rFonts w:ascii="Times New Roman" w:eastAsia="Times New Roman" w:hAnsi="Times New Roman" w:cs="Times New Roman"/>
          <w:color w:val="073763"/>
        </w:rPr>
      </w:pPr>
    </w:p>
    <w:p w:rsidR="009F4162" w:rsidRDefault="009F4162">
      <w:pPr>
        <w:jc w:val="center"/>
        <w:rPr>
          <w:rFonts w:ascii="Times New Roman" w:eastAsia="Times New Roman" w:hAnsi="Times New Roman" w:cs="Times New Roman"/>
          <w:color w:val="073763"/>
        </w:rPr>
      </w:pPr>
    </w:p>
    <w:p w:rsidR="009F4162" w:rsidRDefault="00712772" w:rsidP="00D10C2C">
      <w:pPr>
        <w:spacing w:after="200"/>
        <w:jc w:val="both"/>
        <w:rPr>
          <w:rFonts w:ascii="Times New Roman" w:eastAsia="Times New Roman" w:hAnsi="Times New Roman" w:cs="Times New Roman"/>
          <w:i/>
        </w:rPr>
      </w:pPr>
      <w:r>
        <w:rPr>
          <w:rFonts w:ascii="Times New Roman" w:eastAsia="Times New Roman" w:hAnsi="Times New Roman" w:cs="Times New Roman"/>
          <w:b/>
        </w:rPr>
        <w:t xml:space="preserve">Supplementary Table </w:t>
      </w:r>
      <w:r w:rsidR="00D10C2C">
        <w:rPr>
          <w:rFonts w:ascii="Times New Roman" w:eastAsia="Times New Roman" w:hAnsi="Times New Roman" w:cs="Times New Roman"/>
          <w:b/>
        </w:rPr>
        <w:t>1</w:t>
      </w:r>
      <w:r w:rsidR="00BF7638">
        <w:rPr>
          <w:rFonts w:ascii="Times New Roman" w:eastAsia="Times New Roman" w:hAnsi="Times New Roman" w:cs="Times New Roman"/>
          <w:b/>
        </w:rPr>
        <w:t xml:space="preserve"> | Sex differences in the averaged relative power of EEG frequency bands: </w:t>
      </w:r>
      <w:r w:rsidR="00BF7638">
        <w:rPr>
          <w:rFonts w:ascii="Times New Roman" w:eastAsia="Times New Roman" w:hAnsi="Times New Roman" w:cs="Times New Roman"/>
          <w:b/>
          <w:i/>
        </w:rPr>
        <w:t>P-value (Cohen’s d).</w:t>
      </w:r>
    </w:p>
    <w:tbl>
      <w:tblPr>
        <w:tblStyle w:val="a5"/>
        <w:tblW w:w="8730" w:type="dxa"/>
        <w:tblBorders>
          <w:top w:val="nil"/>
          <w:left w:val="nil"/>
          <w:bottom w:val="nil"/>
          <w:right w:val="nil"/>
          <w:insideH w:val="nil"/>
          <w:insideV w:val="nil"/>
        </w:tblBorders>
        <w:tblLayout w:type="fixed"/>
        <w:tblLook w:val="0600" w:firstRow="0" w:lastRow="0" w:firstColumn="0" w:lastColumn="0" w:noHBand="1" w:noVBand="1"/>
      </w:tblPr>
      <w:tblGrid>
        <w:gridCol w:w="675"/>
        <w:gridCol w:w="1425"/>
        <w:gridCol w:w="1470"/>
        <w:gridCol w:w="1620"/>
        <w:gridCol w:w="1605"/>
        <w:gridCol w:w="1935"/>
      </w:tblGrid>
      <w:tr w:rsidR="009F4162">
        <w:trPr>
          <w:trHeight w:val="400"/>
        </w:trPr>
        <w:tc>
          <w:tcPr>
            <w:tcW w:w="675" w:type="dxa"/>
            <w:tcBorders>
              <w:top w:val="nil"/>
              <w:left w:val="nil"/>
              <w:bottom w:val="single" w:sz="4" w:space="0" w:color="000000"/>
              <w:right w:val="single" w:sz="4" w:space="0" w:color="000000"/>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425" w:type="dxa"/>
            <w:tcBorders>
              <w:top w:val="nil"/>
              <w:left w:val="nil"/>
              <w:bottom w:val="single" w:sz="4" w:space="0" w:color="000000"/>
              <w:right w:val="nil"/>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Delta [1-4] Hz</w:t>
            </w:r>
          </w:p>
        </w:tc>
        <w:tc>
          <w:tcPr>
            <w:tcW w:w="1470" w:type="dxa"/>
            <w:tcBorders>
              <w:top w:val="nil"/>
              <w:left w:val="nil"/>
              <w:bottom w:val="single" w:sz="4" w:space="0" w:color="000000"/>
              <w:right w:val="nil"/>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Theta [4-8] Hz</w:t>
            </w:r>
          </w:p>
        </w:tc>
        <w:tc>
          <w:tcPr>
            <w:tcW w:w="1620" w:type="dxa"/>
            <w:tcBorders>
              <w:top w:val="nil"/>
              <w:left w:val="nil"/>
              <w:bottom w:val="single" w:sz="4" w:space="0" w:color="000000"/>
              <w:right w:val="nil"/>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Alpha [8-13] Hz</w:t>
            </w:r>
          </w:p>
        </w:tc>
        <w:tc>
          <w:tcPr>
            <w:tcW w:w="1605" w:type="dxa"/>
            <w:tcBorders>
              <w:top w:val="nil"/>
              <w:left w:val="nil"/>
              <w:bottom w:val="single" w:sz="4" w:space="0" w:color="000000"/>
              <w:right w:val="nil"/>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Beta [13-30] Hz</w:t>
            </w:r>
          </w:p>
        </w:tc>
        <w:tc>
          <w:tcPr>
            <w:tcW w:w="1935" w:type="dxa"/>
            <w:tcBorders>
              <w:top w:val="nil"/>
              <w:left w:val="nil"/>
              <w:bottom w:val="single" w:sz="4" w:space="0" w:color="000000"/>
              <w:right w:val="nil"/>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Gamma [30-45] Hz</w:t>
            </w:r>
          </w:p>
        </w:tc>
      </w:tr>
      <w:tr w:rsidR="009F4162">
        <w:trPr>
          <w:trHeight w:val="400"/>
        </w:trPr>
        <w:tc>
          <w:tcPr>
            <w:tcW w:w="675" w:type="dxa"/>
            <w:tcBorders>
              <w:top w:val="nil"/>
              <w:left w:val="nil"/>
              <w:bottom w:val="nil"/>
              <w:right w:val="single" w:sz="4" w:space="0" w:color="000000"/>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HC</w:t>
            </w:r>
          </w:p>
        </w:tc>
        <w:tc>
          <w:tcPr>
            <w:tcW w:w="142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0.06 (-0.15)</w:t>
            </w:r>
          </w:p>
        </w:tc>
        <w:tc>
          <w:tcPr>
            <w:tcW w:w="1470"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0.75 (0.04)</w:t>
            </w:r>
          </w:p>
        </w:tc>
        <w:tc>
          <w:tcPr>
            <w:tcW w:w="1620"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0.63 (0.07)</w:t>
            </w:r>
          </w:p>
        </w:tc>
        <w:tc>
          <w:tcPr>
            <w:tcW w:w="160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0.16 (-0.11)</w:t>
            </w:r>
          </w:p>
        </w:tc>
        <w:tc>
          <w:tcPr>
            <w:tcW w:w="193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0.39 (0.22)</w:t>
            </w:r>
          </w:p>
        </w:tc>
      </w:tr>
      <w:tr w:rsidR="009F4162">
        <w:trPr>
          <w:trHeight w:val="400"/>
        </w:trPr>
        <w:tc>
          <w:tcPr>
            <w:tcW w:w="675" w:type="dxa"/>
            <w:tcBorders>
              <w:top w:val="nil"/>
              <w:left w:val="nil"/>
              <w:bottom w:val="nil"/>
              <w:right w:val="single" w:sz="4" w:space="0" w:color="000000"/>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PD</w:t>
            </w:r>
          </w:p>
        </w:tc>
        <w:tc>
          <w:tcPr>
            <w:tcW w:w="142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0.09 (0.18)</w:t>
            </w:r>
          </w:p>
        </w:tc>
        <w:tc>
          <w:tcPr>
            <w:tcW w:w="1470" w:type="dxa"/>
            <w:tcBorders>
              <w:top w:val="nil"/>
              <w:left w:val="nil"/>
              <w:bottom w:val="nil"/>
              <w:right w:val="nil"/>
            </w:tcBorders>
            <w:shd w:val="clear" w:color="auto" w:fill="D9EAD3"/>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0.00 (0.46)</w:t>
            </w:r>
          </w:p>
        </w:tc>
        <w:tc>
          <w:tcPr>
            <w:tcW w:w="1620" w:type="dxa"/>
            <w:tcBorders>
              <w:top w:val="nil"/>
              <w:left w:val="nil"/>
              <w:bottom w:val="nil"/>
              <w:right w:val="nil"/>
            </w:tcBorders>
            <w:shd w:val="clear" w:color="auto" w:fill="D9EAD3"/>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0.02 (-0.35)</w:t>
            </w:r>
          </w:p>
        </w:tc>
        <w:tc>
          <w:tcPr>
            <w:tcW w:w="1605" w:type="dxa"/>
            <w:tcBorders>
              <w:top w:val="nil"/>
              <w:left w:val="nil"/>
              <w:bottom w:val="nil"/>
              <w:right w:val="nil"/>
            </w:tcBorders>
            <w:shd w:val="clear" w:color="auto" w:fill="D9EAD3"/>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0.01 (-0.33)</w:t>
            </w:r>
          </w:p>
        </w:tc>
        <w:tc>
          <w:tcPr>
            <w:tcW w:w="193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0.70 (0.03)</w:t>
            </w:r>
          </w:p>
        </w:tc>
      </w:tr>
      <w:tr w:rsidR="009F4162">
        <w:trPr>
          <w:trHeight w:val="400"/>
        </w:trPr>
        <w:tc>
          <w:tcPr>
            <w:tcW w:w="675" w:type="dxa"/>
            <w:tcBorders>
              <w:top w:val="nil"/>
              <w:left w:val="nil"/>
              <w:bottom w:val="nil"/>
              <w:right w:val="single" w:sz="4" w:space="0" w:color="000000"/>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AD</w:t>
            </w:r>
          </w:p>
        </w:tc>
        <w:tc>
          <w:tcPr>
            <w:tcW w:w="142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0.06 (0.29)</w:t>
            </w:r>
          </w:p>
        </w:tc>
        <w:tc>
          <w:tcPr>
            <w:tcW w:w="1470"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0.42 (0.18)</w:t>
            </w:r>
          </w:p>
        </w:tc>
        <w:tc>
          <w:tcPr>
            <w:tcW w:w="1620"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0.06 (-0.32)</w:t>
            </w:r>
          </w:p>
        </w:tc>
        <w:tc>
          <w:tcPr>
            <w:tcW w:w="160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0.11 (-0.25)</w:t>
            </w:r>
          </w:p>
        </w:tc>
        <w:tc>
          <w:tcPr>
            <w:tcW w:w="193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0.46 (0.04)</w:t>
            </w:r>
          </w:p>
        </w:tc>
      </w:tr>
    </w:tbl>
    <w:p w:rsidR="009F4162" w:rsidRDefault="009F4162">
      <w:pPr>
        <w:rPr>
          <w:rFonts w:ascii="Times New Roman" w:eastAsia="Times New Roman" w:hAnsi="Times New Roman" w:cs="Times New Roman"/>
          <w:color w:val="073763"/>
        </w:rPr>
      </w:pPr>
    </w:p>
    <w:p w:rsidR="009F4162" w:rsidRDefault="009F4162">
      <w:pPr>
        <w:rPr>
          <w:rFonts w:ascii="Times New Roman" w:eastAsia="Times New Roman" w:hAnsi="Times New Roman" w:cs="Times New Roman"/>
          <w:color w:val="073763"/>
        </w:rPr>
      </w:pPr>
    </w:p>
    <w:p w:rsidR="009F4162" w:rsidRDefault="009F4162">
      <w:pPr>
        <w:rPr>
          <w:rFonts w:ascii="Times New Roman" w:eastAsia="Times New Roman" w:hAnsi="Times New Roman" w:cs="Times New Roman"/>
          <w:color w:val="073763"/>
        </w:rPr>
      </w:pPr>
    </w:p>
    <w:p w:rsidR="009F4162" w:rsidRDefault="009F4162">
      <w:pPr>
        <w:rPr>
          <w:rFonts w:ascii="Times New Roman" w:eastAsia="Times New Roman" w:hAnsi="Times New Roman" w:cs="Times New Roman"/>
          <w:color w:val="073763"/>
        </w:rPr>
      </w:pPr>
    </w:p>
    <w:p w:rsidR="009F4162" w:rsidRDefault="009F4162">
      <w:pPr>
        <w:rPr>
          <w:rFonts w:ascii="Times New Roman" w:eastAsia="Times New Roman" w:hAnsi="Times New Roman" w:cs="Times New Roman"/>
          <w:color w:val="073763"/>
        </w:rPr>
      </w:pPr>
    </w:p>
    <w:p w:rsidR="009F4162" w:rsidRDefault="009F4162">
      <w:pPr>
        <w:rPr>
          <w:rFonts w:ascii="Times New Roman" w:eastAsia="Times New Roman" w:hAnsi="Times New Roman" w:cs="Times New Roman"/>
          <w:color w:val="073763"/>
        </w:rPr>
      </w:pPr>
    </w:p>
    <w:p w:rsidR="009F4162" w:rsidRDefault="00BF7638">
      <w:pPr>
        <w:jc w:val="center"/>
        <w:rPr>
          <w:rFonts w:ascii="Times New Roman" w:eastAsia="Times New Roman" w:hAnsi="Times New Roman" w:cs="Times New Roman"/>
          <w:color w:val="073763"/>
        </w:rPr>
      </w:pPr>
      <w:r>
        <w:rPr>
          <w:rFonts w:ascii="Times New Roman" w:eastAsia="Times New Roman" w:hAnsi="Times New Roman" w:cs="Times New Roman"/>
          <w:noProof/>
          <w:color w:val="073763"/>
          <w:lang w:val="en-US"/>
        </w:rPr>
        <w:drawing>
          <wp:inline distT="114300" distB="114300" distL="114300" distR="114300">
            <wp:extent cx="5943600" cy="4064000"/>
            <wp:effectExtent l="0" t="0" r="0" b="0"/>
            <wp:docPr id="2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
                    <a:srcRect/>
                    <a:stretch>
                      <a:fillRect/>
                    </a:stretch>
                  </pic:blipFill>
                  <pic:spPr>
                    <a:xfrm>
                      <a:off x="0" y="0"/>
                      <a:ext cx="5943600" cy="4064000"/>
                    </a:xfrm>
                    <a:prstGeom prst="rect">
                      <a:avLst/>
                    </a:prstGeom>
                    <a:ln/>
                  </pic:spPr>
                </pic:pic>
              </a:graphicData>
            </a:graphic>
          </wp:inline>
        </w:drawing>
      </w:r>
    </w:p>
    <w:p w:rsidR="009F4162" w:rsidRDefault="009F4162">
      <w:pPr>
        <w:jc w:val="center"/>
        <w:rPr>
          <w:rFonts w:ascii="Times New Roman" w:eastAsia="Times New Roman" w:hAnsi="Times New Roman" w:cs="Times New Roman"/>
          <w:color w:val="073763"/>
        </w:rPr>
      </w:pP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 xml:space="preserve">2 | Sex differences in the averaged functional connectivity of EEG frequency bands in Healthy Controls (HC), Parkinson’s Disease (PD) and Alzheimer’s Disease (AD) groups. </w:t>
      </w:r>
      <w:r w:rsidR="00BF7638">
        <w:rPr>
          <w:rFonts w:ascii="Times New Roman" w:eastAsia="Times New Roman" w:hAnsi="Times New Roman" w:cs="Times New Roman"/>
        </w:rPr>
        <w:t>(*) denote statistically significant differences between sexes within each frequency band.</w:t>
      </w:r>
    </w:p>
    <w:p w:rsidR="009F4162" w:rsidRDefault="009F4162">
      <w:pPr>
        <w:spacing w:after="200"/>
        <w:jc w:val="both"/>
        <w:rPr>
          <w:rFonts w:ascii="Times New Roman" w:eastAsia="Times New Roman" w:hAnsi="Times New Roman" w:cs="Times New Roman"/>
          <w:b/>
          <w:color w:val="073763"/>
        </w:rPr>
      </w:pPr>
    </w:p>
    <w:p w:rsidR="009F4162" w:rsidRDefault="00712772" w:rsidP="00D10C2C">
      <w:pPr>
        <w:spacing w:after="200"/>
        <w:jc w:val="both"/>
        <w:rPr>
          <w:rFonts w:ascii="Times New Roman" w:eastAsia="Times New Roman" w:hAnsi="Times New Roman" w:cs="Times New Roman"/>
          <w:b/>
        </w:rPr>
      </w:pPr>
      <w:r>
        <w:rPr>
          <w:rFonts w:ascii="Times New Roman" w:eastAsia="Times New Roman" w:hAnsi="Times New Roman" w:cs="Times New Roman"/>
          <w:b/>
        </w:rPr>
        <w:t xml:space="preserve">Supplementary Table </w:t>
      </w:r>
      <w:r w:rsidR="00D10C2C">
        <w:rPr>
          <w:rFonts w:ascii="Times New Roman" w:eastAsia="Times New Roman" w:hAnsi="Times New Roman" w:cs="Times New Roman"/>
          <w:b/>
        </w:rPr>
        <w:t>2</w:t>
      </w:r>
      <w:r w:rsidR="00BF7638">
        <w:rPr>
          <w:rFonts w:ascii="Times New Roman" w:eastAsia="Times New Roman" w:hAnsi="Times New Roman" w:cs="Times New Roman"/>
          <w:b/>
        </w:rPr>
        <w:t xml:space="preserve"> | Sex differences in the averaged functional connectivity of EEG frequency bands: </w:t>
      </w:r>
      <w:r w:rsidR="00BF7638">
        <w:rPr>
          <w:rFonts w:ascii="Times New Roman" w:eastAsia="Times New Roman" w:hAnsi="Times New Roman" w:cs="Times New Roman"/>
          <w:b/>
          <w:i/>
        </w:rPr>
        <w:t>P-value (Cohen’s d).</w:t>
      </w:r>
    </w:p>
    <w:tbl>
      <w:tblPr>
        <w:tblStyle w:val="a6"/>
        <w:tblW w:w="9015" w:type="dxa"/>
        <w:tblBorders>
          <w:top w:val="nil"/>
          <w:left w:val="nil"/>
          <w:bottom w:val="nil"/>
          <w:right w:val="nil"/>
          <w:insideH w:val="nil"/>
          <w:insideV w:val="nil"/>
        </w:tblBorders>
        <w:tblLayout w:type="fixed"/>
        <w:tblLook w:val="0600" w:firstRow="0" w:lastRow="0" w:firstColumn="0" w:lastColumn="0" w:noHBand="1" w:noVBand="1"/>
      </w:tblPr>
      <w:tblGrid>
        <w:gridCol w:w="960"/>
        <w:gridCol w:w="1425"/>
        <w:gridCol w:w="1470"/>
        <w:gridCol w:w="1620"/>
        <w:gridCol w:w="1605"/>
        <w:gridCol w:w="1935"/>
      </w:tblGrid>
      <w:tr w:rsidR="009F4162">
        <w:trPr>
          <w:trHeight w:val="400"/>
        </w:trPr>
        <w:tc>
          <w:tcPr>
            <w:tcW w:w="960" w:type="dxa"/>
            <w:tcBorders>
              <w:top w:val="nil"/>
              <w:left w:val="nil"/>
              <w:bottom w:val="single" w:sz="4" w:space="0" w:color="000000"/>
              <w:right w:val="single" w:sz="4" w:space="0" w:color="000000"/>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425" w:type="dxa"/>
            <w:tcBorders>
              <w:top w:val="nil"/>
              <w:left w:val="nil"/>
              <w:bottom w:val="single" w:sz="4" w:space="0" w:color="000000"/>
              <w:right w:val="nil"/>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Delta [1-4] Hz</w:t>
            </w:r>
          </w:p>
        </w:tc>
        <w:tc>
          <w:tcPr>
            <w:tcW w:w="1470" w:type="dxa"/>
            <w:tcBorders>
              <w:top w:val="nil"/>
              <w:left w:val="nil"/>
              <w:bottom w:val="single" w:sz="4" w:space="0" w:color="000000"/>
              <w:right w:val="nil"/>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Theta [4-8] Hz</w:t>
            </w:r>
          </w:p>
        </w:tc>
        <w:tc>
          <w:tcPr>
            <w:tcW w:w="1620" w:type="dxa"/>
            <w:tcBorders>
              <w:top w:val="nil"/>
              <w:left w:val="nil"/>
              <w:bottom w:val="single" w:sz="4" w:space="0" w:color="000000"/>
              <w:right w:val="nil"/>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Alpha [8-13] Hz</w:t>
            </w:r>
          </w:p>
        </w:tc>
        <w:tc>
          <w:tcPr>
            <w:tcW w:w="1605" w:type="dxa"/>
            <w:tcBorders>
              <w:top w:val="nil"/>
              <w:left w:val="nil"/>
              <w:bottom w:val="single" w:sz="4" w:space="0" w:color="000000"/>
              <w:right w:val="nil"/>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Beta [13-30] Hz</w:t>
            </w:r>
          </w:p>
        </w:tc>
        <w:tc>
          <w:tcPr>
            <w:tcW w:w="1935" w:type="dxa"/>
            <w:tcBorders>
              <w:top w:val="nil"/>
              <w:left w:val="nil"/>
              <w:bottom w:val="single" w:sz="4" w:space="0" w:color="000000"/>
              <w:right w:val="nil"/>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Gamma [30-45] Hz</w:t>
            </w:r>
          </w:p>
        </w:tc>
      </w:tr>
      <w:tr w:rsidR="009F4162">
        <w:trPr>
          <w:trHeight w:val="400"/>
        </w:trPr>
        <w:tc>
          <w:tcPr>
            <w:tcW w:w="960" w:type="dxa"/>
            <w:tcBorders>
              <w:top w:val="nil"/>
              <w:left w:val="nil"/>
              <w:bottom w:val="nil"/>
              <w:right w:val="single" w:sz="4" w:space="0" w:color="000000"/>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HC</w:t>
            </w:r>
          </w:p>
        </w:tc>
        <w:tc>
          <w:tcPr>
            <w:tcW w:w="142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0.27 (-0.05)</w:t>
            </w:r>
          </w:p>
        </w:tc>
        <w:tc>
          <w:tcPr>
            <w:tcW w:w="1470"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0.81 (0.05)</w:t>
            </w:r>
          </w:p>
        </w:tc>
        <w:tc>
          <w:tcPr>
            <w:tcW w:w="1620"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0.84 (0.06)</w:t>
            </w:r>
          </w:p>
        </w:tc>
        <w:tc>
          <w:tcPr>
            <w:tcW w:w="160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0.37 (0.25)</w:t>
            </w:r>
          </w:p>
        </w:tc>
        <w:tc>
          <w:tcPr>
            <w:tcW w:w="193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0.11 (0.26)</w:t>
            </w:r>
          </w:p>
        </w:tc>
      </w:tr>
      <w:tr w:rsidR="009F4162">
        <w:trPr>
          <w:trHeight w:val="400"/>
        </w:trPr>
        <w:tc>
          <w:tcPr>
            <w:tcW w:w="960" w:type="dxa"/>
            <w:tcBorders>
              <w:top w:val="nil"/>
              <w:left w:val="nil"/>
              <w:bottom w:val="nil"/>
              <w:right w:val="single" w:sz="4" w:space="0" w:color="000000"/>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PD</w:t>
            </w:r>
          </w:p>
        </w:tc>
        <w:tc>
          <w:tcPr>
            <w:tcW w:w="142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0.22 (0.12)</w:t>
            </w:r>
          </w:p>
        </w:tc>
        <w:tc>
          <w:tcPr>
            <w:tcW w:w="1470"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0.45 (-0.06)</w:t>
            </w:r>
          </w:p>
        </w:tc>
        <w:tc>
          <w:tcPr>
            <w:tcW w:w="1620"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0.11 (-0.28)</w:t>
            </w:r>
          </w:p>
        </w:tc>
        <w:tc>
          <w:tcPr>
            <w:tcW w:w="160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0.61 (0.08)</w:t>
            </w:r>
          </w:p>
        </w:tc>
        <w:tc>
          <w:tcPr>
            <w:tcW w:w="1935" w:type="dxa"/>
            <w:tcBorders>
              <w:top w:val="nil"/>
              <w:left w:val="nil"/>
              <w:bottom w:val="nil"/>
              <w:right w:val="nil"/>
            </w:tcBorders>
            <w:shd w:val="clear" w:color="auto" w:fill="D9EAD3"/>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0.00 (0.28)</w:t>
            </w:r>
          </w:p>
        </w:tc>
      </w:tr>
      <w:tr w:rsidR="009F4162">
        <w:trPr>
          <w:trHeight w:val="400"/>
        </w:trPr>
        <w:tc>
          <w:tcPr>
            <w:tcW w:w="960" w:type="dxa"/>
            <w:tcBorders>
              <w:top w:val="nil"/>
              <w:left w:val="nil"/>
              <w:bottom w:val="nil"/>
              <w:right w:val="single" w:sz="4" w:space="0" w:color="000000"/>
            </w:tcBorders>
            <w:tcMar>
              <w:top w:w="20" w:type="dxa"/>
              <w:left w:w="20" w:type="dxa"/>
              <w:bottom w:w="100" w:type="dxa"/>
              <w:right w:w="20" w:type="dxa"/>
            </w:tcMar>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b/>
              </w:rPr>
              <w:t>AD</w:t>
            </w:r>
          </w:p>
        </w:tc>
        <w:tc>
          <w:tcPr>
            <w:tcW w:w="142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0.07 (0.17)</w:t>
            </w:r>
          </w:p>
        </w:tc>
        <w:tc>
          <w:tcPr>
            <w:tcW w:w="1470"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0.78 (-0.01)</w:t>
            </w:r>
          </w:p>
        </w:tc>
        <w:tc>
          <w:tcPr>
            <w:tcW w:w="1620"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0.27 (-0.12)</w:t>
            </w:r>
          </w:p>
        </w:tc>
        <w:tc>
          <w:tcPr>
            <w:tcW w:w="160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0.96 (0.11)</w:t>
            </w:r>
          </w:p>
        </w:tc>
        <w:tc>
          <w:tcPr>
            <w:tcW w:w="1935" w:type="dxa"/>
            <w:tcBorders>
              <w:top w:val="nil"/>
              <w:left w:val="nil"/>
              <w:bottom w:val="nil"/>
              <w:right w:val="nil"/>
            </w:tcBorders>
            <w:tcMar>
              <w:top w:w="20" w:type="dxa"/>
              <w:left w:w="20" w:type="dxa"/>
              <w:bottom w:w="100" w:type="dxa"/>
              <w:right w:w="20" w:type="dxa"/>
            </w:tcMar>
            <w:vAlign w:val="bottom"/>
          </w:tcPr>
          <w:p w:rsidR="009F4162" w:rsidRDefault="00BF7638">
            <w:pPr>
              <w:jc w:val="center"/>
              <w:rPr>
                <w:rFonts w:ascii="Times New Roman" w:eastAsia="Times New Roman" w:hAnsi="Times New Roman" w:cs="Times New Roman"/>
              </w:rPr>
            </w:pPr>
            <w:r>
              <w:rPr>
                <w:rFonts w:ascii="Times New Roman" w:eastAsia="Times New Roman" w:hAnsi="Times New Roman" w:cs="Times New Roman"/>
              </w:rPr>
              <w:t>0.81 (0.11)</w:t>
            </w:r>
          </w:p>
        </w:tc>
      </w:tr>
    </w:tbl>
    <w:p w:rsidR="009F4162" w:rsidRDefault="009F4162">
      <w:pPr>
        <w:spacing w:after="200"/>
        <w:jc w:val="both"/>
        <w:rPr>
          <w:rFonts w:ascii="Times New Roman" w:eastAsia="Times New Roman" w:hAnsi="Times New Roman" w:cs="Times New Roman"/>
          <w:color w:val="073763"/>
        </w:rPr>
      </w:pPr>
    </w:p>
    <w:p w:rsidR="00074356" w:rsidRDefault="00074356">
      <w:pPr>
        <w:spacing w:after="200"/>
        <w:jc w:val="both"/>
        <w:rPr>
          <w:rFonts w:ascii="Times New Roman" w:eastAsia="Times New Roman" w:hAnsi="Times New Roman" w:cs="Times New Roman"/>
          <w:color w:val="073763"/>
        </w:rPr>
      </w:pPr>
    </w:p>
    <w:p w:rsidR="00074356" w:rsidRDefault="00074356">
      <w:pPr>
        <w:spacing w:after="200"/>
        <w:jc w:val="both"/>
        <w:rPr>
          <w:rFonts w:ascii="Times New Roman" w:eastAsia="Times New Roman" w:hAnsi="Times New Roman" w:cs="Times New Roman"/>
          <w:color w:val="073763"/>
        </w:rPr>
      </w:pPr>
    </w:p>
    <w:p w:rsidR="00074356" w:rsidRDefault="00074356">
      <w:pPr>
        <w:spacing w:after="200"/>
        <w:jc w:val="both"/>
        <w:rPr>
          <w:rFonts w:ascii="Times New Roman" w:eastAsia="Times New Roman" w:hAnsi="Times New Roman" w:cs="Times New Roman"/>
          <w:color w:val="073763"/>
        </w:rPr>
      </w:pPr>
    </w:p>
    <w:p w:rsidR="009F4162" w:rsidRPr="00390469" w:rsidRDefault="00712772" w:rsidP="00D10C2C">
      <w:pPr>
        <w:spacing w:after="200"/>
        <w:jc w:val="both"/>
        <w:rPr>
          <w:rFonts w:ascii="Times New Roman" w:eastAsia="Times New Roman" w:hAnsi="Times New Roman" w:cs="Times New Roman"/>
          <w:b/>
        </w:rPr>
      </w:pPr>
      <w:r w:rsidRPr="00C04FD3">
        <w:rPr>
          <w:rFonts w:ascii="Times New Roman" w:eastAsia="Times New Roman" w:hAnsi="Times New Roman" w:cs="Times New Roman"/>
          <w:b/>
        </w:rPr>
        <w:t xml:space="preserve">Supplementary Table </w:t>
      </w:r>
      <w:r w:rsidR="00D10C2C" w:rsidRPr="00C04FD3">
        <w:rPr>
          <w:rFonts w:ascii="Times New Roman" w:eastAsia="Times New Roman" w:hAnsi="Times New Roman" w:cs="Times New Roman"/>
          <w:b/>
        </w:rPr>
        <w:t>3</w:t>
      </w:r>
      <w:r w:rsidR="00390469" w:rsidRPr="00C04FD3">
        <w:rPr>
          <w:rFonts w:ascii="Times New Roman" w:eastAsia="Times New Roman" w:hAnsi="Times New Roman" w:cs="Times New Roman"/>
          <w:b/>
        </w:rPr>
        <w:t xml:space="preserve"> | Sex and age differences in the groups and datasets</w:t>
      </w:r>
      <w:r w:rsidR="00390469" w:rsidRPr="00C04FD3">
        <w:rPr>
          <w:rFonts w:ascii="Times New Roman" w:eastAsia="Times New Roman" w:hAnsi="Times New Roman" w:cs="Times New Roman"/>
          <w:b/>
          <w:i/>
        </w:rPr>
        <w:t>.</w:t>
      </w:r>
    </w:p>
    <w:tbl>
      <w:tblPr>
        <w:tblW w:w="9965" w:type="dxa"/>
        <w:tblBorders>
          <w:top w:val="nil"/>
          <w:left w:val="nil"/>
          <w:bottom w:val="nil"/>
          <w:right w:val="nil"/>
          <w:insideH w:val="nil"/>
          <w:insideV w:val="nil"/>
        </w:tblBorders>
        <w:tblLayout w:type="fixed"/>
        <w:tblLook w:val="0600" w:firstRow="0" w:lastRow="0" w:firstColumn="0" w:lastColumn="0" w:noHBand="1" w:noVBand="1"/>
      </w:tblPr>
      <w:tblGrid>
        <w:gridCol w:w="3287"/>
        <w:gridCol w:w="3287"/>
        <w:gridCol w:w="3391"/>
      </w:tblGrid>
      <w:tr w:rsidR="00390469" w:rsidTr="00390469">
        <w:trPr>
          <w:trHeight w:val="373"/>
        </w:trPr>
        <w:tc>
          <w:tcPr>
            <w:tcW w:w="3287" w:type="dxa"/>
            <w:tcBorders>
              <w:top w:val="nil"/>
              <w:left w:val="nil"/>
              <w:bottom w:val="single" w:sz="4" w:space="0" w:color="000000"/>
              <w:right w:val="single" w:sz="4" w:space="0" w:color="auto"/>
            </w:tcBorders>
          </w:tcPr>
          <w:p w:rsidR="00390469" w:rsidRPr="00390469" w:rsidRDefault="00390469" w:rsidP="00390469">
            <w:pPr>
              <w:jc w:val="center"/>
              <w:rPr>
                <w:rFonts w:ascii="Times New Roman" w:eastAsia="Times New Roman" w:hAnsi="Times New Roman" w:cs="Times New Roman"/>
                <w:b/>
                <w:bCs/>
              </w:rPr>
            </w:pPr>
            <w:r>
              <w:rPr>
                <w:rFonts w:ascii="Times New Roman" w:eastAsia="Times New Roman" w:hAnsi="Times New Roman" w:cs="Times New Roman"/>
                <w:b/>
                <w:bCs/>
              </w:rPr>
              <w:t>Comparisons</w:t>
            </w:r>
          </w:p>
        </w:tc>
        <w:tc>
          <w:tcPr>
            <w:tcW w:w="3287" w:type="dxa"/>
            <w:tcBorders>
              <w:top w:val="nil"/>
              <w:left w:val="single" w:sz="4" w:space="0" w:color="auto"/>
              <w:bottom w:val="single" w:sz="4" w:space="0" w:color="000000"/>
              <w:right w:val="single" w:sz="4" w:space="0" w:color="auto"/>
            </w:tcBorders>
            <w:tcMar>
              <w:top w:w="20" w:type="dxa"/>
              <w:left w:w="20" w:type="dxa"/>
              <w:bottom w:w="100" w:type="dxa"/>
              <w:right w:w="20" w:type="dxa"/>
            </w:tcMar>
          </w:tcPr>
          <w:p w:rsidR="00390469" w:rsidRPr="00390469" w:rsidRDefault="00390469" w:rsidP="00390469">
            <w:pPr>
              <w:jc w:val="center"/>
              <w:rPr>
                <w:rFonts w:ascii="Times New Roman" w:eastAsia="Times New Roman" w:hAnsi="Times New Roman" w:cs="Times New Roman"/>
                <w:b/>
                <w:bCs/>
              </w:rPr>
            </w:pPr>
            <w:r w:rsidRPr="00390469">
              <w:rPr>
                <w:rFonts w:ascii="Times New Roman" w:eastAsia="Times New Roman" w:hAnsi="Times New Roman" w:cs="Times New Roman"/>
                <w:b/>
                <w:bCs/>
              </w:rPr>
              <w:t>Statistical Test</w:t>
            </w:r>
          </w:p>
        </w:tc>
        <w:tc>
          <w:tcPr>
            <w:tcW w:w="3391" w:type="dxa"/>
            <w:tcBorders>
              <w:top w:val="nil"/>
              <w:left w:val="single" w:sz="4" w:space="0" w:color="auto"/>
              <w:bottom w:val="single" w:sz="4" w:space="0" w:color="000000"/>
              <w:right w:val="nil"/>
            </w:tcBorders>
            <w:tcMar>
              <w:top w:w="20" w:type="dxa"/>
              <w:left w:w="20" w:type="dxa"/>
              <w:bottom w:w="100" w:type="dxa"/>
              <w:right w:w="20" w:type="dxa"/>
            </w:tcMar>
          </w:tcPr>
          <w:p w:rsidR="00390469" w:rsidRPr="00390469" w:rsidRDefault="00390469" w:rsidP="00390469">
            <w:pPr>
              <w:jc w:val="center"/>
              <w:rPr>
                <w:rFonts w:ascii="Times New Roman" w:eastAsia="Times New Roman" w:hAnsi="Times New Roman" w:cs="Times New Roman"/>
                <w:b/>
                <w:bCs/>
              </w:rPr>
            </w:pPr>
            <w:r w:rsidRPr="00390469">
              <w:rPr>
                <w:rFonts w:ascii="Times New Roman" w:eastAsia="Times New Roman" w:hAnsi="Times New Roman" w:cs="Times New Roman"/>
                <w:b/>
                <w:bCs/>
              </w:rPr>
              <w:t>p-value</w:t>
            </w:r>
          </w:p>
        </w:tc>
      </w:tr>
      <w:tr w:rsidR="00390469" w:rsidTr="00390469">
        <w:trPr>
          <w:trHeight w:val="373"/>
        </w:trPr>
        <w:tc>
          <w:tcPr>
            <w:tcW w:w="3287" w:type="dxa"/>
            <w:tcBorders>
              <w:top w:val="nil"/>
              <w:left w:val="nil"/>
              <w:bottom w:val="nil"/>
              <w:right w:val="single" w:sz="4" w:space="0" w:color="auto"/>
            </w:tcBorders>
            <w:vAlign w:val="center"/>
          </w:tcPr>
          <w:p w:rsidR="00390469" w:rsidRDefault="00390469" w:rsidP="00390469">
            <w:pPr>
              <w:jc w:val="center"/>
              <w:rPr>
                <w:rFonts w:ascii="Times New Roman" w:eastAsia="Times New Roman" w:hAnsi="Times New Roman" w:cs="Times New Roman"/>
              </w:rPr>
            </w:pPr>
            <w:r>
              <w:rPr>
                <w:rFonts w:ascii="Times New Roman" w:eastAsia="Times New Roman" w:hAnsi="Times New Roman" w:cs="Times New Roman"/>
              </w:rPr>
              <w:t>Sex across groups</w:t>
            </w:r>
          </w:p>
        </w:tc>
        <w:tc>
          <w:tcPr>
            <w:tcW w:w="3287" w:type="dxa"/>
            <w:tcBorders>
              <w:top w:val="nil"/>
              <w:left w:val="single" w:sz="4" w:space="0" w:color="auto"/>
              <w:bottom w:val="nil"/>
              <w:right w:val="single" w:sz="4" w:space="0" w:color="auto"/>
            </w:tcBorders>
            <w:tcMar>
              <w:top w:w="20" w:type="dxa"/>
              <w:left w:w="20" w:type="dxa"/>
              <w:bottom w:w="100" w:type="dxa"/>
              <w:right w:w="20" w:type="dxa"/>
            </w:tcMar>
            <w:vAlign w:val="center"/>
          </w:tcPr>
          <w:p w:rsidR="00390469" w:rsidRDefault="00390469" w:rsidP="00390469">
            <w:pPr>
              <w:jc w:val="center"/>
              <w:rPr>
                <w:rFonts w:ascii="Times New Roman" w:eastAsia="Times New Roman" w:hAnsi="Times New Roman" w:cs="Times New Roman"/>
              </w:rPr>
            </w:pPr>
            <w:r>
              <w:rPr>
                <w:rFonts w:ascii="Times New Roman" w:eastAsia="Times New Roman" w:hAnsi="Times New Roman" w:cs="Times New Roman"/>
              </w:rPr>
              <w:t>Chi-square</w:t>
            </w:r>
          </w:p>
        </w:tc>
        <w:tc>
          <w:tcPr>
            <w:tcW w:w="3391" w:type="dxa"/>
            <w:tcBorders>
              <w:top w:val="nil"/>
              <w:left w:val="single" w:sz="4" w:space="0" w:color="auto"/>
              <w:bottom w:val="nil"/>
              <w:right w:val="nil"/>
            </w:tcBorders>
            <w:shd w:val="clear" w:color="auto" w:fill="D9EAD3"/>
            <w:tcMar>
              <w:top w:w="20" w:type="dxa"/>
              <w:left w:w="20" w:type="dxa"/>
              <w:bottom w:w="100" w:type="dxa"/>
              <w:right w:w="20" w:type="dxa"/>
            </w:tcMar>
            <w:vAlign w:val="center"/>
          </w:tcPr>
          <w:p w:rsidR="00390469" w:rsidRDefault="00390469" w:rsidP="00390469">
            <w:pPr>
              <w:jc w:val="center"/>
              <w:rPr>
                <w:rFonts w:ascii="Times New Roman" w:eastAsia="Times New Roman" w:hAnsi="Times New Roman" w:cs="Times New Roman"/>
              </w:rPr>
            </w:pPr>
            <w:r w:rsidRPr="00390469">
              <w:rPr>
                <w:rFonts w:ascii="Times New Roman" w:eastAsia="Times New Roman" w:hAnsi="Times New Roman" w:cs="Times New Roman"/>
              </w:rPr>
              <w:t>7.73E-09 *</w:t>
            </w:r>
          </w:p>
        </w:tc>
      </w:tr>
      <w:tr w:rsidR="00390469" w:rsidTr="00390469">
        <w:trPr>
          <w:trHeight w:val="373"/>
        </w:trPr>
        <w:tc>
          <w:tcPr>
            <w:tcW w:w="3287" w:type="dxa"/>
            <w:tcBorders>
              <w:top w:val="nil"/>
              <w:left w:val="nil"/>
              <w:bottom w:val="nil"/>
              <w:right w:val="single" w:sz="4" w:space="0" w:color="auto"/>
            </w:tcBorders>
            <w:vAlign w:val="center"/>
          </w:tcPr>
          <w:p w:rsidR="00390469" w:rsidRDefault="00390469" w:rsidP="00390469">
            <w:pPr>
              <w:jc w:val="center"/>
              <w:rPr>
                <w:rFonts w:ascii="Times New Roman" w:eastAsia="Times New Roman" w:hAnsi="Times New Roman" w:cs="Times New Roman"/>
              </w:rPr>
            </w:pPr>
            <w:r>
              <w:rPr>
                <w:rFonts w:ascii="Times New Roman" w:eastAsia="Times New Roman" w:hAnsi="Times New Roman" w:cs="Times New Roman"/>
              </w:rPr>
              <w:t>Sex across datasets</w:t>
            </w:r>
          </w:p>
        </w:tc>
        <w:tc>
          <w:tcPr>
            <w:tcW w:w="3287" w:type="dxa"/>
            <w:tcBorders>
              <w:top w:val="nil"/>
              <w:left w:val="single" w:sz="4" w:space="0" w:color="auto"/>
              <w:bottom w:val="nil"/>
              <w:right w:val="single" w:sz="4" w:space="0" w:color="auto"/>
            </w:tcBorders>
            <w:tcMar>
              <w:top w:w="20" w:type="dxa"/>
              <w:left w:w="20" w:type="dxa"/>
              <w:bottom w:w="100" w:type="dxa"/>
              <w:right w:w="20" w:type="dxa"/>
            </w:tcMar>
            <w:vAlign w:val="center"/>
          </w:tcPr>
          <w:p w:rsidR="00390469" w:rsidRDefault="00390469" w:rsidP="00390469">
            <w:pPr>
              <w:jc w:val="center"/>
              <w:rPr>
                <w:rFonts w:ascii="Times New Roman" w:eastAsia="Times New Roman" w:hAnsi="Times New Roman" w:cs="Times New Roman"/>
              </w:rPr>
            </w:pPr>
            <w:r>
              <w:rPr>
                <w:rFonts w:ascii="Times New Roman" w:eastAsia="Times New Roman" w:hAnsi="Times New Roman" w:cs="Times New Roman"/>
              </w:rPr>
              <w:t>Chi-square</w:t>
            </w:r>
          </w:p>
        </w:tc>
        <w:tc>
          <w:tcPr>
            <w:tcW w:w="3391" w:type="dxa"/>
            <w:tcBorders>
              <w:top w:val="nil"/>
              <w:left w:val="single" w:sz="4" w:space="0" w:color="auto"/>
              <w:bottom w:val="nil"/>
              <w:right w:val="nil"/>
            </w:tcBorders>
            <w:shd w:val="clear" w:color="auto" w:fill="D9EAD3"/>
            <w:tcMar>
              <w:top w:w="20" w:type="dxa"/>
              <w:left w:w="20" w:type="dxa"/>
              <w:bottom w:w="100" w:type="dxa"/>
              <w:right w:w="20" w:type="dxa"/>
            </w:tcMar>
            <w:vAlign w:val="center"/>
          </w:tcPr>
          <w:p w:rsidR="00390469" w:rsidRDefault="00390469" w:rsidP="00390469">
            <w:pPr>
              <w:jc w:val="center"/>
              <w:rPr>
                <w:rFonts w:ascii="Times New Roman" w:eastAsia="Times New Roman" w:hAnsi="Times New Roman" w:cs="Times New Roman"/>
              </w:rPr>
            </w:pPr>
            <w:r w:rsidRPr="00390469">
              <w:rPr>
                <w:rFonts w:ascii="Times New Roman" w:eastAsia="Times New Roman" w:hAnsi="Times New Roman" w:cs="Times New Roman"/>
              </w:rPr>
              <w:t>0.00087828 *</w:t>
            </w:r>
          </w:p>
        </w:tc>
      </w:tr>
      <w:tr w:rsidR="00390469" w:rsidTr="00390469">
        <w:trPr>
          <w:trHeight w:val="373"/>
        </w:trPr>
        <w:tc>
          <w:tcPr>
            <w:tcW w:w="3287" w:type="dxa"/>
            <w:tcBorders>
              <w:top w:val="nil"/>
              <w:left w:val="nil"/>
              <w:bottom w:val="nil"/>
              <w:right w:val="single" w:sz="4" w:space="0" w:color="auto"/>
            </w:tcBorders>
            <w:vAlign w:val="center"/>
          </w:tcPr>
          <w:p w:rsidR="00390469" w:rsidRDefault="00390469" w:rsidP="00390469">
            <w:pPr>
              <w:jc w:val="center"/>
              <w:rPr>
                <w:rFonts w:ascii="Times New Roman" w:eastAsia="Times New Roman" w:hAnsi="Times New Roman" w:cs="Times New Roman"/>
              </w:rPr>
            </w:pPr>
            <w:r>
              <w:rPr>
                <w:rFonts w:ascii="Times New Roman" w:eastAsia="Times New Roman" w:hAnsi="Times New Roman" w:cs="Times New Roman"/>
              </w:rPr>
              <w:t>Age across groups</w:t>
            </w:r>
          </w:p>
        </w:tc>
        <w:tc>
          <w:tcPr>
            <w:tcW w:w="3287" w:type="dxa"/>
            <w:tcBorders>
              <w:top w:val="nil"/>
              <w:left w:val="single" w:sz="4" w:space="0" w:color="auto"/>
              <w:bottom w:val="nil"/>
              <w:right w:val="single" w:sz="4" w:space="0" w:color="auto"/>
            </w:tcBorders>
            <w:tcMar>
              <w:top w:w="20" w:type="dxa"/>
              <w:left w:w="20" w:type="dxa"/>
              <w:bottom w:w="100" w:type="dxa"/>
              <w:right w:w="20" w:type="dxa"/>
            </w:tcMar>
            <w:vAlign w:val="center"/>
          </w:tcPr>
          <w:p w:rsidR="00390469" w:rsidRDefault="00390469" w:rsidP="00390469">
            <w:pPr>
              <w:jc w:val="center"/>
              <w:rPr>
                <w:rFonts w:ascii="Times New Roman" w:eastAsia="Times New Roman" w:hAnsi="Times New Roman" w:cs="Times New Roman"/>
              </w:rPr>
            </w:pPr>
            <w:proofErr w:type="spellStart"/>
            <w:r>
              <w:rPr>
                <w:rFonts w:ascii="Times New Roman" w:eastAsia="Times New Roman" w:hAnsi="Times New Roman" w:cs="Times New Roman"/>
              </w:rPr>
              <w:t>Kruskal</w:t>
            </w:r>
            <w:proofErr w:type="spellEnd"/>
            <w:r>
              <w:rPr>
                <w:rFonts w:ascii="Times New Roman" w:eastAsia="Times New Roman" w:hAnsi="Times New Roman" w:cs="Times New Roman"/>
              </w:rPr>
              <w:t>-Wallis</w:t>
            </w:r>
          </w:p>
        </w:tc>
        <w:tc>
          <w:tcPr>
            <w:tcW w:w="3391" w:type="dxa"/>
            <w:tcBorders>
              <w:top w:val="nil"/>
              <w:left w:val="single" w:sz="4" w:space="0" w:color="auto"/>
              <w:bottom w:val="nil"/>
              <w:right w:val="nil"/>
            </w:tcBorders>
            <w:shd w:val="clear" w:color="auto" w:fill="D9EAD3"/>
            <w:tcMar>
              <w:top w:w="20" w:type="dxa"/>
              <w:left w:w="20" w:type="dxa"/>
              <w:bottom w:w="100" w:type="dxa"/>
              <w:right w:w="20" w:type="dxa"/>
            </w:tcMar>
            <w:vAlign w:val="center"/>
          </w:tcPr>
          <w:p w:rsidR="00390469" w:rsidRDefault="00390469" w:rsidP="00390469">
            <w:pPr>
              <w:jc w:val="center"/>
              <w:rPr>
                <w:rFonts w:ascii="Times New Roman" w:eastAsia="Times New Roman" w:hAnsi="Times New Roman" w:cs="Times New Roman"/>
              </w:rPr>
            </w:pPr>
            <w:r w:rsidRPr="00390469">
              <w:rPr>
                <w:rFonts w:ascii="Times New Roman" w:eastAsia="Times New Roman" w:hAnsi="Times New Roman" w:cs="Times New Roman"/>
              </w:rPr>
              <w:t>7.04E-38 *</w:t>
            </w:r>
          </w:p>
        </w:tc>
      </w:tr>
      <w:tr w:rsidR="00390469" w:rsidTr="00390469">
        <w:trPr>
          <w:trHeight w:val="373"/>
        </w:trPr>
        <w:tc>
          <w:tcPr>
            <w:tcW w:w="3287" w:type="dxa"/>
            <w:tcBorders>
              <w:top w:val="nil"/>
              <w:left w:val="nil"/>
              <w:bottom w:val="nil"/>
              <w:right w:val="single" w:sz="4" w:space="0" w:color="auto"/>
            </w:tcBorders>
            <w:vAlign w:val="center"/>
          </w:tcPr>
          <w:p w:rsidR="00390469" w:rsidRDefault="00390469" w:rsidP="00390469">
            <w:pPr>
              <w:jc w:val="center"/>
              <w:rPr>
                <w:rFonts w:ascii="Times New Roman" w:eastAsia="Times New Roman" w:hAnsi="Times New Roman" w:cs="Times New Roman"/>
              </w:rPr>
            </w:pPr>
            <w:r>
              <w:rPr>
                <w:rFonts w:ascii="Times New Roman" w:eastAsia="Times New Roman" w:hAnsi="Times New Roman" w:cs="Times New Roman"/>
              </w:rPr>
              <w:t>Age across datasets</w:t>
            </w:r>
          </w:p>
        </w:tc>
        <w:tc>
          <w:tcPr>
            <w:tcW w:w="3287" w:type="dxa"/>
            <w:tcBorders>
              <w:top w:val="nil"/>
              <w:left w:val="single" w:sz="4" w:space="0" w:color="auto"/>
              <w:bottom w:val="nil"/>
              <w:right w:val="single" w:sz="4" w:space="0" w:color="auto"/>
            </w:tcBorders>
            <w:tcMar>
              <w:top w:w="20" w:type="dxa"/>
              <w:left w:w="20" w:type="dxa"/>
              <w:bottom w:w="100" w:type="dxa"/>
              <w:right w:w="20" w:type="dxa"/>
            </w:tcMar>
            <w:vAlign w:val="center"/>
          </w:tcPr>
          <w:p w:rsidR="00390469" w:rsidRDefault="00390469" w:rsidP="00390469">
            <w:pPr>
              <w:jc w:val="center"/>
              <w:rPr>
                <w:rFonts w:ascii="Times New Roman" w:eastAsia="Times New Roman" w:hAnsi="Times New Roman" w:cs="Times New Roman"/>
              </w:rPr>
            </w:pPr>
            <w:proofErr w:type="spellStart"/>
            <w:r>
              <w:rPr>
                <w:rFonts w:ascii="Times New Roman" w:eastAsia="Times New Roman" w:hAnsi="Times New Roman" w:cs="Times New Roman"/>
              </w:rPr>
              <w:t>Kruskal</w:t>
            </w:r>
            <w:proofErr w:type="spellEnd"/>
            <w:r>
              <w:rPr>
                <w:rFonts w:ascii="Times New Roman" w:eastAsia="Times New Roman" w:hAnsi="Times New Roman" w:cs="Times New Roman"/>
              </w:rPr>
              <w:t>-Wallis</w:t>
            </w:r>
          </w:p>
        </w:tc>
        <w:tc>
          <w:tcPr>
            <w:tcW w:w="3391" w:type="dxa"/>
            <w:tcBorders>
              <w:top w:val="nil"/>
              <w:left w:val="single" w:sz="4" w:space="0" w:color="auto"/>
              <w:bottom w:val="nil"/>
              <w:right w:val="nil"/>
            </w:tcBorders>
            <w:shd w:val="clear" w:color="auto" w:fill="D9EAD3"/>
            <w:tcMar>
              <w:top w:w="20" w:type="dxa"/>
              <w:left w:w="20" w:type="dxa"/>
              <w:bottom w:w="100" w:type="dxa"/>
              <w:right w:w="20" w:type="dxa"/>
            </w:tcMar>
            <w:vAlign w:val="center"/>
          </w:tcPr>
          <w:p w:rsidR="00390469" w:rsidRDefault="00390469" w:rsidP="00390469">
            <w:pPr>
              <w:jc w:val="center"/>
              <w:rPr>
                <w:rFonts w:ascii="Times New Roman" w:eastAsia="Times New Roman" w:hAnsi="Times New Roman" w:cs="Times New Roman"/>
              </w:rPr>
            </w:pPr>
            <w:r w:rsidRPr="00390469">
              <w:rPr>
                <w:rFonts w:ascii="Times New Roman" w:eastAsia="Times New Roman" w:hAnsi="Times New Roman" w:cs="Times New Roman"/>
              </w:rPr>
              <w:t>6.66E-50 *</w:t>
            </w:r>
          </w:p>
        </w:tc>
      </w:tr>
    </w:tbl>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BF7638">
      <w:pPr>
        <w:pStyle w:val="Titre2"/>
        <w:spacing w:before="240" w:after="200"/>
        <w:jc w:val="both"/>
        <w:rPr>
          <w:rFonts w:ascii="Times New Roman" w:eastAsia="Times New Roman" w:hAnsi="Times New Roman" w:cs="Times New Roman"/>
          <w:b/>
        </w:rPr>
      </w:pPr>
      <w:bookmarkStart w:id="4" w:name="_heading=h.2et92p0" w:colFirst="0" w:colLast="0"/>
      <w:bookmarkEnd w:id="4"/>
      <w:r>
        <w:rPr>
          <w:rFonts w:ascii="Times New Roman" w:eastAsia="Times New Roman" w:hAnsi="Times New Roman" w:cs="Times New Roman"/>
          <w:b/>
        </w:rPr>
        <w:t>Normative Modeling</w:t>
      </w:r>
    </w:p>
    <w:p w:rsidR="009F4162" w:rsidRDefault="00BF7638">
      <w:pPr>
        <w:pStyle w:val="Titre3"/>
        <w:spacing w:before="240" w:after="200"/>
        <w:jc w:val="both"/>
        <w:rPr>
          <w:rFonts w:ascii="Times New Roman" w:eastAsia="Times New Roman" w:hAnsi="Times New Roman" w:cs="Times New Roman"/>
          <w:b/>
          <w:color w:val="000000"/>
        </w:rPr>
      </w:pPr>
      <w:bookmarkStart w:id="5" w:name="_heading=h.tyjcwt" w:colFirst="0" w:colLast="0"/>
      <w:bookmarkEnd w:id="5"/>
      <w:r>
        <w:rPr>
          <w:rFonts w:ascii="Times New Roman" w:eastAsia="Times New Roman" w:hAnsi="Times New Roman" w:cs="Times New Roman"/>
          <w:b/>
          <w:color w:val="000000"/>
        </w:rPr>
        <w:t>Model distribution and covariates</w:t>
      </w:r>
    </w:p>
    <w:p w:rsidR="009F4162" w:rsidRDefault="00712772" w:rsidP="00D10C2C">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Table </w:t>
      </w:r>
      <w:r w:rsidR="00D10C2C">
        <w:rPr>
          <w:rFonts w:ascii="Times New Roman" w:eastAsia="Times New Roman" w:hAnsi="Times New Roman" w:cs="Times New Roman"/>
          <w:b/>
        </w:rPr>
        <w:t>4</w:t>
      </w:r>
      <w:r w:rsidR="00BF7638">
        <w:rPr>
          <w:rFonts w:ascii="Times New Roman" w:eastAsia="Times New Roman" w:hAnsi="Times New Roman" w:cs="Times New Roman"/>
          <w:b/>
        </w:rPr>
        <w:t xml:space="preserve"> | Model equations and family distribution for spectral features models across all frequency bands</w:t>
      </w:r>
    </w:p>
    <w:tbl>
      <w:tblPr>
        <w:tblStyle w:val="a7"/>
        <w:tblW w:w="9375" w:type="dxa"/>
        <w:tblBorders>
          <w:top w:val="nil"/>
          <w:left w:val="nil"/>
          <w:bottom w:val="nil"/>
          <w:right w:val="nil"/>
          <w:insideH w:val="nil"/>
          <w:insideV w:val="nil"/>
        </w:tblBorders>
        <w:tblLayout w:type="fixed"/>
        <w:tblLook w:val="0600" w:firstRow="0" w:lastRow="0" w:firstColumn="0" w:lastColumn="0" w:noHBand="1" w:noVBand="1"/>
      </w:tblPr>
      <w:tblGrid>
        <w:gridCol w:w="1980"/>
        <w:gridCol w:w="1590"/>
        <w:gridCol w:w="1455"/>
        <w:gridCol w:w="1440"/>
        <w:gridCol w:w="1455"/>
        <w:gridCol w:w="1455"/>
      </w:tblGrid>
      <w:tr w:rsidR="009F4162">
        <w:trPr>
          <w:trHeight w:val="330"/>
        </w:trPr>
        <w:tc>
          <w:tcPr>
            <w:tcW w:w="19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Frequency band</w:t>
            </w:r>
          </w:p>
        </w:tc>
        <w:tc>
          <w:tcPr>
            <w:tcW w:w="159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Delta</w:t>
            </w:r>
          </w:p>
        </w:tc>
        <w:tc>
          <w:tcPr>
            <w:tcW w:w="145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Theta</w:t>
            </w:r>
          </w:p>
        </w:tc>
        <w:tc>
          <w:tcPr>
            <w:tcW w:w="144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Alpha</w:t>
            </w:r>
          </w:p>
        </w:tc>
        <w:tc>
          <w:tcPr>
            <w:tcW w:w="145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Beta</w:t>
            </w:r>
          </w:p>
        </w:tc>
        <w:tc>
          <w:tcPr>
            <w:tcW w:w="145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Gamma</w:t>
            </w:r>
          </w:p>
        </w:tc>
      </w:tr>
      <w:tr w:rsidR="009F4162">
        <w:trPr>
          <w:trHeight w:val="570"/>
        </w:trPr>
        <w:tc>
          <w:tcPr>
            <w:tcW w:w="19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mu</w:t>
            </w:r>
          </w:p>
        </w:tc>
        <w:tc>
          <w:tcPr>
            <w:tcW w:w="15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y ~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y ~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y ~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y ~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y ~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r>
      <w:tr w:rsidR="009F4162">
        <w:trPr>
          <w:trHeight w:val="570"/>
        </w:trPr>
        <w:tc>
          <w:tcPr>
            <w:tcW w:w="19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sigma</w:t>
            </w:r>
          </w:p>
        </w:tc>
        <w:tc>
          <w:tcPr>
            <w:tcW w:w="15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1</w:t>
            </w:r>
          </w:p>
        </w:tc>
        <w:tc>
          <w:tcPr>
            <w:tcW w:w="14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1</w:t>
            </w:r>
          </w:p>
        </w:tc>
      </w:tr>
      <w:tr w:rsidR="009F4162">
        <w:trPr>
          <w:trHeight w:val="330"/>
        </w:trPr>
        <w:tc>
          <w:tcPr>
            <w:tcW w:w="19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Distribution Family</w:t>
            </w:r>
          </w:p>
        </w:tc>
        <w:tc>
          <w:tcPr>
            <w:tcW w:w="15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SEP4</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GG</w:t>
            </w:r>
          </w:p>
        </w:tc>
        <w:tc>
          <w:tcPr>
            <w:tcW w:w="14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SEP4</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GG</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GG</w:t>
            </w:r>
          </w:p>
        </w:tc>
      </w:tr>
    </w:tbl>
    <w:p w:rsidR="009F4162" w:rsidRDefault="009F4162">
      <w:pPr>
        <w:spacing w:after="200"/>
        <w:jc w:val="both"/>
        <w:rPr>
          <w:rFonts w:ascii="Times New Roman" w:eastAsia="Times New Roman" w:hAnsi="Times New Roman" w:cs="Times New Roman"/>
          <w:sz w:val="24"/>
          <w:szCs w:val="24"/>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712772" w:rsidP="00D10C2C">
      <w:pPr>
        <w:spacing w:after="200"/>
        <w:jc w:val="both"/>
        <w:rPr>
          <w:rFonts w:ascii="Times New Roman" w:eastAsia="Times New Roman" w:hAnsi="Times New Roman" w:cs="Times New Roman"/>
          <w:b/>
        </w:rPr>
      </w:pPr>
      <w:r>
        <w:rPr>
          <w:rFonts w:ascii="Times New Roman" w:eastAsia="Times New Roman" w:hAnsi="Times New Roman" w:cs="Times New Roman"/>
          <w:b/>
        </w:rPr>
        <w:t xml:space="preserve">Supplementary Table </w:t>
      </w:r>
      <w:r w:rsidR="00D10C2C">
        <w:rPr>
          <w:rFonts w:ascii="Times New Roman" w:eastAsia="Times New Roman" w:hAnsi="Times New Roman" w:cs="Times New Roman"/>
          <w:b/>
        </w:rPr>
        <w:t>5</w:t>
      </w:r>
      <w:r w:rsidR="00BF7638">
        <w:rPr>
          <w:rFonts w:ascii="Times New Roman" w:eastAsia="Times New Roman" w:hAnsi="Times New Roman" w:cs="Times New Roman"/>
          <w:b/>
        </w:rPr>
        <w:t xml:space="preserve"> | Model equations and family distribution for connectivity features models across all frequency bands</w:t>
      </w:r>
    </w:p>
    <w:tbl>
      <w:tblPr>
        <w:tblStyle w:val="a8"/>
        <w:tblW w:w="9375" w:type="dxa"/>
        <w:tblBorders>
          <w:top w:val="nil"/>
          <w:left w:val="nil"/>
          <w:bottom w:val="nil"/>
          <w:right w:val="nil"/>
          <w:insideH w:val="nil"/>
          <w:insideV w:val="nil"/>
        </w:tblBorders>
        <w:tblLayout w:type="fixed"/>
        <w:tblLook w:val="0600" w:firstRow="0" w:lastRow="0" w:firstColumn="0" w:lastColumn="0" w:noHBand="1" w:noVBand="1"/>
      </w:tblPr>
      <w:tblGrid>
        <w:gridCol w:w="1995"/>
        <w:gridCol w:w="1575"/>
        <w:gridCol w:w="1455"/>
        <w:gridCol w:w="1440"/>
        <w:gridCol w:w="1455"/>
        <w:gridCol w:w="1455"/>
      </w:tblGrid>
      <w:tr w:rsidR="009F4162">
        <w:trPr>
          <w:trHeight w:val="330"/>
        </w:trPr>
        <w:tc>
          <w:tcPr>
            <w:tcW w:w="19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Frequency band</w:t>
            </w:r>
          </w:p>
        </w:tc>
        <w:tc>
          <w:tcPr>
            <w:tcW w:w="157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Delta</w:t>
            </w:r>
          </w:p>
        </w:tc>
        <w:tc>
          <w:tcPr>
            <w:tcW w:w="145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Theta</w:t>
            </w:r>
          </w:p>
        </w:tc>
        <w:tc>
          <w:tcPr>
            <w:tcW w:w="144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Alpha</w:t>
            </w:r>
          </w:p>
        </w:tc>
        <w:tc>
          <w:tcPr>
            <w:tcW w:w="145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Beta</w:t>
            </w:r>
          </w:p>
        </w:tc>
        <w:tc>
          <w:tcPr>
            <w:tcW w:w="145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Gamma</w:t>
            </w:r>
          </w:p>
        </w:tc>
      </w:tr>
      <w:tr w:rsidR="009F4162">
        <w:trPr>
          <w:trHeight w:val="570"/>
        </w:trPr>
        <w:tc>
          <w:tcPr>
            <w:tcW w:w="199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mu</w:t>
            </w:r>
          </w:p>
        </w:tc>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y ~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 + factor (sex)</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y ~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y ~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y ~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y ~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r>
      <w:tr w:rsidR="009F4162">
        <w:trPr>
          <w:trHeight w:val="330"/>
        </w:trPr>
        <w:tc>
          <w:tcPr>
            <w:tcW w:w="199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sigma</w:t>
            </w:r>
          </w:p>
        </w:tc>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fp</w:t>
            </w:r>
            <w:proofErr w:type="spellEnd"/>
            <w:r>
              <w:rPr>
                <w:rFonts w:ascii="Times New Roman" w:eastAsia="Times New Roman" w:hAnsi="Times New Roman" w:cs="Times New Roman"/>
              </w:rPr>
              <w:t xml:space="preserve"> (age, 1)</w:t>
            </w:r>
          </w:p>
        </w:tc>
      </w:tr>
      <w:tr w:rsidR="009F4162">
        <w:trPr>
          <w:trHeight w:val="330"/>
        </w:trPr>
        <w:tc>
          <w:tcPr>
            <w:tcW w:w="199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nu</w:t>
            </w:r>
          </w:p>
        </w:tc>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1</w:t>
            </w:r>
          </w:p>
        </w:tc>
        <w:tc>
          <w:tcPr>
            <w:tcW w:w="14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1</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 1</w:t>
            </w:r>
          </w:p>
        </w:tc>
      </w:tr>
      <w:tr w:rsidR="009F4162">
        <w:trPr>
          <w:trHeight w:val="330"/>
        </w:trPr>
        <w:tc>
          <w:tcPr>
            <w:tcW w:w="199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rPr>
              <w:t>Distribution Family</w:t>
            </w:r>
          </w:p>
        </w:tc>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ST3</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SEP3</w:t>
            </w:r>
          </w:p>
        </w:tc>
        <w:tc>
          <w:tcPr>
            <w:tcW w:w="14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SEP4</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ST3</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rPr>
              <w:t>ST1</w:t>
            </w:r>
          </w:p>
        </w:tc>
      </w:tr>
    </w:tbl>
    <w:p w:rsidR="009F4162" w:rsidRDefault="009F4162">
      <w:pPr>
        <w:rPr>
          <w:rFonts w:ascii="Times New Roman" w:eastAsia="Times New Roman" w:hAnsi="Times New Roman" w:cs="Times New Roman"/>
        </w:rPr>
      </w:pPr>
      <w:bookmarkStart w:id="6" w:name="_heading=h.3dy6vkm" w:colFirst="0" w:colLast="0"/>
      <w:bookmarkEnd w:id="6"/>
    </w:p>
    <w:p w:rsidR="009F4162" w:rsidRDefault="00BF7638">
      <w:pPr>
        <w:pStyle w:val="Titre3"/>
        <w:spacing w:before="240" w:after="200"/>
        <w:jc w:val="both"/>
        <w:rPr>
          <w:rFonts w:ascii="Times New Roman" w:eastAsia="Times New Roman" w:hAnsi="Times New Roman" w:cs="Times New Roman"/>
          <w:b/>
          <w:color w:val="000000"/>
        </w:rPr>
      </w:pPr>
      <w:r>
        <w:rPr>
          <w:rFonts w:ascii="Times New Roman" w:eastAsia="Times New Roman" w:hAnsi="Times New Roman" w:cs="Times New Roman"/>
          <w:b/>
          <w:color w:val="000000"/>
        </w:rPr>
        <w:t>Model performance</w:t>
      </w:r>
    </w:p>
    <w:p w:rsidR="009F4162" w:rsidRDefault="009F4162">
      <w:pPr>
        <w:rPr>
          <w:rFonts w:ascii="Times New Roman" w:eastAsia="Times New Roman" w:hAnsi="Times New Roman" w:cs="Times New Roman"/>
        </w:rPr>
      </w:pPr>
    </w:p>
    <w:p w:rsidR="009F4162" w:rsidRDefault="00BF7638">
      <w:pPr>
        <w:jc w:val="center"/>
        <w:rPr>
          <w:rFonts w:ascii="Times New Roman" w:eastAsia="Times New Roman" w:hAnsi="Times New Roman" w:cs="Times New Roman"/>
          <w:color w:val="073763"/>
          <w:sz w:val="24"/>
          <w:szCs w:val="24"/>
        </w:rPr>
      </w:pPr>
      <w:r>
        <w:rPr>
          <w:rFonts w:ascii="Times New Roman" w:eastAsia="Times New Roman" w:hAnsi="Times New Roman" w:cs="Times New Roman"/>
          <w:noProof/>
          <w:color w:val="073763"/>
          <w:sz w:val="24"/>
          <w:szCs w:val="24"/>
          <w:lang w:val="en-US"/>
        </w:rPr>
        <w:drawing>
          <wp:inline distT="114300" distB="114300" distL="114300" distR="114300">
            <wp:extent cx="5943600" cy="3695700"/>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3695700"/>
                    </a:xfrm>
                    <a:prstGeom prst="rect">
                      <a:avLst/>
                    </a:prstGeom>
                    <a:ln/>
                  </pic:spPr>
                </pic:pic>
              </a:graphicData>
            </a:graphic>
          </wp:inline>
        </w:drawing>
      </w:r>
    </w:p>
    <w:p w:rsidR="009F4162" w:rsidRDefault="009F4162">
      <w:pPr>
        <w:jc w:val="center"/>
        <w:rPr>
          <w:rFonts w:ascii="Times New Roman" w:eastAsia="Times New Roman" w:hAnsi="Times New Roman" w:cs="Times New Roman"/>
          <w:color w:val="073763"/>
          <w:sz w:val="24"/>
          <w:szCs w:val="24"/>
        </w:rPr>
      </w:pP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 xml:space="preserve">3 | Diagnostic residual plots for assessing spectral model fit: </w:t>
      </w:r>
      <w:r w:rsidR="00BF7638">
        <w:rPr>
          <w:rFonts w:ascii="Times New Roman" w:eastAsia="Times New Roman" w:hAnsi="Times New Roman" w:cs="Times New Roman"/>
        </w:rPr>
        <w:t xml:space="preserve">residuals </w:t>
      </w:r>
      <w:r w:rsidR="00BF7638">
        <w:rPr>
          <w:rFonts w:ascii="Times New Roman" w:eastAsia="Times New Roman" w:hAnsi="Times New Roman" w:cs="Times New Roman"/>
          <w:i/>
        </w:rPr>
        <w:t xml:space="preserve">vs </w:t>
      </w:r>
      <w:r w:rsidR="00BF7638">
        <w:rPr>
          <w:rFonts w:ascii="Times New Roman" w:eastAsia="Times New Roman" w:hAnsi="Times New Roman" w:cs="Times New Roman"/>
        </w:rPr>
        <w:t>fitted values, index, density estimate, and normal Q-Q plot.</w:t>
      </w:r>
    </w:p>
    <w:p w:rsidR="009F4162" w:rsidRDefault="009F4162">
      <w:pPr>
        <w:spacing w:after="200"/>
        <w:jc w:val="both"/>
        <w:rPr>
          <w:rFonts w:ascii="Times New Roman" w:eastAsia="Times New Roman" w:hAnsi="Times New Roman" w:cs="Times New Roman"/>
        </w:rPr>
      </w:pPr>
    </w:p>
    <w:p w:rsidR="009F4162" w:rsidRDefault="009F4162">
      <w:pPr>
        <w:spacing w:after="200"/>
        <w:jc w:val="both"/>
        <w:rPr>
          <w:rFonts w:ascii="Times New Roman" w:eastAsia="Times New Roman" w:hAnsi="Times New Roman" w:cs="Times New Roman"/>
        </w:rPr>
      </w:pPr>
    </w:p>
    <w:p w:rsidR="009F4162" w:rsidRDefault="009F4162">
      <w:pPr>
        <w:spacing w:after="200"/>
        <w:jc w:val="both"/>
        <w:rPr>
          <w:rFonts w:ascii="Times New Roman" w:eastAsia="Times New Roman" w:hAnsi="Times New Roman" w:cs="Times New Roman"/>
        </w:rPr>
      </w:pPr>
    </w:p>
    <w:p w:rsidR="009F4162" w:rsidRDefault="009F4162">
      <w:pPr>
        <w:spacing w:after="200"/>
        <w:jc w:val="both"/>
        <w:rPr>
          <w:rFonts w:ascii="Times New Roman" w:eastAsia="Times New Roman" w:hAnsi="Times New Roman" w:cs="Times New Roman"/>
          <w:sz w:val="24"/>
          <w:szCs w:val="24"/>
        </w:rPr>
      </w:pPr>
    </w:p>
    <w:p w:rsidR="009F4162" w:rsidRDefault="00BF7638">
      <w:pPr>
        <w:jc w:val="center"/>
        <w:rPr>
          <w:rFonts w:ascii="Times New Roman" w:eastAsia="Times New Roman" w:hAnsi="Times New Roman" w:cs="Times New Roman"/>
          <w:color w:val="073763"/>
          <w:sz w:val="24"/>
          <w:szCs w:val="24"/>
        </w:rPr>
      </w:pPr>
      <w:r>
        <w:rPr>
          <w:rFonts w:ascii="Times New Roman" w:eastAsia="Times New Roman" w:hAnsi="Times New Roman" w:cs="Times New Roman"/>
          <w:noProof/>
          <w:color w:val="073763"/>
          <w:sz w:val="24"/>
          <w:szCs w:val="24"/>
          <w:lang w:val="en-US"/>
        </w:rPr>
        <w:drawing>
          <wp:inline distT="114300" distB="114300" distL="114300" distR="114300">
            <wp:extent cx="5943600" cy="3708400"/>
            <wp:effectExtent l="0" t="0" r="0" b="0"/>
            <wp:docPr id="2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
                    <a:srcRect/>
                    <a:stretch>
                      <a:fillRect/>
                    </a:stretch>
                  </pic:blipFill>
                  <pic:spPr>
                    <a:xfrm>
                      <a:off x="0" y="0"/>
                      <a:ext cx="5943600" cy="3708400"/>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color w:val="073763"/>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4 | Diagnostic residual plots for assessing connectivity model fit:</w:t>
      </w:r>
      <w:r w:rsidR="00BF7638">
        <w:rPr>
          <w:rFonts w:ascii="Times New Roman" w:eastAsia="Times New Roman" w:hAnsi="Times New Roman" w:cs="Times New Roman"/>
        </w:rPr>
        <w:t xml:space="preserve"> residuals </w:t>
      </w:r>
      <w:r w:rsidR="00BF7638">
        <w:rPr>
          <w:rFonts w:ascii="Times New Roman" w:eastAsia="Times New Roman" w:hAnsi="Times New Roman" w:cs="Times New Roman"/>
          <w:i/>
        </w:rPr>
        <w:t xml:space="preserve">vs </w:t>
      </w:r>
      <w:r w:rsidR="00BF7638">
        <w:rPr>
          <w:rFonts w:ascii="Times New Roman" w:eastAsia="Times New Roman" w:hAnsi="Times New Roman" w:cs="Times New Roman"/>
        </w:rPr>
        <w:t>fitted values, index, density estimate, and normal Q-Q plot.</w:t>
      </w:r>
    </w:p>
    <w:p w:rsidR="009F4162" w:rsidRDefault="009F4162">
      <w:pPr>
        <w:rPr>
          <w:rFonts w:ascii="Times New Roman" w:eastAsia="Times New Roman" w:hAnsi="Times New Roman" w:cs="Times New Roman"/>
        </w:rPr>
      </w:pPr>
      <w:bookmarkStart w:id="7" w:name="_heading=h.1t3h5sf" w:colFirst="0" w:colLast="0"/>
      <w:bookmarkEnd w:id="7"/>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9F4162">
      <w:pPr>
        <w:rPr>
          <w:rFonts w:ascii="Times New Roman" w:eastAsia="Times New Roman" w:hAnsi="Times New Roman" w:cs="Times New Roman"/>
        </w:rPr>
      </w:pPr>
    </w:p>
    <w:p w:rsidR="009F4162" w:rsidRDefault="00BF7638">
      <w:pPr>
        <w:pStyle w:val="Titre3"/>
        <w:spacing w:before="240" w:after="200"/>
        <w:jc w:val="both"/>
        <w:rPr>
          <w:rFonts w:ascii="Times New Roman" w:eastAsia="Times New Roman" w:hAnsi="Times New Roman" w:cs="Times New Roman"/>
          <w:b/>
          <w:color w:val="000000"/>
        </w:rPr>
      </w:pPr>
      <w:r>
        <w:rPr>
          <w:rFonts w:ascii="Times New Roman" w:eastAsia="Times New Roman" w:hAnsi="Times New Roman" w:cs="Times New Roman"/>
          <w:b/>
          <w:color w:val="000000"/>
        </w:rPr>
        <w:t>Model Sensitivity</w:t>
      </w:r>
    </w:p>
    <w:p w:rsidR="009F4162" w:rsidRDefault="00BF7638">
      <w:pPr>
        <w:spacing w:after="200"/>
        <w:jc w:val="center"/>
        <w:rPr>
          <w:rFonts w:ascii="Times New Roman" w:eastAsia="Times New Roman" w:hAnsi="Times New Roman" w:cs="Times New Roman"/>
          <w:b/>
        </w:rPr>
      </w:pPr>
      <w:r>
        <w:rPr>
          <w:rFonts w:ascii="Times New Roman" w:eastAsia="Times New Roman" w:hAnsi="Times New Roman" w:cs="Times New Roman"/>
          <w:b/>
          <w:noProof/>
          <w:lang w:val="en-US"/>
        </w:rPr>
        <w:drawing>
          <wp:inline distT="114300" distB="114300" distL="114300" distR="114300">
            <wp:extent cx="5943600" cy="3886200"/>
            <wp:effectExtent l="0" t="0" r="0" b="0"/>
            <wp:docPr id="2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a:off x="0" y="0"/>
                      <a:ext cx="5943600" cy="3886200"/>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 xml:space="preserve">5 | Leave One Study Out (LOSO) analysis for assessing spectral model sensitivity on datasets: </w:t>
      </w:r>
      <w:r w:rsidR="00BF7638">
        <w:rPr>
          <w:rFonts w:ascii="Times New Roman" w:eastAsia="Times New Roman" w:hAnsi="Times New Roman" w:cs="Times New Roman"/>
        </w:rPr>
        <w:t>normative model trajectories across age excluding one dataset per iteration, compared to full dataset trajectories (red) across all frequency bands.</w:t>
      </w:r>
    </w:p>
    <w:p w:rsidR="009F4162" w:rsidRDefault="009F4162">
      <w:pPr>
        <w:spacing w:after="200"/>
        <w:jc w:val="both"/>
        <w:rPr>
          <w:rFonts w:ascii="Times New Roman" w:eastAsia="Times New Roman" w:hAnsi="Times New Roman" w:cs="Times New Roman"/>
        </w:rPr>
      </w:pPr>
    </w:p>
    <w:p w:rsidR="009F4162" w:rsidRDefault="00BF7638">
      <w:pPr>
        <w:spacing w:after="200"/>
        <w:jc w:val="center"/>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5943600" cy="3886200"/>
            <wp:effectExtent l="0" t="0" r="0" b="0"/>
            <wp:docPr id="3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0"/>
                    <a:srcRect/>
                    <a:stretch>
                      <a:fillRect/>
                    </a:stretch>
                  </pic:blipFill>
                  <pic:spPr>
                    <a:xfrm>
                      <a:off x="0" y="0"/>
                      <a:ext cx="5943600" cy="3886200"/>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 xml:space="preserve">6 | Leave One Study Out (LOSO) analysis for assessing FC model sensitivity on datasets: </w:t>
      </w:r>
      <w:r w:rsidR="00BF7638">
        <w:rPr>
          <w:rFonts w:ascii="Times New Roman" w:eastAsia="Times New Roman" w:hAnsi="Times New Roman" w:cs="Times New Roman"/>
        </w:rPr>
        <w:t>normative model trajectories across age excluding one dataset per iteration, compared to full dataset trajectories (red) across all frequency bands.</w:t>
      </w: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BF7638">
      <w:pPr>
        <w:rPr>
          <w:rFonts w:ascii="Times New Roman" w:eastAsia="Times New Roman" w:hAnsi="Times New Roman" w:cs="Times New Roman"/>
        </w:rPr>
      </w:pPr>
      <w:bookmarkStart w:id="8" w:name="_heading=h.4d34og8" w:colFirst="0" w:colLast="0"/>
      <w:bookmarkEnd w:id="8"/>
      <w:r>
        <w:rPr>
          <w:rFonts w:ascii="Times New Roman" w:eastAsia="Times New Roman" w:hAnsi="Times New Roman" w:cs="Times New Roman"/>
          <w:noProof/>
          <w:lang w:val="en-US"/>
        </w:rPr>
        <w:drawing>
          <wp:inline distT="114300" distB="114300" distL="114300" distR="114300">
            <wp:extent cx="5943600" cy="3949700"/>
            <wp:effectExtent l="0" t="0" r="0" b="0"/>
            <wp:docPr id="3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1"/>
                    <a:srcRect/>
                    <a:stretch>
                      <a:fillRect/>
                    </a:stretch>
                  </pic:blipFill>
                  <pic:spPr>
                    <a:xfrm>
                      <a:off x="0" y="0"/>
                      <a:ext cx="5943600" cy="3949700"/>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 xml:space="preserve">7 | Normative model aging trajectories of spectral features across age within each frequency band along with patients data. </w:t>
      </w:r>
      <w:r w:rsidR="00BF7638">
        <w:rPr>
          <w:rFonts w:ascii="Times New Roman" w:eastAsia="Times New Roman" w:hAnsi="Times New Roman" w:cs="Times New Roman"/>
        </w:rPr>
        <w:t>The median (50th percentile) is depicted with a solid blue line, while the 5th and 95th percentiles are indicated by dotted blue lines. The solid black line represents the mean parameter of the GAMLSS fit model. Relative power averaged over channels are represented by scatter points for healthy and patient groups (</w:t>
      </w:r>
      <w:proofErr w:type="gramStart"/>
      <w:r w:rsidR="00BF7638">
        <w:rPr>
          <w:rFonts w:ascii="Times New Roman" w:eastAsia="Times New Roman" w:hAnsi="Times New Roman" w:cs="Times New Roman"/>
        </w:rPr>
        <w:t>HC(</w:t>
      </w:r>
      <w:proofErr w:type="gramEnd"/>
      <w:r w:rsidR="00BF7638">
        <w:rPr>
          <w:rFonts w:ascii="Times New Roman" w:eastAsia="Times New Roman" w:hAnsi="Times New Roman" w:cs="Times New Roman"/>
        </w:rPr>
        <w:t>train), HC(test).</w:t>
      </w:r>
    </w:p>
    <w:p w:rsidR="009F4162" w:rsidRDefault="009F4162">
      <w:pPr>
        <w:spacing w:after="200"/>
        <w:jc w:val="both"/>
        <w:rPr>
          <w:rFonts w:ascii="Times New Roman" w:eastAsia="Times New Roman" w:hAnsi="Times New Roman" w:cs="Times New Roman"/>
        </w:rPr>
      </w:pPr>
    </w:p>
    <w:p w:rsidR="009F4162" w:rsidRDefault="00BF7638">
      <w:pPr>
        <w:spacing w:after="200"/>
        <w:jc w:val="both"/>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5943600" cy="3949700"/>
            <wp:effectExtent l="0" t="0" r="0" b="0"/>
            <wp:docPr id="3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943600" cy="3949700"/>
                    </a:xfrm>
                    <a:prstGeom prst="rect">
                      <a:avLst/>
                    </a:prstGeom>
                    <a:ln/>
                  </pic:spPr>
                </pic:pic>
              </a:graphicData>
            </a:graphic>
          </wp:inline>
        </w:drawing>
      </w:r>
    </w:p>
    <w:p w:rsidR="009F4162" w:rsidRDefault="009F4162">
      <w:pPr>
        <w:rPr>
          <w:rFonts w:ascii="Times New Roman" w:eastAsia="Times New Roman" w:hAnsi="Times New Roman" w:cs="Times New Roman"/>
        </w:rPr>
      </w:pP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 xml:space="preserve">8 | Normative model aging trajectories of functional connectivity features across age within each frequency band along with patients data. </w:t>
      </w:r>
      <w:r w:rsidR="00BF7638">
        <w:rPr>
          <w:rFonts w:ascii="Times New Roman" w:eastAsia="Times New Roman" w:hAnsi="Times New Roman" w:cs="Times New Roman"/>
        </w:rPr>
        <w:t>The median (50th percentile) is depicted with a solid blue line, while the 5th and 95th percentiles are indicated by dotted blue lines. The solid black line represents the mean parameter of the GAMLSS fit model. FC values averaged over connections are represented by scatter points for healthy and patient groups (</w:t>
      </w:r>
      <w:proofErr w:type="gramStart"/>
      <w:r w:rsidR="00BF7638">
        <w:rPr>
          <w:rFonts w:ascii="Times New Roman" w:eastAsia="Times New Roman" w:hAnsi="Times New Roman" w:cs="Times New Roman"/>
        </w:rPr>
        <w:t>HC(</w:t>
      </w:r>
      <w:proofErr w:type="gramEnd"/>
      <w:r w:rsidR="00BF7638">
        <w:rPr>
          <w:rFonts w:ascii="Times New Roman" w:eastAsia="Times New Roman" w:hAnsi="Times New Roman" w:cs="Times New Roman"/>
        </w:rPr>
        <w:t>train), HC(test).</w:t>
      </w:r>
    </w:p>
    <w:p w:rsidR="009F4162" w:rsidRDefault="009F4162">
      <w:pPr>
        <w:spacing w:after="200"/>
        <w:jc w:val="both"/>
        <w:rPr>
          <w:rFonts w:ascii="Times New Roman" w:eastAsia="Times New Roman" w:hAnsi="Times New Roman" w:cs="Times New Roman"/>
        </w:rPr>
      </w:pPr>
    </w:p>
    <w:p w:rsidR="009F4162" w:rsidRDefault="009F4162">
      <w:pPr>
        <w:spacing w:after="200"/>
        <w:jc w:val="both"/>
        <w:rPr>
          <w:rFonts w:ascii="Times New Roman" w:eastAsia="Times New Roman" w:hAnsi="Times New Roman" w:cs="Times New Roman"/>
        </w:rPr>
      </w:pPr>
    </w:p>
    <w:p w:rsidR="009F4162" w:rsidRDefault="00BF7638">
      <w:pPr>
        <w:spacing w:after="200"/>
        <w:jc w:val="both"/>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6365790" cy="4538663"/>
            <wp:effectExtent l="0" t="0" r="0" b="0"/>
            <wp:docPr id="3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3"/>
                    <a:srcRect/>
                    <a:stretch>
                      <a:fillRect/>
                    </a:stretch>
                  </pic:blipFill>
                  <pic:spPr>
                    <a:xfrm>
                      <a:off x="0" y="0"/>
                      <a:ext cx="6365790" cy="4538663"/>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 xml:space="preserve">9 | Distribution of the number of extremely deviated channels per subject across groups within each frequency band. </w:t>
      </w:r>
      <w:r w:rsidR="00BF7638">
        <w:rPr>
          <w:rFonts w:ascii="Times New Roman" w:eastAsia="Times New Roman" w:hAnsi="Times New Roman" w:cs="Times New Roman"/>
        </w:rPr>
        <w:t xml:space="preserve">Blue (Red) violins represent positive (negative) deviations. (*) denotes significant difference between HC and cases </w:t>
      </w:r>
      <w:r w:rsidR="00BF7638">
        <w:rPr>
          <w:rFonts w:ascii="Times New Roman" w:eastAsia="Times New Roman" w:hAnsi="Times New Roman" w:cs="Times New Roman"/>
          <w:i/>
        </w:rPr>
        <w:t>p&lt;0.05</w:t>
      </w:r>
      <w:r w:rsidR="00BF7638">
        <w:rPr>
          <w:rFonts w:ascii="Times New Roman" w:eastAsia="Times New Roman" w:hAnsi="Times New Roman" w:cs="Times New Roman"/>
        </w:rPr>
        <w:t xml:space="preserve">. (**) denotes significant difference between HC and cases </w:t>
      </w:r>
      <w:r w:rsidR="00BF7638">
        <w:rPr>
          <w:rFonts w:ascii="Times New Roman" w:eastAsia="Times New Roman" w:hAnsi="Times New Roman" w:cs="Times New Roman"/>
          <w:i/>
        </w:rPr>
        <w:t>p&lt;0.01</w:t>
      </w:r>
      <w:r w:rsidR="00BF7638">
        <w:rPr>
          <w:rFonts w:ascii="Times New Roman" w:eastAsia="Times New Roman" w:hAnsi="Times New Roman" w:cs="Times New Roman"/>
        </w:rPr>
        <w:t>.</w:t>
      </w:r>
    </w:p>
    <w:p w:rsidR="009F4162" w:rsidRDefault="00BF7638">
      <w:pPr>
        <w:spacing w:after="200"/>
        <w:jc w:val="both"/>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5943600" cy="4356100"/>
            <wp:effectExtent l="0" t="0" r="0" b="0"/>
            <wp:docPr id="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943600" cy="4356100"/>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color w:val="073763"/>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 xml:space="preserve">10 | Distribution of the number of extremely deviated connections per subject across groups within each frequency band. </w:t>
      </w:r>
      <w:r w:rsidR="00BF7638">
        <w:rPr>
          <w:rFonts w:ascii="Times New Roman" w:eastAsia="Times New Roman" w:hAnsi="Times New Roman" w:cs="Times New Roman"/>
        </w:rPr>
        <w:t xml:space="preserve">Blue (Red) violins represent positive (negative) deviations. (*) denotes significant difference between HC and cases </w:t>
      </w:r>
      <w:r w:rsidR="00BF7638">
        <w:rPr>
          <w:rFonts w:ascii="Times New Roman" w:eastAsia="Times New Roman" w:hAnsi="Times New Roman" w:cs="Times New Roman"/>
          <w:i/>
        </w:rPr>
        <w:t>p&lt;0.05</w:t>
      </w:r>
      <w:r w:rsidR="00BF7638">
        <w:rPr>
          <w:rFonts w:ascii="Times New Roman" w:eastAsia="Times New Roman" w:hAnsi="Times New Roman" w:cs="Times New Roman"/>
        </w:rPr>
        <w:t xml:space="preserve">. (**) denotes significant difference between HC and cases </w:t>
      </w:r>
      <w:r w:rsidR="00BF7638">
        <w:rPr>
          <w:rFonts w:ascii="Times New Roman" w:eastAsia="Times New Roman" w:hAnsi="Times New Roman" w:cs="Times New Roman"/>
          <w:i/>
        </w:rPr>
        <w:t>p&lt;0.01</w:t>
      </w:r>
      <w:r w:rsidR="00BF7638">
        <w:rPr>
          <w:rFonts w:ascii="Times New Roman" w:eastAsia="Times New Roman" w:hAnsi="Times New Roman" w:cs="Times New Roman"/>
        </w:rPr>
        <w:t>.</w:t>
      </w: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712772" w:rsidP="00D10C2C">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Table </w:t>
      </w:r>
      <w:r w:rsidR="00D10C2C">
        <w:rPr>
          <w:rFonts w:ascii="Times New Roman" w:eastAsia="Times New Roman" w:hAnsi="Times New Roman" w:cs="Times New Roman"/>
          <w:b/>
        </w:rPr>
        <w:t>6</w:t>
      </w:r>
      <w:r w:rsidR="00BF7638">
        <w:rPr>
          <w:rFonts w:ascii="Times New Roman" w:eastAsia="Times New Roman" w:hAnsi="Times New Roman" w:cs="Times New Roman"/>
          <w:b/>
        </w:rPr>
        <w:t xml:space="preserve"> | Percentage of subjects exhibiting at least one extremely deviant channel and the median number of extreme deviations across groups within each frequency band. </w:t>
      </w:r>
    </w:p>
    <w:tbl>
      <w:tblPr>
        <w:tblStyle w:val="a9"/>
        <w:tblpPr w:leftFromText="180" w:rightFromText="180" w:topFromText="180" w:bottomFromText="180" w:vertAnchor="text"/>
        <w:tblW w:w="7500" w:type="dxa"/>
        <w:tblBorders>
          <w:top w:val="nil"/>
          <w:left w:val="nil"/>
          <w:bottom w:val="nil"/>
          <w:right w:val="nil"/>
          <w:insideH w:val="nil"/>
          <w:insideV w:val="nil"/>
        </w:tblBorders>
        <w:tblLayout w:type="fixed"/>
        <w:tblLook w:val="0600" w:firstRow="0" w:lastRow="0" w:firstColumn="0" w:lastColumn="0" w:noHBand="1" w:noVBand="1"/>
      </w:tblPr>
      <w:tblGrid>
        <w:gridCol w:w="1500"/>
        <w:gridCol w:w="1500"/>
        <w:gridCol w:w="1500"/>
        <w:gridCol w:w="1500"/>
        <w:gridCol w:w="1500"/>
      </w:tblGrid>
      <w:tr w:rsidR="009F4162">
        <w:trPr>
          <w:trHeight w:val="315"/>
          <w:tblHeader/>
        </w:trPr>
        <w:tc>
          <w:tcPr>
            <w:tcW w:w="1500" w:type="dxa"/>
            <w:tcBorders>
              <w:top w:val="single" w:sz="6" w:space="0" w:color="CCCCCC"/>
              <w:left w:val="single" w:sz="6" w:space="0" w:color="CCCCCC"/>
              <w:bottom w:val="single" w:sz="12" w:space="0" w:color="434343"/>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Group</w:t>
            </w:r>
          </w:p>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6" w:space="0" w:color="CCCCCC"/>
              <w:left w:val="single" w:sz="12" w:space="0" w:color="434343"/>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at least one positive deviation</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Median [range]</w:t>
            </w:r>
          </w:p>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positive deviation</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at least one negative deviation</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Median [range]</w:t>
            </w:r>
          </w:p>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negative deviation</w:t>
            </w:r>
          </w:p>
        </w:tc>
      </w:tr>
      <w:tr w:rsidR="009F4162">
        <w:trPr>
          <w:trHeight w:val="315"/>
          <w:tblHeader/>
        </w:trPr>
        <w:tc>
          <w:tcPr>
            <w:tcW w:w="1500" w:type="dxa"/>
            <w:tcBorders>
              <w:top w:val="single" w:sz="6" w:space="0" w:color="CCCCCC"/>
              <w:left w:val="single" w:sz="6" w:space="0" w:color="CCCCCC"/>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6" w:space="0" w:color="CCCCCC"/>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6" w:space="0" w:color="CCCCCC"/>
              <w:left w:val="nil"/>
              <w:bottom w:val="single" w:sz="12" w:space="0" w:color="434343"/>
              <w:right w:val="nil"/>
            </w:tcBorders>
            <w:shd w:val="clear" w:color="auto" w:fill="F3F3F3"/>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Delta</w:t>
            </w:r>
          </w:p>
        </w:tc>
        <w:tc>
          <w:tcPr>
            <w:tcW w:w="1500" w:type="dxa"/>
            <w:tcBorders>
              <w:top w:val="single" w:sz="6" w:space="0" w:color="CCCCCC"/>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6" w:space="0" w:color="CCCCCC"/>
              <w:left w:val="nil"/>
              <w:bottom w:val="single" w:sz="12" w:space="0" w:color="434343"/>
              <w:right w:val="single" w:sz="6" w:space="0" w:color="CCCCCC"/>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r>
      <w:tr w:rsidR="009F4162">
        <w:trPr>
          <w:trHeight w:val="315"/>
          <w:tblHeader/>
        </w:trPr>
        <w:tc>
          <w:tcPr>
            <w:tcW w:w="1500" w:type="dxa"/>
            <w:tcBorders>
              <w:top w:val="single" w:sz="12" w:space="0" w:color="434343"/>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HC(test)</w:t>
            </w:r>
          </w:p>
        </w:tc>
        <w:tc>
          <w:tcPr>
            <w:tcW w:w="1500" w:type="dxa"/>
            <w:tcBorders>
              <w:top w:val="single" w:sz="12" w:space="0" w:color="434343"/>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8.08</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[0-17]</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10.10</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[0-7]</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13.14</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[0-11]</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8.47</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[0-8]</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AD</w:t>
            </w:r>
          </w:p>
        </w:tc>
        <w:tc>
          <w:tcPr>
            <w:tcW w:w="1500" w:type="dxa"/>
            <w:tcBorders>
              <w:top w:val="single" w:sz="6" w:space="0" w:color="CCCCCC"/>
              <w:left w:val="single" w:sz="12" w:space="0" w:color="434343"/>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17.77</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[0-19]</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9.14</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[0-18]</w:t>
            </w:r>
          </w:p>
        </w:tc>
      </w:tr>
      <w:tr w:rsidR="009F4162">
        <w:trPr>
          <w:trHeight w:val="315"/>
          <w:tblHeader/>
        </w:trPr>
        <w:tc>
          <w:tcPr>
            <w:tcW w:w="1500" w:type="dxa"/>
            <w:tcBorders>
              <w:top w:val="single" w:sz="12" w:space="0" w:color="434343"/>
              <w:left w:val="single" w:sz="6" w:space="0" w:color="CCCCCC"/>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Theta</w:t>
            </w: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single" w:sz="6" w:space="0" w:color="CCCCCC"/>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r>
      <w:tr w:rsidR="009F4162">
        <w:trPr>
          <w:trHeight w:val="315"/>
          <w:tblHeader/>
        </w:trPr>
        <w:tc>
          <w:tcPr>
            <w:tcW w:w="1500" w:type="dxa"/>
            <w:tcBorders>
              <w:top w:val="single" w:sz="12" w:space="0" w:color="434343"/>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HC(test)</w:t>
            </w:r>
          </w:p>
        </w:tc>
        <w:tc>
          <w:tcPr>
            <w:tcW w:w="1500" w:type="dxa"/>
            <w:tcBorders>
              <w:top w:val="single" w:sz="12" w:space="0" w:color="434343"/>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13.27</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[0-19]</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14.29</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[0-11]</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31.36</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[0-19]</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7.63</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[0-10]</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AD</w:t>
            </w:r>
          </w:p>
        </w:tc>
        <w:tc>
          <w:tcPr>
            <w:tcW w:w="1500" w:type="dxa"/>
            <w:tcBorders>
              <w:top w:val="single" w:sz="6" w:space="0" w:color="CCCCCC"/>
              <w:left w:val="single" w:sz="12" w:space="0" w:color="434343"/>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27.41</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[0-19]</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13.71</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[0-11]</w:t>
            </w:r>
          </w:p>
        </w:tc>
      </w:tr>
      <w:tr w:rsidR="009F4162">
        <w:trPr>
          <w:trHeight w:val="315"/>
          <w:tblHeader/>
        </w:trPr>
        <w:tc>
          <w:tcPr>
            <w:tcW w:w="1500" w:type="dxa"/>
            <w:tcBorders>
              <w:top w:val="single" w:sz="12" w:space="0" w:color="434343"/>
              <w:left w:val="single" w:sz="6" w:space="0" w:color="CCCCCC"/>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Alpha</w:t>
            </w: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single" w:sz="6" w:space="0" w:color="CCCCCC"/>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r>
      <w:tr w:rsidR="009F4162">
        <w:trPr>
          <w:trHeight w:val="315"/>
          <w:tblHeader/>
        </w:trPr>
        <w:tc>
          <w:tcPr>
            <w:tcW w:w="1500" w:type="dxa"/>
            <w:tcBorders>
              <w:top w:val="single" w:sz="12" w:space="0" w:color="434343"/>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HC(test)</w:t>
            </w:r>
          </w:p>
        </w:tc>
        <w:tc>
          <w:tcPr>
            <w:tcW w:w="1500" w:type="dxa"/>
            <w:tcBorders>
              <w:top w:val="single" w:sz="12" w:space="0" w:color="434343"/>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15.15</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[0-9]</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9.09</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[0-18]</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1.69</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[0-14]</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11.86</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[0-14]</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AD</w:t>
            </w:r>
          </w:p>
        </w:tc>
        <w:tc>
          <w:tcPr>
            <w:tcW w:w="1500" w:type="dxa"/>
            <w:tcBorders>
              <w:top w:val="single" w:sz="6" w:space="0" w:color="CCCCCC"/>
              <w:left w:val="single" w:sz="12" w:space="0" w:color="434343"/>
              <w:bottom w:val="single" w:sz="12" w:space="0" w:color="000000"/>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4.57</w:t>
            </w:r>
          </w:p>
        </w:tc>
        <w:tc>
          <w:tcPr>
            <w:tcW w:w="1500" w:type="dxa"/>
            <w:tcBorders>
              <w:top w:val="single" w:sz="6" w:space="0" w:color="CCCCCC"/>
              <w:left w:val="single" w:sz="6" w:space="0" w:color="CCCCCC"/>
              <w:bottom w:val="single" w:sz="12" w:space="0" w:color="000000"/>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[0-16]</w:t>
            </w:r>
          </w:p>
        </w:tc>
        <w:tc>
          <w:tcPr>
            <w:tcW w:w="1500" w:type="dxa"/>
            <w:tcBorders>
              <w:top w:val="single" w:sz="6" w:space="0" w:color="CCCCCC"/>
              <w:left w:val="single" w:sz="6" w:space="0" w:color="CCCCCC"/>
              <w:bottom w:val="single" w:sz="12" w:space="0" w:color="000000"/>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18.78</w:t>
            </w:r>
          </w:p>
        </w:tc>
        <w:tc>
          <w:tcPr>
            <w:tcW w:w="1500" w:type="dxa"/>
            <w:tcBorders>
              <w:top w:val="single" w:sz="6" w:space="0" w:color="CCCCCC"/>
              <w:left w:val="single" w:sz="6" w:space="0" w:color="CCCCCC"/>
              <w:bottom w:val="single" w:sz="12" w:space="0" w:color="000000"/>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[0-19]</w:t>
            </w:r>
          </w:p>
        </w:tc>
      </w:tr>
      <w:tr w:rsidR="009F4162">
        <w:trPr>
          <w:trHeight w:val="315"/>
          <w:tblHeader/>
        </w:trPr>
        <w:tc>
          <w:tcPr>
            <w:tcW w:w="1500" w:type="dxa"/>
            <w:tcBorders>
              <w:top w:val="single" w:sz="12" w:space="0" w:color="000000"/>
              <w:left w:val="single" w:sz="6" w:space="0" w:color="CCCCCC"/>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Beta</w:t>
            </w: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single" w:sz="6" w:space="0" w:color="CCCCCC"/>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r>
      <w:tr w:rsidR="009F4162">
        <w:trPr>
          <w:trHeight w:val="315"/>
          <w:tblHeader/>
        </w:trPr>
        <w:tc>
          <w:tcPr>
            <w:tcW w:w="1500" w:type="dxa"/>
            <w:tcBorders>
              <w:top w:val="single" w:sz="12" w:space="0" w:color="434343"/>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HC(test)</w:t>
            </w:r>
          </w:p>
        </w:tc>
        <w:tc>
          <w:tcPr>
            <w:tcW w:w="1500" w:type="dxa"/>
            <w:tcBorders>
              <w:top w:val="single" w:sz="12" w:space="0" w:color="434343"/>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16.16</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[0-10]</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[0-11]</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4.66</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[0-18]</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12.71</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[0-19]</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AD</w:t>
            </w:r>
          </w:p>
        </w:tc>
        <w:tc>
          <w:tcPr>
            <w:tcW w:w="1500" w:type="dxa"/>
            <w:tcBorders>
              <w:top w:val="single" w:sz="6" w:space="0" w:color="CCCCCC"/>
              <w:left w:val="single" w:sz="12" w:space="0" w:color="434343"/>
              <w:bottom w:val="single" w:sz="12" w:space="0" w:color="000000"/>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6.60</w:t>
            </w:r>
          </w:p>
        </w:tc>
        <w:tc>
          <w:tcPr>
            <w:tcW w:w="1500" w:type="dxa"/>
            <w:tcBorders>
              <w:top w:val="single" w:sz="6" w:space="0" w:color="CCCCCC"/>
              <w:left w:val="single" w:sz="6" w:space="0" w:color="CCCCCC"/>
              <w:bottom w:val="single" w:sz="12" w:space="0" w:color="000000"/>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[0-11]</w:t>
            </w:r>
          </w:p>
        </w:tc>
        <w:tc>
          <w:tcPr>
            <w:tcW w:w="1500" w:type="dxa"/>
            <w:tcBorders>
              <w:top w:val="single" w:sz="6" w:space="0" w:color="CCCCCC"/>
              <w:left w:val="single" w:sz="6" w:space="0" w:color="CCCCCC"/>
              <w:bottom w:val="single" w:sz="12" w:space="0" w:color="000000"/>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23.35</w:t>
            </w:r>
          </w:p>
        </w:tc>
        <w:tc>
          <w:tcPr>
            <w:tcW w:w="1500" w:type="dxa"/>
            <w:tcBorders>
              <w:top w:val="single" w:sz="6" w:space="0" w:color="CCCCCC"/>
              <w:left w:val="single" w:sz="6" w:space="0" w:color="CCCCCC"/>
              <w:bottom w:val="single" w:sz="12" w:space="0" w:color="000000"/>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[0-18]</w:t>
            </w:r>
          </w:p>
        </w:tc>
      </w:tr>
      <w:tr w:rsidR="009F4162">
        <w:trPr>
          <w:trHeight w:val="315"/>
          <w:tblHeader/>
        </w:trPr>
        <w:tc>
          <w:tcPr>
            <w:tcW w:w="1500" w:type="dxa"/>
            <w:tcBorders>
              <w:top w:val="single" w:sz="12" w:space="0" w:color="000000"/>
              <w:left w:val="single" w:sz="6" w:space="0" w:color="CCCCCC"/>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Gamma</w:t>
            </w: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single" w:sz="6" w:space="0" w:color="CCCCCC"/>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r>
      <w:tr w:rsidR="009F4162">
        <w:trPr>
          <w:trHeight w:val="315"/>
          <w:tblHeader/>
        </w:trPr>
        <w:tc>
          <w:tcPr>
            <w:tcW w:w="1500" w:type="dxa"/>
            <w:tcBorders>
              <w:top w:val="single" w:sz="12" w:space="0" w:color="434343"/>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HC(test)</w:t>
            </w:r>
          </w:p>
        </w:tc>
        <w:tc>
          <w:tcPr>
            <w:tcW w:w="1500" w:type="dxa"/>
            <w:tcBorders>
              <w:top w:val="single" w:sz="12" w:space="0" w:color="434343"/>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9.00</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[0-18]</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12.00</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[0-10]</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5.51</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[0-6]</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6.36</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[0-18]</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7.61</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[0-9]</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12.18</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[0-16]</w:t>
            </w:r>
          </w:p>
        </w:tc>
      </w:tr>
    </w:tbl>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rPr>
      </w:pPr>
    </w:p>
    <w:p w:rsidR="009F4162" w:rsidRDefault="00BF7638">
      <w:pPr>
        <w:spacing w:after="200"/>
        <w:jc w:val="center"/>
        <w:rPr>
          <w:rFonts w:ascii="Times New Roman" w:eastAsia="Times New Roman" w:hAnsi="Times New Roman" w:cs="Times New Roman"/>
          <w:b/>
        </w:rPr>
      </w:pPr>
      <w:r>
        <w:rPr>
          <w:rFonts w:ascii="Times New Roman" w:eastAsia="Times New Roman" w:hAnsi="Times New Roman" w:cs="Times New Roman"/>
          <w:b/>
          <w:noProof/>
          <w:lang w:val="en-US"/>
        </w:rPr>
        <w:drawing>
          <wp:inline distT="114300" distB="114300" distL="114300" distR="114300">
            <wp:extent cx="4843463" cy="4611119"/>
            <wp:effectExtent l="0" t="0" r="0" b="0"/>
            <wp:docPr id="3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4843463" cy="4611119"/>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11 | Spectral features maps in the delta band.</w:t>
      </w:r>
      <w:r w:rsidR="001F63E9">
        <w:rPr>
          <w:rFonts w:ascii="Times New Roman" w:eastAsia="Times New Roman" w:hAnsi="Times New Roman" w:cs="Times New Roman"/>
        </w:rPr>
        <w:t xml:space="preserve"> </w:t>
      </w:r>
      <w:r w:rsidR="00BF7638">
        <w:rPr>
          <w:rFonts w:ascii="Times New Roman" w:eastAsia="Times New Roman" w:hAnsi="Times New Roman" w:cs="Times New Roman"/>
        </w:rPr>
        <w:t>a) Overlap maps of deviation scores for clinical groups and the held-out healthy control group (</w:t>
      </w:r>
      <w:proofErr w:type="gramStart"/>
      <w:r w:rsidR="00BF7638">
        <w:rPr>
          <w:rFonts w:ascii="Times New Roman" w:eastAsia="Times New Roman" w:hAnsi="Times New Roman" w:cs="Times New Roman"/>
        </w:rPr>
        <w:t>HC(</w:t>
      </w:r>
      <w:proofErr w:type="gramEnd"/>
      <w:r w:rsidR="00BF7638">
        <w:rPr>
          <w:rFonts w:ascii="Times New Roman" w:eastAsia="Times New Roman" w:hAnsi="Times New Roman" w:cs="Times New Roman"/>
        </w:rPr>
        <w:t>test)), illustrat</w:t>
      </w:r>
      <w:r w:rsidR="001F63E9">
        <w:rPr>
          <w:rFonts w:ascii="Times New Roman" w:eastAsia="Times New Roman" w:hAnsi="Times New Roman" w:cs="Times New Roman"/>
        </w:rPr>
        <w:t xml:space="preserve">ing areas of common deviation. </w:t>
      </w:r>
      <w:r w:rsidR="00BF7638">
        <w:rPr>
          <w:rFonts w:ascii="Times New Roman" w:eastAsia="Times New Roman" w:hAnsi="Times New Roman" w:cs="Times New Roman"/>
        </w:rPr>
        <w:t xml:space="preserve">b) </w:t>
      </w:r>
      <w:proofErr w:type="gramStart"/>
      <w:r w:rsidR="00BF7638">
        <w:rPr>
          <w:rFonts w:ascii="Times New Roman" w:eastAsia="Times New Roman" w:hAnsi="Times New Roman" w:cs="Times New Roman"/>
        </w:rPr>
        <w:t>channels</w:t>
      </w:r>
      <w:proofErr w:type="gramEnd"/>
      <w:r w:rsidR="00BF7638">
        <w:rPr>
          <w:rFonts w:ascii="Times New Roman" w:eastAsia="Times New Roman" w:hAnsi="Times New Roman" w:cs="Times New Roman"/>
        </w:rPr>
        <w:t xml:space="preserve"> showing significant differences between HC(test) and clinical groups, determined through group-based permutation tests (p&lt;0.05, FDR corrected). </w:t>
      </w:r>
    </w:p>
    <w:p w:rsidR="009F4162" w:rsidRDefault="009F4162">
      <w:pPr>
        <w:spacing w:after="200"/>
        <w:jc w:val="both"/>
        <w:rPr>
          <w:rFonts w:ascii="Times New Roman" w:eastAsia="Times New Roman" w:hAnsi="Times New Roman" w:cs="Times New Roman"/>
        </w:rPr>
      </w:pPr>
    </w:p>
    <w:p w:rsidR="009F4162" w:rsidRDefault="00BF7638">
      <w:pPr>
        <w:spacing w:after="200"/>
        <w:jc w:val="center"/>
        <w:rPr>
          <w:rFonts w:ascii="Times New Roman" w:eastAsia="Times New Roman" w:hAnsi="Times New Roman" w:cs="Times New Roman"/>
          <w:b/>
        </w:rPr>
      </w:pPr>
      <w:r>
        <w:rPr>
          <w:rFonts w:ascii="Times New Roman" w:eastAsia="Times New Roman" w:hAnsi="Times New Roman" w:cs="Times New Roman"/>
          <w:b/>
          <w:noProof/>
          <w:lang w:val="en-US"/>
        </w:rPr>
        <w:drawing>
          <wp:inline distT="114300" distB="114300" distL="114300" distR="114300">
            <wp:extent cx="4972050" cy="4552391"/>
            <wp:effectExtent l="0" t="0" r="0" b="0"/>
            <wp:docPr id="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4972050" cy="4552391"/>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 xml:space="preserve">12 | Spectral features maps in the alpha band. </w:t>
      </w:r>
      <w:r w:rsidR="00BF7638">
        <w:rPr>
          <w:rFonts w:ascii="Times New Roman" w:eastAsia="Times New Roman" w:hAnsi="Times New Roman" w:cs="Times New Roman"/>
        </w:rPr>
        <w:t>a) Overlap maps of deviation scores for clinical groups and the held-out healthy control group (</w:t>
      </w:r>
      <w:proofErr w:type="gramStart"/>
      <w:r w:rsidR="00BF7638">
        <w:rPr>
          <w:rFonts w:ascii="Times New Roman" w:eastAsia="Times New Roman" w:hAnsi="Times New Roman" w:cs="Times New Roman"/>
        </w:rPr>
        <w:t>HC(</w:t>
      </w:r>
      <w:proofErr w:type="gramEnd"/>
      <w:r w:rsidR="00BF7638">
        <w:rPr>
          <w:rFonts w:ascii="Times New Roman" w:eastAsia="Times New Roman" w:hAnsi="Times New Roman" w:cs="Times New Roman"/>
        </w:rPr>
        <w:t>test)), illustrat</w:t>
      </w:r>
      <w:r w:rsidR="001F63E9">
        <w:rPr>
          <w:rFonts w:ascii="Times New Roman" w:eastAsia="Times New Roman" w:hAnsi="Times New Roman" w:cs="Times New Roman"/>
        </w:rPr>
        <w:t xml:space="preserve">ing areas of common deviation. </w:t>
      </w:r>
      <w:r w:rsidR="00BF7638">
        <w:rPr>
          <w:rFonts w:ascii="Times New Roman" w:eastAsia="Times New Roman" w:hAnsi="Times New Roman" w:cs="Times New Roman"/>
        </w:rPr>
        <w:t xml:space="preserve">b) </w:t>
      </w:r>
      <w:proofErr w:type="gramStart"/>
      <w:r w:rsidR="00BF7638">
        <w:rPr>
          <w:rFonts w:ascii="Times New Roman" w:eastAsia="Times New Roman" w:hAnsi="Times New Roman" w:cs="Times New Roman"/>
        </w:rPr>
        <w:t>channels</w:t>
      </w:r>
      <w:proofErr w:type="gramEnd"/>
      <w:r w:rsidR="00BF7638">
        <w:rPr>
          <w:rFonts w:ascii="Times New Roman" w:eastAsia="Times New Roman" w:hAnsi="Times New Roman" w:cs="Times New Roman"/>
        </w:rPr>
        <w:t xml:space="preserve"> showing significant differences between HC(test) and clinical groups, determined through group-based permutation tests (p&lt;0.05, FDR corrected). </w:t>
      </w:r>
    </w:p>
    <w:p w:rsidR="009F4162" w:rsidRDefault="009F4162">
      <w:pPr>
        <w:spacing w:after="200"/>
        <w:jc w:val="center"/>
        <w:rPr>
          <w:rFonts w:ascii="Times New Roman" w:eastAsia="Times New Roman" w:hAnsi="Times New Roman" w:cs="Times New Roman"/>
        </w:rPr>
      </w:pPr>
    </w:p>
    <w:p w:rsidR="009F4162" w:rsidRDefault="00BF7638">
      <w:pPr>
        <w:spacing w:after="200"/>
        <w:jc w:val="center"/>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5943600" cy="4940300"/>
            <wp:effectExtent l="0" t="0" r="0" b="0"/>
            <wp:docPr id="3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5943600" cy="4940300"/>
                    </a:xfrm>
                    <a:prstGeom prst="rect">
                      <a:avLst/>
                    </a:prstGeom>
                    <a:ln/>
                  </pic:spPr>
                </pic:pic>
              </a:graphicData>
            </a:graphic>
          </wp:inline>
        </w:drawing>
      </w:r>
    </w:p>
    <w:p w:rsidR="009F4162" w:rsidRDefault="009F4162">
      <w:pPr>
        <w:spacing w:after="200"/>
        <w:jc w:val="center"/>
        <w:rPr>
          <w:rFonts w:ascii="Times New Roman" w:eastAsia="Times New Roman" w:hAnsi="Times New Roman" w:cs="Times New Roman"/>
          <w:b/>
        </w:rPr>
      </w:pPr>
    </w:p>
    <w:p w:rsidR="009F4162" w:rsidRDefault="00712772" w:rsidP="001F63E9">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13 | Spectral f</w:t>
      </w:r>
      <w:r w:rsidR="001F63E9">
        <w:rPr>
          <w:rFonts w:ascii="Times New Roman" w:eastAsia="Times New Roman" w:hAnsi="Times New Roman" w:cs="Times New Roman"/>
          <w:b/>
        </w:rPr>
        <w:t xml:space="preserve">eatures maps in the gamma band. </w:t>
      </w:r>
      <w:r w:rsidR="00BF7638">
        <w:rPr>
          <w:rFonts w:ascii="Times New Roman" w:eastAsia="Times New Roman" w:hAnsi="Times New Roman" w:cs="Times New Roman"/>
        </w:rPr>
        <w:t>a) Overlap maps of deviation scores for clinical groups and the held-out healthy control group (</w:t>
      </w:r>
      <w:proofErr w:type="gramStart"/>
      <w:r w:rsidR="00BF7638">
        <w:rPr>
          <w:rFonts w:ascii="Times New Roman" w:eastAsia="Times New Roman" w:hAnsi="Times New Roman" w:cs="Times New Roman"/>
        </w:rPr>
        <w:t>HC(</w:t>
      </w:r>
      <w:proofErr w:type="gramEnd"/>
      <w:r w:rsidR="00BF7638">
        <w:rPr>
          <w:rFonts w:ascii="Times New Roman" w:eastAsia="Times New Roman" w:hAnsi="Times New Roman" w:cs="Times New Roman"/>
        </w:rPr>
        <w:t>test)), illustrat</w:t>
      </w:r>
      <w:r w:rsidR="001F63E9">
        <w:rPr>
          <w:rFonts w:ascii="Times New Roman" w:eastAsia="Times New Roman" w:hAnsi="Times New Roman" w:cs="Times New Roman"/>
        </w:rPr>
        <w:t xml:space="preserve">ing areas of common deviation. </w:t>
      </w:r>
      <w:r w:rsidR="00BF7638">
        <w:rPr>
          <w:rFonts w:ascii="Times New Roman" w:eastAsia="Times New Roman" w:hAnsi="Times New Roman" w:cs="Times New Roman"/>
        </w:rPr>
        <w:t xml:space="preserve">b) </w:t>
      </w:r>
      <w:proofErr w:type="gramStart"/>
      <w:r w:rsidR="00BF7638">
        <w:rPr>
          <w:rFonts w:ascii="Times New Roman" w:eastAsia="Times New Roman" w:hAnsi="Times New Roman" w:cs="Times New Roman"/>
        </w:rPr>
        <w:t>channels</w:t>
      </w:r>
      <w:proofErr w:type="gramEnd"/>
      <w:r w:rsidR="00BF7638">
        <w:rPr>
          <w:rFonts w:ascii="Times New Roman" w:eastAsia="Times New Roman" w:hAnsi="Times New Roman" w:cs="Times New Roman"/>
        </w:rPr>
        <w:t xml:space="preserve"> showing significant differences between HC(test) and clinical groups, determined through group-based permutation tests (p&lt;0.05, FDR corrected). </w:t>
      </w:r>
    </w:p>
    <w:p w:rsidR="009F4162" w:rsidRDefault="009F4162">
      <w:pPr>
        <w:spacing w:after="200"/>
        <w:jc w:val="both"/>
        <w:rPr>
          <w:rFonts w:ascii="Times New Roman" w:eastAsia="Times New Roman" w:hAnsi="Times New Roman" w:cs="Times New Roman"/>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712772" w:rsidP="00D10C2C">
      <w:pPr>
        <w:spacing w:after="200"/>
        <w:jc w:val="both"/>
        <w:rPr>
          <w:rFonts w:ascii="Times New Roman" w:eastAsia="Times New Roman" w:hAnsi="Times New Roman" w:cs="Times New Roman"/>
          <w:b/>
        </w:rPr>
      </w:pPr>
      <w:r>
        <w:rPr>
          <w:rFonts w:ascii="Times New Roman" w:eastAsia="Times New Roman" w:hAnsi="Times New Roman" w:cs="Times New Roman"/>
          <w:b/>
        </w:rPr>
        <w:t xml:space="preserve">Supplementary Table </w:t>
      </w:r>
      <w:r w:rsidR="00D10C2C">
        <w:rPr>
          <w:rFonts w:ascii="Times New Roman" w:eastAsia="Times New Roman" w:hAnsi="Times New Roman" w:cs="Times New Roman"/>
          <w:b/>
        </w:rPr>
        <w:t>7</w:t>
      </w:r>
      <w:r w:rsidR="00BF7638">
        <w:rPr>
          <w:rFonts w:ascii="Times New Roman" w:eastAsia="Times New Roman" w:hAnsi="Times New Roman" w:cs="Times New Roman"/>
          <w:b/>
        </w:rPr>
        <w:t xml:space="preserve"> | Percentage of subjects exhibiting at least one extremely deviant connection and the median number of extreme deviations across groups within each frequency band. </w:t>
      </w:r>
    </w:p>
    <w:tbl>
      <w:tblPr>
        <w:tblStyle w:val="aa"/>
        <w:tblpPr w:leftFromText="180" w:rightFromText="180" w:topFromText="180" w:bottomFromText="180" w:vertAnchor="text"/>
        <w:tblW w:w="7500" w:type="dxa"/>
        <w:tblBorders>
          <w:top w:val="nil"/>
          <w:left w:val="nil"/>
          <w:bottom w:val="nil"/>
          <w:right w:val="nil"/>
          <w:insideH w:val="nil"/>
          <w:insideV w:val="nil"/>
        </w:tblBorders>
        <w:tblLayout w:type="fixed"/>
        <w:tblLook w:val="0600" w:firstRow="0" w:lastRow="0" w:firstColumn="0" w:lastColumn="0" w:noHBand="1" w:noVBand="1"/>
      </w:tblPr>
      <w:tblGrid>
        <w:gridCol w:w="1500"/>
        <w:gridCol w:w="1500"/>
        <w:gridCol w:w="1500"/>
        <w:gridCol w:w="1500"/>
        <w:gridCol w:w="1500"/>
      </w:tblGrid>
      <w:tr w:rsidR="009F4162">
        <w:trPr>
          <w:trHeight w:val="315"/>
          <w:tblHeader/>
        </w:trPr>
        <w:tc>
          <w:tcPr>
            <w:tcW w:w="1500" w:type="dxa"/>
            <w:tcBorders>
              <w:top w:val="single" w:sz="6" w:space="0" w:color="CCCCCC"/>
              <w:left w:val="single" w:sz="6" w:space="0" w:color="CCCCCC"/>
              <w:bottom w:val="single" w:sz="12" w:space="0" w:color="434343"/>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Group</w:t>
            </w:r>
          </w:p>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6" w:space="0" w:color="CCCCCC"/>
              <w:left w:val="single" w:sz="12" w:space="0" w:color="434343"/>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at least one positive deviation</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Median [range]</w:t>
            </w:r>
          </w:p>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positive deviation</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at least one negative deviation</w:t>
            </w:r>
          </w:p>
        </w:tc>
        <w:tc>
          <w:tcPr>
            <w:tcW w:w="1500" w:type="dxa"/>
            <w:tcBorders>
              <w:top w:val="single" w:sz="6" w:space="0" w:color="CCCCCC"/>
              <w:left w:val="single" w:sz="6" w:space="0" w:color="CCCCCC"/>
              <w:bottom w:val="single" w:sz="12" w:space="0" w:color="434343"/>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Median [range]</w:t>
            </w:r>
          </w:p>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negative deviation</w:t>
            </w:r>
          </w:p>
        </w:tc>
      </w:tr>
      <w:tr w:rsidR="009F4162">
        <w:trPr>
          <w:trHeight w:val="315"/>
          <w:tblHeader/>
        </w:trPr>
        <w:tc>
          <w:tcPr>
            <w:tcW w:w="1500" w:type="dxa"/>
            <w:tcBorders>
              <w:top w:val="single" w:sz="6" w:space="0" w:color="CCCCCC"/>
              <w:left w:val="single" w:sz="6" w:space="0" w:color="CCCCCC"/>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6" w:space="0" w:color="CCCCCC"/>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6" w:space="0" w:color="CCCCCC"/>
              <w:left w:val="nil"/>
              <w:bottom w:val="single" w:sz="12" w:space="0" w:color="434343"/>
              <w:right w:val="nil"/>
            </w:tcBorders>
            <w:shd w:val="clear" w:color="auto" w:fill="F3F3F3"/>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Delta</w:t>
            </w:r>
          </w:p>
        </w:tc>
        <w:tc>
          <w:tcPr>
            <w:tcW w:w="1500" w:type="dxa"/>
            <w:tcBorders>
              <w:top w:val="single" w:sz="6" w:space="0" w:color="CCCCCC"/>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6" w:space="0" w:color="CCCCCC"/>
              <w:left w:val="nil"/>
              <w:bottom w:val="single" w:sz="12" w:space="0" w:color="434343"/>
              <w:right w:val="single" w:sz="6" w:space="0" w:color="CCCCCC"/>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r>
      <w:tr w:rsidR="009F4162">
        <w:trPr>
          <w:trHeight w:val="315"/>
          <w:tblHeader/>
        </w:trPr>
        <w:tc>
          <w:tcPr>
            <w:tcW w:w="1500" w:type="dxa"/>
            <w:tcBorders>
              <w:top w:val="single" w:sz="12" w:space="0" w:color="434343"/>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HC(test)</w:t>
            </w:r>
          </w:p>
        </w:tc>
        <w:tc>
          <w:tcPr>
            <w:tcW w:w="1500" w:type="dxa"/>
            <w:tcBorders>
              <w:top w:val="single" w:sz="12" w:space="0" w:color="434343"/>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39.80</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[0-1676]</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72.45</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 [0-353]</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40.68</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[0-1716]</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86.86</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26.0 [0-627]</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45.69</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[0-2150]</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53.81</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 [0-240]</w:t>
            </w:r>
          </w:p>
        </w:tc>
      </w:tr>
      <w:tr w:rsidR="009F4162">
        <w:trPr>
          <w:trHeight w:val="315"/>
          <w:tblHeader/>
        </w:trPr>
        <w:tc>
          <w:tcPr>
            <w:tcW w:w="1500" w:type="dxa"/>
            <w:tcBorders>
              <w:top w:val="single" w:sz="12" w:space="0" w:color="434343"/>
              <w:left w:val="single" w:sz="6" w:space="0" w:color="CCCCCC"/>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Theta</w:t>
            </w: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single" w:sz="6" w:space="0" w:color="CCCCCC"/>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r>
      <w:tr w:rsidR="009F4162">
        <w:trPr>
          <w:trHeight w:val="315"/>
          <w:tblHeader/>
        </w:trPr>
        <w:tc>
          <w:tcPr>
            <w:tcW w:w="1500" w:type="dxa"/>
            <w:tcBorders>
              <w:top w:val="single" w:sz="12" w:space="0" w:color="434343"/>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HC(test)</w:t>
            </w:r>
          </w:p>
        </w:tc>
        <w:tc>
          <w:tcPr>
            <w:tcW w:w="1500" w:type="dxa"/>
            <w:tcBorders>
              <w:top w:val="single" w:sz="12" w:space="0" w:color="434343"/>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42.42</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[0-740]</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70.71</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 [0-621]</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35.17</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[0-1747]</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83.47</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17.5 [0-1170]</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46.70</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[0-2175]</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49.24</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[0-173]</w:t>
            </w:r>
          </w:p>
        </w:tc>
      </w:tr>
      <w:tr w:rsidR="009F4162">
        <w:trPr>
          <w:trHeight w:val="315"/>
          <w:tblHeader/>
        </w:trPr>
        <w:tc>
          <w:tcPr>
            <w:tcW w:w="1500" w:type="dxa"/>
            <w:tcBorders>
              <w:top w:val="single" w:sz="12" w:space="0" w:color="434343"/>
              <w:left w:val="single" w:sz="6" w:space="0" w:color="CCCCCC"/>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Alpha</w:t>
            </w:r>
          </w:p>
        </w:tc>
        <w:tc>
          <w:tcPr>
            <w:tcW w:w="1500" w:type="dxa"/>
            <w:tcBorders>
              <w:top w:val="single" w:sz="12" w:space="0" w:color="434343"/>
              <w:left w:val="nil"/>
              <w:bottom w:val="single" w:sz="6" w:space="0" w:color="CCCCCC"/>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c>
          <w:tcPr>
            <w:tcW w:w="1500" w:type="dxa"/>
            <w:tcBorders>
              <w:top w:val="single" w:sz="12" w:space="0" w:color="434343"/>
              <w:left w:val="nil"/>
              <w:bottom w:val="single" w:sz="6" w:space="0" w:color="CCCCCC"/>
              <w:right w:val="single" w:sz="6" w:space="0" w:color="CCCCCC"/>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sz w:val="20"/>
                <w:szCs w:val="20"/>
              </w:rPr>
            </w:pPr>
          </w:p>
        </w:tc>
      </w:tr>
      <w:tr w:rsidR="009F4162">
        <w:trPr>
          <w:trHeight w:val="315"/>
          <w:tblHeader/>
        </w:trPr>
        <w:tc>
          <w:tcPr>
            <w:tcW w:w="1500" w:type="dxa"/>
            <w:tcBorders>
              <w:top w:val="single" w:sz="12" w:space="0" w:color="434343"/>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HC(test)</w:t>
            </w:r>
          </w:p>
        </w:tc>
        <w:tc>
          <w:tcPr>
            <w:tcW w:w="1500" w:type="dxa"/>
            <w:tcBorders>
              <w:top w:val="single" w:sz="12" w:space="0" w:color="434343"/>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45.92</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[0-1598]</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54.08</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 [0-721]</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38.14</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[0-1684]</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83.05</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19.0 [0-1187]</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52.79</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 [0-2110]</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53.30</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 [0-185]</w:t>
            </w:r>
          </w:p>
        </w:tc>
      </w:tr>
      <w:tr w:rsidR="009F4162">
        <w:trPr>
          <w:trHeight w:val="315"/>
          <w:tblHeader/>
        </w:trPr>
        <w:tc>
          <w:tcPr>
            <w:tcW w:w="1500" w:type="dxa"/>
            <w:tcBorders>
              <w:top w:val="single" w:sz="12" w:space="0" w:color="000000"/>
              <w:left w:val="single" w:sz="6" w:space="0" w:color="CCCCCC"/>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Beta</w:t>
            </w: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single" w:sz="6" w:space="0" w:color="CCCCCC"/>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r>
      <w:tr w:rsidR="009F4162">
        <w:trPr>
          <w:trHeight w:val="315"/>
          <w:tblHeader/>
        </w:trPr>
        <w:tc>
          <w:tcPr>
            <w:tcW w:w="1500" w:type="dxa"/>
            <w:tcBorders>
              <w:top w:val="single" w:sz="12" w:space="0" w:color="434343"/>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HC(test)</w:t>
            </w:r>
          </w:p>
        </w:tc>
        <w:tc>
          <w:tcPr>
            <w:tcW w:w="1500" w:type="dxa"/>
            <w:tcBorders>
              <w:top w:val="single" w:sz="12" w:space="0" w:color="434343"/>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42.27</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[0-464]</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62.89</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 [0-747]</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37.71</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[0-1750]</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83.05</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17.0 [0-1194]</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46.70</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[0-2157]</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49.75</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[0-185]</w:t>
            </w:r>
          </w:p>
        </w:tc>
      </w:tr>
      <w:tr w:rsidR="009F4162">
        <w:trPr>
          <w:trHeight w:val="315"/>
          <w:tblHeader/>
        </w:trPr>
        <w:tc>
          <w:tcPr>
            <w:tcW w:w="1500" w:type="dxa"/>
            <w:tcBorders>
              <w:top w:val="single" w:sz="12" w:space="0" w:color="000000"/>
              <w:left w:val="single" w:sz="6" w:space="0" w:color="CCCCCC"/>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Gamma</w:t>
            </w:r>
          </w:p>
        </w:tc>
        <w:tc>
          <w:tcPr>
            <w:tcW w:w="1500" w:type="dxa"/>
            <w:tcBorders>
              <w:top w:val="single" w:sz="12" w:space="0" w:color="000000"/>
              <w:left w:val="nil"/>
              <w:bottom w:val="single" w:sz="12" w:space="0" w:color="434343"/>
              <w:right w:val="nil"/>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c>
          <w:tcPr>
            <w:tcW w:w="1500" w:type="dxa"/>
            <w:tcBorders>
              <w:top w:val="single" w:sz="12" w:space="0" w:color="000000"/>
              <w:left w:val="nil"/>
              <w:bottom w:val="single" w:sz="12" w:space="0" w:color="434343"/>
              <w:right w:val="single" w:sz="6" w:space="0" w:color="CCCCCC"/>
            </w:tcBorders>
            <w:shd w:val="clear" w:color="auto" w:fill="F3F3F3"/>
            <w:tcMar>
              <w:top w:w="40" w:type="dxa"/>
              <w:left w:w="40" w:type="dxa"/>
              <w:bottom w:w="40" w:type="dxa"/>
              <w:right w:w="40" w:type="dxa"/>
            </w:tcMar>
            <w:vAlign w:val="bottom"/>
          </w:tcPr>
          <w:p w:rsidR="009F4162" w:rsidRDefault="009F4162">
            <w:pPr>
              <w:widowControl w:val="0"/>
              <w:jc w:val="center"/>
              <w:rPr>
                <w:rFonts w:ascii="Times New Roman" w:eastAsia="Times New Roman" w:hAnsi="Times New Roman" w:cs="Times New Roman"/>
                <w:b/>
                <w:sz w:val="20"/>
                <w:szCs w:val="20"/>
              </w:rPr>
            </w:pPr>
          </w:p>
        </w:tc>
      </w:tr>
      <w:tr w:rsidR="009F4162">
        <w:trPr>
          <w:trHeight w:val="315"/>
          <w:tblHeader/>
        </w:trPr>
        <w:tc>
          <w:tcPr>
            <w:tcW w:w="1500" w:type="dxa"/>
            <w:tcBorders>
              <w:top w:val="single" w:sz="12" w:space="0" w:color="434343"/>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HC(test)</w:t>
            </w:r>
          </w:p>
        </w:tc>
        <w:tc>
          <w:tcPr>
            <w:tcW w:w="1500" w:type="dxa"/>
            <w:tcBorders>
              <w:top w:val="single" w:sz="12" w:space="0" w:color="434343"/>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42.86</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[0-1095]</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73.47</w:t>
            </w:r>
          </w:p>
        </w:tc>
        <w:tc>
          <w:tcPr>
            <w:tcW w:w="1500" w:type="dxa"/>
            <w:tcBorders>
              <w:top w:val="single" w:sz="12" w:space="0" w:color="434343"/>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 [0-690]</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37.29</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[0-1716]</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85.59</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26.0 [0-1277]</w:t>
            </w:r>
          </w:p>
        </w:tc>
      </w:tr>
      <w:tr w:rsidR="009F4162">
        <w:trPr>
          <w:trHeight w:val="315"/>
          <w:tblHeader/>
        </w:trPr>
        <w:tc>
          <w:tcPr>
            <w:tcW w:w="1500" w:type="dxa"/>
            <w:tcBorders>
              <w:top w:val="single" w:sz="6" w:space="0" w:color="CCCCCC"/>
              <w:left w:val="single" w:sz="6" w:space="0" w:color="CCCCCC"/>
              <w:bottom w:val="single" w:sz="6" w:space="0" w:color="CCCCCC"/>
              <w:right w:val="single" w:sz="12" w:space="0" w:color="434343"/>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AD</w:t>
            </w:r>
          </w:p>
        </w:tc>
        <w:tc>
          <w:tcPr>
            <w:tcW w:w="1500" w:type="dxa"/>
            <w:tcBorders>
              <w:top w:val="single" w:sz="6" w:space="0" w:color="CCCCCC"/>
              <w:left w:val="single" w:sz="12" w:space="0" w:color="434343"/>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44.16</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 [0-2134]</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54.82</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9F4162" w:rsidRDefault="00BF7638">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 [0-228]</w:t>
            </w:r>
          </w:p>
        </w:tc>
      </w:tr>
    </w:tbl>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color w:val="073763"/>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rPr>
      </w:pPr>
    </w:p>
    <w:p w:rsidR="009F4162" w:rsidRDefault="009F4162">
      <w:pPr>
        <w:spacing w:after="200"/>
        <w:jc w:val="both"/>
        <w:rPr>
          <w:rFonts w:ascii="Times New Roman" w:eastAsia="Times New Roman" w:hAnsi="Times New Roman" w:cs="Times New Roman"/>
          <w:b/>
          <w:color w:val="073763"/>
        </w:rPr>
      </w:pPr>
    </w:p>
    <w:p w:rsidR="009F4162" w:rsidRDefault="00BF7638">
      <w:pPr>
        <w:spacing w:after="200"/>
        <w:jc w:val="both"/>
        <w:rPr>
          <w:rFonts w:ascii="Times New Roman" w:eastAsia="Times New Roman" w:hAnsi="Times New Roman" w:cs="Times New Roman"/>
          <w:b/>
          <w:color w:val="073763"/>
        </w:rPr>
      </w:pPr>
      <w:r>
        <w:rPr>
          <w:rFonts w:ascii="Times New Roman" w:eastAsia="Times New Roman" w:hAnsi="Times New Roman" w:cs="Times New Roman"/>
          <w:b/>
          <w:noProof/>
          <w:color w:val="073763"/>
          <w:lang w:val="en-US"/>
        </w:rPr>
        <w:drawing>
          <wp:inline distT="114300" distB="114300" distL="114300" distR="114300">
            <wp:extent cx="5943600" cy="5638800"/>
            <wp:effectExtent l="0" t="0" r="0" b="0"/>
            <wp:docPr id="3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srcRect/>
                    <a:stretch>
                      <a:fillRect/>
                    </a:stretch>
                  </pic:blipFill>
                  <pic:spPr>
                    <a:xfrm>
                      <a:off x="0" y="0"/>
                      <a:ext cx="5943600" cy="5638800"/>
                    </a:xfrm>
                    <a:prstGeom prst="rect">
                      <a:avLst/>
                    </a:prstGeom>
                    <a:ln/>
                  </pic:spPr>
                </pic:pic>
              </a:graphicData>
            </a:graphic>
          </wp:inline>
        </w:drawing>
      </w:r>
    </w:p>
    <w:p w:rsidR="009F4162" w:rsidRDefault="00712772" w:rsidP="001F63E9">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14 | Functional co</w:t>
      </w:r>
      <w:r w:rsidR="001F63E9">
        <w:rPr>
          <w:rFonts w:ascii="Times New Roman" w:eastAsia="Times New Roman" w:hAnsi="Times New Roman" w:cs="Times New Roman"/>
          <w:b/>
        </w:rPr>
        <w:t xml:space="preserve">nnectivity maps in delta band. </w:t>
      </w:r>
      <w:r w:rsidR="00BF7638">
        <w:rPr>
          <w:rFonts w:ascii="Times New Roman" w:eastAsia="Times New Roman" w:hAnsi="Times New Roman" w:cs="Times New Roman"/>
          <w:b/>
        </w:rPr>
        <w:t xml:space="preserve">a) </w:t>
      </w:r>
      <w:r w:rsidR="00BF7638">
        <w:rPr>
          <w:rFonts w:ascii="Times New Roman" w:eastAsia="Times New Roman" w:hAnsi="Times New Roman" w:cs="Times New Roman"/>
        </w:rPr>
        <w:t>Overlap maps of positive and negative deviation scores for clinical groups and the held-out healthy control group (</w:t>
      </w:r>
      <w:proofErr w:type="gramStart"/>
      <w:r w:rsidR="00BF7638">
        <w:rPr>
          <w:rFonts w:ascii="Times New Roman" w:eastAsia="Times New Roman" w:hAnsi="Times New Roman" w:cs="Times New Roman"/>
        </w:rPr>
        <w:t>HC(</w:t>
      </w:r>
      <w:proofErr w:type="gramEnd"/>
      <w:r w:rsidR="00BF7638">
        <w:rPr>
          <w:rFonts w:ascii="Times New Roman" w:eastAsia="Times New Roman" w:hAnsi="Times New Roman" w:cs="Times New Roman"/>
        </w:rPr>
        <w:t xml:space="preserve">test)), illustrating areas of common deviation among patients (with only the highest 4% overlap values being plotted for visualization purposes). </w:t>
      </w:r>
      <w:r w:rsidR="00BF7638">
        <w:rPr>
          <w:rFonts w:ascii="Times New Roman" w:eastAsia="Times New Roman" w:hAnsi="Times New Roman" w:cs="Times New Roman"/>
          <w:b/>
        </w:rPr>
        <w:t>b)</w:t>
      </w:r>
      <w:r w:rsidR="00BF7638">
        <w:rPr>
          <w:rFonts w:ascii="Times New Roman" w:eastAsia="Times New Roman" w:hAnsi="Times New Roman" w:cs="Times New Roman"/>
        </w:rPr>
        <w:t xml:space="preserve"> </w:t>
      </w:r>
      <w:proofErr w:type="gramStart"/>
      <w:r w:rsidR="00BF7638">
        <w:rPr>
          <w:rFonts w:ascii="Times New Roman" w:eastAsia="Times New Roman" w:hAnsi="Times New Roman" w:cs="Times New Roman"/>
        </w:rPr>
        <w:t>functional</w:t>
      </w:r>
      <w:proofErr w:type="gramEnd"/>
      <w:r w:rsidR="00BF7638">
        <w:rPr>
          <w:rFonts w:ascii="Times New Roman" w:eastAsia="Times New Roman" w:hAnsi="Times New Roman" w:cs="Times New Roman"/>
        </w:rPr>
        <w:t xml:space="preserve"> connections showing significant differences between HC(test) and clinical groups, determined through group-based permutation tests (p&lt;0.05, FDR corrected).</w:t>
      </w:r>
    </w:p>
    <w:p w:rsidR="009F4162" w:rsidRDefault="009F4162">
      <w:pPr>
        <w:spacing w:after="200"/>
        <w:jc w:val="both"/>
        <w:rPr>
          <w:rFonts w:ascii="Times New Roman" w:eastAsia="Times New Roman" w:hAnsi="Times New Roman" w:cs="Times New Roman"/>
          <w:b/>
          <w:color w:val="073763"/>
        </w:rPr>
      </w:pPr>
    </w:p>
    <w:p w:rsidR="009F4162" w:rsidRDefault="009F4162">
      <w:pPr>
        <w:spacing w:after="200"/>
        <w:jc w:val="both"/>
        <w:rPr>
          <w:rFonts w:ascii="Times New Roman" w:eastAsia="Times New Roman" w:hAnsi="Times New Roman" w:cs="Times New Roman"/>
          <w:b/>
          <w:color w:val="073763"/>
        </w:rPr>
      </w:pPr>
    </w:p>
    <w:p w:rsidR="009F4162" w:rsidRDefault="00BF7638">
      <w:pPr>
        <w:spacing w:after="200"/>
        <w:jc w:val="both"/>
        <w:rPr>
          <w:rFonts w:ascii="Times New Roman" w:eastAsia="Times New Roman" w:hAnsi="Times New Roman" w:cs="Times New Roman"/>
          <w:b/>
          <w:color w:val="073763"/>
        </w:rPr>
      </w:pPr>
      <w:r>
        <w:rPr>
          <w:rFonts w:ascii="Times New Roman" w:eastAsia="Times New Roman" w:hAnsi="Times New Roman" w:cs="Times New Roman"/>
          <w:b/>
          <w:noProof/>
          <w:color w:val="073763"/>
          <w:lang w:val="en-US"/>
        </w:rPr>
        <w:drawing>
          <wp:inline distT="114300" distB="114300" distL="114300" distR="114300">
            <wp:extent cx="5943600" cy="5562600"/>
            <wp:effectExtent l="0" t="0" r="0" b="0"/>
            <wp:docPr id="4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a:stretch>
                      <a:fillRect/>
                    </a:stretch>
                  </pic:blipFill>
                  <pic:spPr>
                    <a:xfrm>
                      <a:off x="0" y="0"/>
                      <a:ext cx="5943600" cy="5562600"/>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15 | Functional co</w:t>
      </w:r>
      <w:r w:rsidR="001F63E9">
        <w:rPr>
          <w:rFonts w:ascii="Times New Roman" w:eastAsia="Times New Roman" w:hAnsi="Times New Roman" w:cs="Times New Roman"/>
          <w:b/>
        </w:rPr>
        <w:t xml:space="preserve">nnectivity maps in alpha band. </w:t>
      </w:r>
      <w:r w:rsidR="00BF7638">
        <w:rPr>
          <w:rFonts w:ascii="Times New Roman" w:eastAsia="Times New Roman" w:hAnsi="Times New Roman" w:cs="Times New Roman"/>
          <w:b/>
        </w:rPr>
        <w:t xml:space="preserve">a) </w:t>
      </w:r>
      <w:r w:rsidR="00BF7638">
        <w:rPr>
          <w:rFonts w:ascii="Times New Roman" w:eastAsia="Times New Roman" w:hAnsi="Times New Roman" w:cs="Times New Roman"/>
        </w:rPr>
        <w:t>Overlap maps of positive and negative deviation scores for clinical groups and the held-out healthy control group (</w:t>
      </w:r>
      <w:proofErr w:type="gramStart"/>
      <w:r w:rsidR="00BF7638">
        <w:rPr>
          <w:rFonts w:ascii="Times New Roman" w:eastAsia="Times New Roman" w:hAnsi="Times New Roman" w:cs="Times New Roman"/>
        </w:rPr>
        <w:t>HC(</w:t>
      </w:r>
      <w:proofErr w:type="gramEnd"/>
      <w:r w:rsidR="00BF7638">
        <w:rPr>
          <w:rFonts w:ascii="Times New Roman" w:eastAsia="Times New Roman" w:hAnsi="Times New Roman" w:cs="Times New Roman"/>
        </w:rPr>
        <w:t xml:space="preserve">test)), illustrating areas of common deviation among patients (with only the highest 4% overlap values being plotted for visualization purposes). </w:t>
      </w:r>
      <w:r w:rsidR="00BF7638">
        <w:rPr>
          <w:rFonts w:ascii="Times New Roman" w:eastAsia="Times New Roman" w:hAnsi="Times New Roman" w:cs="Times New Roman"/>
          <w:b/>
        </w:rPr>
        <w:t>b)</w:t>
      </w:r>
      <w:r w:rsidR="00BF7638">
        <w:rPr>
          <w:rFonts w:ascii="Times New Roman" w:eastAsia="Times New Roman" w:hAnsi="Times New Roman" w:cs="Times New Roman"/>
        </w:rPr>
        <w:t xml:space="preserve"> </w:t>
      </w:r>
      <w:proofErr w:type="gramStart"/>
      <w:r w:rsidR="00BF7638">
        <w:rPr>
          <w:rFonts w:ascii="Times New Roman" w:eastAsia="Times New Roman" w:hAnsi="Times New Roman" w:cs="Times New Roman"/>
        </w:rPr>
        <w:t>functional</w:t>
      </w:r>
      <w:proofErr w:type="gramEnd"/>
      <w:r w:rsidR="00BF7638">
        <w:rPr>
          <w:rFonts w:ascii="Times New Roman" w:eastAsia="Times New Roman" w:hAnsi="Times New Roman" w:cs="Times New Roman"/>
        </w:rPr>
        <w:t xml:space="preserve"> connections showing significant differences between HC(test) and clinical groups, determined through group-based permutation tests (p&lt;0.05, FDR corrected).</w:t>
      </w:r>
    </w:p>
    <w:p w:rsidR="009F4162" w:rsidRDefault="009F4162">
      <w:pPr>
        <w:spacing w:after="200"/>
        <w:jc w:val="both"/>
        <w:rPr>
          <w:rFonts w:ascii="Times New Roman" w:eastAsia="Times New Roman" w:hAnsi="Times New Roman" w:cs="Times New Roman"/>
          <w:b/>
          <w:color w:val="073763"/>
        </w:rPr>
      </w:pPr>
    </w:p>
    <w:p w:rsidR="009F4162" w:rsidRDefault="009F4162">
      <w:pPr>
        <w:spacing w:after="200"/>
        <w:jc w:val="both"/>
        <w:rPr>
          <w:rFonts w:ascii="Times New Roman" w:eastAsia="Times New Roman" w:hAnsi="Times New Roman" w:cs="Times New Roman"/>
        </w:rPr>
      </w:pPr>
    </w:p>
    <w:p w:rsidR="009F4162" w:rsidRDefault="009F4162">
      <w:pPr>
        <w:spacing w:after="200"/>
        <w:jc w:val="both"/>
        <w:rPr>
          <w:rFonts w:ascii="Times New Roman" w:eastAsia="Times New Roman" w:hAnsi="Times New Roman" w:cs="Times New Roman"/>
          <w:b/>
          <w:color w:val="073763"/>
        </w:rPr>
      </w:pPr>
    </w:p>
    <w:p w:rsidR="009F4162" w:rsidRDefault="009F4162">
      <w:pPr>
        <w:spacing w:after="200"/>
        <w:jc w:val="both"/>
        <w:rPr>
          <w:rFonts w:ascii="Times New Roman" w:eastAsia="Times New Roman" w:hAnsi="Times New Roman" w:cs="Times New Roman"/>
          <w:b/>
          <w:color w:val="073763"/>
        </w:rPr>
      </w:pPr>
    </w:p>
    <w:p w:rsidR="009F4162" w:rsidRDefault="009F4162">
      <w:pPr>
        <w:spacing w:after="200"/>
        <w:jc w:val="both"/>
        <w:rPr>
          <w:rFonts w:ascii="Times New Roman" w:eastAsia="Times New Roman" w:hAnsi="Times New Roman" w:cs="Times New Roman"/>
          <w:b/>
          <w:color w:val="073763"/>
        </w:rPr>
      </w:pPr>
    </w:p>
    <w:p w:rsidR="009F4162" w:rsidRDefault="00BF7638">
      <w:pPr>
        <w:spacing w:after="200"/>
        <w:jc w:val="both"/>
        <w:rPr>
          <w:rFonts w:ascii="Times New Roman" w:eastAsia="Times New Roman" w:hAnsi="Times New Roman" w:cs="Times New Roman"/>
          <w:b/>
          <w:color w:val="073763"/>
        </w:rPr>
      </w:pPr>
      <w:r>
        <w:rPr>
          <w:rFonts w:ascii="Times New Roman" w:eastAsia="Times New Roman" w:hAnsi="Times New Roman" w:cs="Times New Roman"/>
          <w:b/>
          <w:noProof/>
          <w:color w:val="073763"/>
          <w:lang w:val="en-US"/>
        </w:rPr>
        <w:drawing>
          <wp:inline distT="114300" distB="114300" distL="114300" distR="114300">
            <wp:extent cx="5943600" cy="5562600"/>
            <wp:effectExtent l="0" t="0" r="0" b="0"/>
            <wp:docPr id="4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0"/>
                    <a:srcRect/>
                    <a:stretch>
                      <a:fillRect/>
                    </a:stretch>
                  </pic:blipFill>
                  <pic:spPr>
                    <a:xfrm>
                      <a:off x="0" y="0"/>
                      <a:ext cx="5943600" cy="5562600"/>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16 | Functional co</w:t>
      </w:r>
      <w:r w:rsidR="001F63E9">
        <w:rPr>
          <w:rFonts w:ascii="Times New Roman" w:eastAsia="Times New Roman" w:hAnsi="Times New Roman" w:cs="Times New Roman"/>
          <w:b/>
        </w:rPr>
        <w:t xml:space="preserve">nnectivity maps in gamma band. </w:t>
      </w:r>
      <w:r w:rsidR="00BF7638">
        <w:rPr>
          <w:rFonts w:ascii="Times New Roman" w:eastAsia="Times New Roman" w:hAnsi="Times New Roman" w:cs="Times New Roman"/>
          <w:b/>
        </w:rPr>
        <w:t xml:space="preserve">a) </w:t>
      </w:r>
      <w:r w:rsidR="00BF7638">
        <w:rPr>
          <w:rFonts w:ascii="Times New Roman" w:eastAsia="Times New Roman" w:hAnsi="Times New Roman" w:cs="Times New Roman"/>
        </w:rPr>
        <w:t>Overlap maps of positive and negative deviation scores for clinical groups and the held-out healthy control group (</w:t>
      </w:r>
      <w:proofErr w:type="gramStart"/>
      <w:r w:rsidR="00BF7638">
        <w:rPr>
          <w:rFonts w:ascii="Times New Roman" w:eastAsia="Times New Roman" w:hAnsi="Times New Roman" w:cs="Times New Roman"/>
        </w:rPr>
        <w:t>HC(</w:t>
      </w:r>
      <w:proofErr w:type="gramEnd"/>
      <w:r w:rsidR="00BF7638">
        <w:rPr>
          <w:rFonts w:ascii="Times New Roman" w:eastAsia="Times New Roman" w:hAnsi="Times New Roman" w:cs="Times New Roman"/>
        </w:rPr>
        <w:t xml:space="preserve">test)), illustrating areas of common deviation among patients (with only the highest 4% overlap values being plotted for visualization purposes). </w:t>
      </w:r>
      <w:r w:rsidR="00BF7638">
        <w:rPr>
          <w:rFonts w:ascii="Times New Roman" w:eastAsia="Times New Roman" w:hAnsi="Times New Roman" w:cs="Times New Roman"/>
          <w:b/>
        </w:rPr>
        <w:t>b)</w:t>
      </w:r>
      <w:r w:rsidR="001F63E9">
        <w:rPr>
          <w:rFonts w:ascii="Times New Roman" w:eastAsia="Times New Roman" w:hAnsi="Times New Roman" w:cs="Times New Roman"/>
        </w:rPr>
        <w:t xml:space="preserve"> F</w:t>
      </w:r>
      <w:r w:rsidR="00BF7638">
        <w:rPr>
          <w:rFonts w:ascii="Times New Roman" w:eastAsia="Times New Roman" w:hAnsi="Times New Roman" w:cs="Times New Roman"/>
        </w:rPr>
        <w:t xml:space="preserve">unctional connections showing significant differences between </w:t>
      </w:r>
      <w:proofErr w:type="gramStart"/>
      <w:r w:rsidR="00BF7638">
        <w:rPr>
          <w:rFonts w:ascii="Times New Roman" w:eastAsia="Times New Roman" w:hAnsi="Times New Roman" w:cs="Times New Roman"/>
        </w:rPr>
        <w:t>HC(</w:t>
      </w:r>
      <w:proofErr w:type="gramEnd"/>
      <w:r w:rsidR="00BF7638">
        <w:rPr>
          <w:rFonts w:ascii="Times New Roman" w:eastAsia="Times New Roman" w:hAnsi="Times New Roman" w:cs="Times New Roman"/>
        </w:rPr>
        <w:t>test) and clinical groups, determined through group-based permutation tests (p&lt;0.05, FDR corrected).</w:t>
      </w:r>
    </w:p>
    <w:p w:rsidR="009F4162" w:rsidRDefault="009F4162">
      <w:pPr>
        <w:spacing w:after="200"/>
        <w:jc w:val="both"/>
        <w:rPr>
          <w:rFonts w:ascii="Times New Roman" w:eastAsia="Times New Roman" w:hAnsi="Times New Roman" w:cs="Times New Roman"/>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9F4162">
      <w:pPr>
        <w:spacing w:after="200"/>
        <w:jc w:val="both"/>
        <w:rPr>
          <w:rFonts w:ascii="Times New Roman" w:eastAsia="Times New Roman" w:hAnsi="Times New Roman" w:cs="Times New Roman"/>
          <w:b/>
        </w:rPr>
      </w:pPr>
    </w:p>
    <w:p w:rsidR="009F4162" w:rsidRDefault="00712772" w:rsidP="00D10C2C">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Table </w:t>
      </w:r>
      <w:r w:rsidR="00D10C2C">
        <w:rPr>
          <w:rFonts w:ascii="Times New Roman" w:eastAsia="Times New Roman" w:hAnsi="Times New Roman" w:cs="Times New Roman"/>
          <w:b/>
        </w:rPr>
        <w:t>8</w:t>
      </w:r>
      <w:r w:rsidR="00BF7638">
        <w:rPr>
          <w:rFonts w:ascii="Times New Roman" w:eastAsia="Times New Roman" w:hAnsi="Times New Roman" w:cs="Times New Roman"/>
          <w:b/>
        </w:rPr>
        <w:t xml:space="preserve"> | Distribution of the proportion of the significant connections (after permutation test) in overlap maps across resting state networks for clinical groups in all frequency bands. </w:t>
      </w:r>
      <w:r w:rsidR="00BF7638">
        <w:rPr>
          <w:rFonts w:ascii="Times New Roman" w:eastAsia="Times New Roman" w:hAnsi="Times New Roman" w:cs="Times New Roman"/>
        </w:rPr>
        <w:t xml:space="preserve">Values in red indicate proportions above 35%. </w:t>
      </w:r>
      <w:r w:rsidR="00BF7638">
        <w:rPr>
          <w:rFonts w:ascii="Times New Roman" w:eastAsia="Times New Roman" w:hAnsi="Times New Roman" w:cs="Times New Roman"/>
          <w:i/>
        </w:rPr>
        <w:t xml:space="preserve">SAN denotes salience, DMN denotes default mode, VIS denotes visual, TEMP denotes temporal, CCN denotes cognitive control, FPN denotes </w:t>
      </w:r>
      <w:proofErr w:type="spellStart"/>
      <w:r w:rsidR="00BF7638">
        <w:rPr>
          <w:rFonts w:ascii="Times New Roman" w:eastAsia="Times New Roman" w:hAnsi="Times New Roman" w:cs="Times New Roman"/>
          <w:i/>
        </w:rPr>
        <w:t>frontoparietal</w:t>
      </w:r>
      <w:proofErr w:type="spellEnd"/>
      <w:r w:rsidR="00BF7638">
        <w:rPr>
          <w:rFonts w:ascii="Times New Roman" w:eastAsia="Times New Roman" w:hAnsi="Times New Roman" w:cs="Times New Roman"/>
          <w:i/>
        </w:rPr>
        <w:t xml:space="preserve">, AUD denotes auditory, SMN denotes </w:t>
      </w:r>
      <w:proofErr w:type="spellStart"/>
      <w:r w:rsidR="00BF7638">
        <w:rPr>
          <w:rFonts w:ascii="Times New Roman" w:eastAsia="Times New Roman" w:hAnsi="Times New Roman" w:cs="Times New Roman"/>
          <w:i/>
        </w:rPr>
        <w:t>somatomotor</w:t>
      </w:r>
      <w:proofErr w:type="spellEnd"/>
      <w:r w:rsidR="00BF7638">
        <w:rPr>
          <w:rFonts w:ascii="Times New Roman" w:eastAsia="Times New Roman" w:hAnsi="Times New Roman" w:cs="Times New Roman"/>
          <w:i/>
        </w:rPr>
        <w:t>, and DAN denotes dorsal attention networks.</w:t>
      </w:r>
    </w:p>
    <w:p w:rsidR="009F4162" w:rsidRDefault="00BF7638">
      <w:pPr>
        <w:spacing w:after="200"/>
        <w:jc w:val="both"/>
        <w:rPr>
          <w:rFonts w:ascii="Times New Roman" w:eastAsia="Times New Roman" w:hAnsi="Times New Roman" w:cs="Times New Roman"/>
          <w:b/>
          <w:color w:val="073763"/>
        </w:rPr>
      </w:pPr>
      <w:r>
        <w:rPr>
          <w:rFonts w:ascii="Times New Roman" w:eastAsia="Times New Roman" w:hAnsi="Times New Roman" w:cs="Times New Roman"/>
          <w:noProof/>
          <w:lang w:val="en-US"/>
        </w:rPr>
        <w:drawing>
          <wp:inline distT="114300" distB="114300" distL="114300" distR="114300">
            <wp:extent cx="5943600" cy="3302000"/>
            <wp:effectExtent l="0" t="0" r="0" b="0"/>
            <wp:docPr id="4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1"/>
                    <a:srcRect/>
                    <a:stretch>
                      <a:fillRect/>
                    </a:stretch>
                  </pic:blipFill>
                  <pic:spPr>
                    <a:xfrm>
                      <a:off x="0" y="0"/>
                      <a:ext cx="5943600" cy="3302000"/>
                    </a:xfrm>
                    <a:prstGeom prst="rect">
                      <a:avLst/>
                    </a:prstGeom>
                    <a:ln/>
                  </pic:spPr>
                </pic:pic>
              </a:graphicData>
            </a:graphic>
          </wp:inline>
        </w:drawing>
      </w:r>
    </w:p>
    <w:p w:rsidR="009F4162" w:rsidRDefault="009F4162">
      <w:pPr>
        <w:spacing w:after="200"/>
        <w:jc w:val="both"/>
        <w:rPr>
          <w:rFonts w:ascii="Times New Roman" w:eastAsia="Times New Roman" w:hAnsi="Times New Roman" w:cs="Times New Roman"/>
          <w:b/>
        </w:rPr>
      </w:pPr>
    </w:p>
    <w:p w:rsidR="009F4162" w:rsidRDefault="00BF7638">
      <w:pPr>
        <w:jc w:val="center"/>
        <w:rPr>
          <w:rFonts w:ascii="Times New Roman" w:eastAsia="Times New Roman" w:hAnsi="Times New Roman" w:cs="Times New Roman"/>
          <w:b/>
          <w:color w:val="073763"/>
        </w:rPr>
      </w:pPr>
      <w:r>
        <w:rPr>
          <w:rFonts w:ascii="Times New Roman" w:eastAsia="Times New Roman" w:hAnsi="Times New Roman" w:cs="Times New Roman"/>
          <w:noProof/>
          <w:lang w:val="en-US"/>
        </w:rPr>
        <w:drawing>
          <wp:inline distT="114300" distB="114300" distL="114300" distR="114300">
            <wp:extent cx="5943600" cy="8077200"/>
            <wp:effectExtent l="0" t="0" r="0" b="0"/>
            <wp:docPr id="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943600" cy="8077200"/>
                    </a:xfrm>
                    <a:prstGeom prst="rect">
                      <a:avLst/>
                    </a:prstGeom>
                    <a:ln/>
                  </pic:spPr>
                </pic:pic>
              </a:graphicData>
            </a:graphic>
          </wp:inline>
        </w:drawing>
      </w:r>
    </w:p>
    <w:p w:rsidR="009F4162" w:rsidRPr="003B2128" w:rsidRDefault="00712772" w:rsidP="003B2128">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17 | Significant correlations between PD subjects' scores (EDI) and clinical assessment scores (MMSE) (p-value&lt;0.05) in delta, alpha, and gamma bands respectively. (</w:t>
      </w:r>
      <w:proofErr w:type="gramStart"/>
      <w:r w:rsidR="00BF7638">
        <w:rPr>
          <w:rFonts w:ascii="Times New Roman" w:eastAsia="Times New Roman" w:hAnsi="Times New Roman" w:cs="Times New Roman"/>
          <w:b/>
        </w:rPr>
        <w:t>a</w:t>
      </w:r>
      <w:proofErr w:type="gramEnd"/>
      <w:r w:rsidR="00BF7638">
        <w:rPr>
          <w:rFonts w:ascii="Times New Roman" w:eastAsia="Times New Roman" w:hAnsi="Times New Roman" w:cs="Times New Roman"/>
          <w:b/>
        </w:rPr>
        <w:t>, b, and c)</w:t>
      </w:r>
      <w:r w:rsidR="00BF7638">
        <w:rPr>
          <w:rFonts w:ascii="Times New Roman" w:eastAsia="Times New Roman" w:hAnsi="Times New Roman" w:cs="Times New Roman"/>
        </w:rPr>
        <w:t xml:space="preserve"> Scores </w:t>
      </w:r>
      <w:proofErr w:type="gramStart"/>
      <w:r w:rsidR="00BF7638">
        <w:rPr>
          <w:rFonts w:ascii="Times New Roman" w:eastAsia="Times New Roman" w:hAnsi="Times New Roman" w:cs="Times New Roman"/>
        </w:rPr>
        <w:t>are computed</w:t>
      </w:r>
      <w:proofErr w:type="gramEnd"/>
      <w:r w:rsidR="00BF7638">
        <w:rPr>
          <w:rFonts w:ascii="Times New Roman" w:eastAsia="Times New Roman" w:hAnsi="Times New Roman" w:cs="Times New Roman"/>
        </w:rPr>
        <w:t xml:space="preserve"> as the averaged FC features over the extremely deviated connections (positive and negative). The corresponding correlation coefficient and p-value </w:t>
      </w:r>
      <w:proofErr w:type="gramStart"/>
      <w:r w:rsidR="00BF7638">
        <w:rPr>
          <w:rFonts w:ascii="Times New Roman" w:eastAsia="Times New Roman" w:hAnsi="Times New Roman" w:cs="Times New Roman"/>
        </w:rPr>
        <w:t>are indicated</w:t>
      </w:r>
      <w:proofErr w:type="gramEnd"/>
      <w:r w:rsidR="00BF7638">
        <w:rPr>
          <w:rFonts w:ascii="Times New Roman" w:eastAsia="Times New Roman" w:hAnsi="Times New Roman" w:cs="Times New Roman"/>
        </w:rPr>
        <w:t xml:space="preserve"> for each case.</w:t>
      </w:r>
      <w:bookmarkStart w:id="9" w:name="_heading=h.2s8eyo1" w:colFirst="0" w:colLast="0"/>
      <w:bookmarkEnd w:id="9"/>
      <w:r w:rsidR="00BF7638">
        <w:rPr>
          <w:rFonts w:ascii="Times New Roman" w:eastAsia="Times New Roman" w:hAnsi="Times New Roman" w:cs="Times New Roman"/>
          <w:b/>
          <w:noProof/>
          <w:lang w:val="en-US"/>
        </w:rPr>
        <w:drawing>
          <wp:inline distT="114300" distB="114300" distL="114300" distR="114300">
            <wp:extent cx="5943600" cy="2489200"/>
            <wp:effectExtent l="0" t="0" r="0" b="0"/>
            <wp:docPr id="3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5943600" cy="2489200"/>
                    </a:xfrm>
                    <a:prstGeom prst="rect">
                      <a:avLst/>
                    </a:prstGeom>
                    <a:ln/>
                  </pic:spPr>
                </pic:pic>
              </a:graphicData>
            </a:graphic>
          </wp:inline>
        </w:drawing>
      </w:r>
    </w:p>
    <w:p w:rsidR="009F4162" w:rsidRDefault="00712772">
      <w:pPr>
        <w:spacing w:after="200"/>
        <w:jc w:val="both"/>
        <w:rPr>
          <w:rFonts w:ascii="Times New Roman" w:eastAsia="Times New Roman" w:hAnsi="Times New Roman" w:cs="Times New Roman"/>
        </w:rPr>
      </w:pPr>
      <w:r>
        <w:rPr>
          <w:rFonts w:ascii="Times New Roman" w:eastAsia="Times New Roman" w:hAnsi="Times New Roman" w:cs="Times New Roman"/>
          <w:b/>
        </w:rPr>
        <w:t xml:space="preserve">Supplementary Figure </w:t>
      </w:r>
      <w:r w:rsidR="00BF7638">
        <w:rPr>
          <w:rFonts w:ascii="Times New Roman" w:eastAsia="Times New Roman" w:hAnsi="Times New Roman" w:cs="Times New Roman"/>
          <w:b/>
        </w:rPr>
        <w:t>18 | Significant correlation between PD subjects' z-scores (z-EDI) and clinical assessment scores (MMSE) (p-value&lt;0.05) in theta, and beta band</w:t>
      </w:r>
      <w:r w:rsidR="000E6B3D">
        <w:rPr>
          <w:rFonts w:ascii="Times New Roman" w:eastAsia="Times New Roman" w:hAnsi="Times New Roman" w:cs="Times New Roman"/>
          <w:b/>
        </w:rPr>
        <w:t>s respectively, negative tail. (</w:t>
      </w:r>
      <w:proofErr w:type="gramStart"/>
      <w:r w:rsidR="00BF7638">
        <w:rPr>
          <w:rFonts w:ascii="Times New Roman" w:eastAsia="Times New Roman" w:hAnsi="Times New Roman" w:cs="Times New Roman"/>
          <w:b/>
        </w:rPr>
        <w:t>a</w:t>
      </w:r>
      <w:proofErr w:type="gramEnd"/>
      <w:r w:rsidR="00BF7638">
        <w:rPr>
          <w:rFonts w:ascii="Times New Roman" w:eastAsia="Times New Roman" w:hAnsi="Times New Roman" w:cs="Times New Roman"/>
          <w:b/>
        </w:rPr>
        <w:t>, b)</w:t>
      </w:r>
      <w:r w:rsidR="00BF7638">
        <w:rPr>
          <w:rFonts w:ascii="Times New Roman" w:eastAsia="Times New Roman" w:hAnsi="Times New Roman" w:cs="Times New Roman"/>
        </w:rPr>
        <w:t xml:space="preserve"> Scores </w:t>
      </w:r>
      <w:proofErr w:type="gramStart"/>
      <w:r w:rsidR="00BF7638">
        <w:rPr>
          <w:rFonts w:ascii="Times New Roman" w:eastAsia="Times New Roman" w:hAnsi="Times New Roman" w:cs="Times New Roman"/>
        </w:rPr>
        <w:t>are computed</w:t>
      </w:r>
      <w:proofErr w:type="gramEnd"/>
      <w:r w:rsidR="00BF7638">
        <w:rPr>
          <w:rFonts w:ascii="Times New Roman" w:eastAsia="Times New Roman" w:hAnsi="Times New Roman" w:cs="Times New Roman"/>
        </w:rPr>
        <w:t xml:space="preserve"> as the averaged z-scores over the extremely deviated connections for FC features. The corresponding correlation coefficient and p-value </w:t>
      </w:r>
      <w:proofErr w:type="gramStart"/>
      <w:r w:rsidR="00BF7638">
        <w:rPr>
          <w:rFonts w:ascii="Times New Roman" w:eastAsia="Times New Roman" w:hAnsi="Times New Roman" w:cs="Times New Roman"/>
        </w:rPr>
        <w:t>are indicated</w:t>
      </w:r>
      <w:proofErr w:type="gramEnd"/>
      <w:r w:rsidR="00BF7638">
        <w:rPr>
          <w:rFonts w:ascii="Times New Roman" w:eastAsia="Times New Roman" w:hAnsi="Times New Roman" w:cs="Times New Roman"/>
        </w:rPr>
        <w:t xml:space="preserve"> for each case.</w:t>
      </w:r>
    </w:p>
    <w:p w:rsidR="009F4162" w:rsidRDefault="009F4162">
      <w:pPr>
        <w:spacing w:after="200"/>
        <w:jc w:val="both"/>
        <w:rPr>
          <w:rFonts w:ascii="Times New Roman" w:eastAsia="Times New Roman" w:hAnsi="Times New Roman" w:cs="Times New Roman"/>
          <w:b/>
        </w:rPr>
      </w:pPr>
    </w:p>
    <w:p w:rsidR="009F4162" w:rsidRPr="00C04FD3" w:rsidRDefault="00712772" w:rsidP="00D10C2C">
      <w:pPr>
        <w:spacing w:before="240" w:after="240"/>
        <w:jc w:val="both"/>
        <w:rPr>
          <w:rFonts w:ascii="Times New Roman" w:eastAsia="Times New Roman" w:hAnsi="Times New Roman" w:cs="Times New Roman"/>
          <w:b/>
        </w:rPr>
      </w:pPr>
      <w:bookmarkStart w:id="10" w:name="_GoBack"/>
      <w:bookmarkEnd w:id="10"/>
      <w:r w:rsidRPr="00C04FD3">
        <w:rPr>
          <w:rFonts w:ascii="Times New Roman" w:eastAsia="Times New Roman" w:hAnsi="Times New Roman" w:cs="Times New Roman"/>
          <w:b/>
        </w:rPr>
        <w:t xml:space="preserve">Supplementary Table </w:t>
      </w:r>
      <w:r w:rsidR="00D10C2C" w:rsidRPr="00C04FD3">
        <w:rPr>
          <w:rFonts w:ascii="Times New Roman" w:eastAsia="Times New Roman" w:hAnsi="Times New Roman" w:cs="Times New Roman"/>
          <w:b/>
        </w:rPr>
        <w:t>9</w:t>
      </w:r>
      <w:r w:rsidR="00BF7638" w:rsidRPr="00C04FD3">
        <w:rPr>
          <w:rFonts w:ascii="Times New Roman" w:eastAsia="Times New Roman" w:hAnsi="Times New Roman" w:cs="Times New Roman"/>
          <w:b/>
        </w:rPr>
        <w:t xml:space="preserve"> | Distribution of </w:t>
      </w:r>
      <w:proofErr w:type="gramStart"/>
      <w:r w:rsidR="00BF7638" w:rsidRPr="00C04FD3">
        <w:rPr>
          <w:rFonts w:ascii="Times New Roman" w:eastAsia="Times New Roman" w:hAnsi="Times New Roman" w:cs="Times New Roman"/>
          <w:b/>
        </w:rPr>
        <w:t>Parkinson’s Disease</w:t>
      </w:r>
      <w:proofErr w:type="gramEnd"/>
      <w:r w:rsidR="00BF7638" w:rsidRPr="00C04FD3">
        <w:rPr>
          <w:rFonts w:ascii="Times New Roman" w:eastAsia="Times New Roman" w:hAnsi="Times New Roman" w:cs="Times New Roman"/>
          <w:b/>
        </w:rPr>
        <w:t xml:space="preserve"> (PD) and Alzheimer’s Disease (AD) patients by ON- and OFF-medication conditions across datasets.</w:t>
      </w:r>
    </w:p>
    <w:sdt>
      <w:sdtPr>
        <w:tag w:val="goog_rdk_0"/>
        <w:id w:val="939488734"/>
        <w:lock w:val="contentLocked"/>
      </w:sdtPr>
      <w:sdtEndPr/>
      <w:sdtContent>
        <w:tbl>
          <w:tblPr>
            <w:tblStyle w:val="ab"/>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2040"/>
            <w:gridCol w:w="1860"/>
            <w:gridCol w:w="1845"/>
            <w:gridCol w:w="1995"/>
          </w:tblGrid>
          <w:tr w:rsidR="009F4162">
            <w:trPr>
              <w:trHeight w:val="420"/>
            </w:trPr>
            <w:tc>
              <w:tcPr>
                <w:tcW w:w="1560" w:type="dxa"/>
                <w:shd w:val="clear" w:color="auto" w:fill="auto"/>
                <w:tcMar>
                  <w:top w:w="100" w:type="dxa"/>
                  <w:left w:w="100" w:type="dxa"/>
                  <w:bottom w:w="100" w:type="dxa"/>
                  <w:right w:w="100" w:type="dxa"/>
                </w:tcMar>
              </w:tcPr>
              <w:p w:rsidR="009F4162" w:rsidRDefault="009F4162">
                <w:pPr>
                  <w:widowControl w:val="0"/>
                  <w:spacing w:line="240" w:lineRule="auto"/>
                  <w:rPr>
                    <w:rFonts w:ascii="Times New Roman" w:eastAsia="Times New Roman" w:hAnsi="Times New Roman" w:cs="Times New Roman"/>
                    <w:b/>
                    <w:color w:val="222222"/>
                    <w:highlight w:val="white"/>
                  </w:rPr>
                </w:pPr>
              </w:p>
            </w:tc>
            <w:tc>
              <w:tcPr>
                <w:tcW w:w="3900" w:type="dxa"/>
                <w:gridSpan w:val="2"/>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PD</w:t>
                </w:r>
              </w:p>
            </w:tc>
            <w:tc>
              <w:tcPr>
                <w:tcW w:w="3840" w:type="dxa"/>
                <w:gridSpan w:val="2"/>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AD</w:t>
                </w:r>
              </w:p>
            </w:tc>
          </w:tr>
          <w:tr w:rsidR="009F4162">
            <w:tc>
              <w:tcPr>
                <w:tcW w:w="1560" w:type="dxa"/>
                <w:shd w:val="clear" w:color="auto" w:fill="auto"/>
                <w:tcMar>
                  <w:top w:w="100" w:type="dxa"/>
                  <w:left w:w="100" w:type="dxa"/>
                  <w:bottom w:w="100" w:type="dxa"/>
                  <w:right w:w="100" w:type="dxa"/>
                </w:tcMar>
              </w:tcPr>
              <w:p w:rsidR="009F4162" w:rsidRDefault="009F4162">
                <w:pPr>
                  <w:widowControl w:val="0"/>
                  <w:spacing w:line="240" w:lineRule="auto"/>
                  <w:rPr>
                    <w:rFonts w:ascii="Times New Roman" w:eastAsia="Times New Roman" w:hAnsi="Times New Roman" w:cs="Times New Roman"/>
                    <w:b/>
                    <w:color w:val="222222"/>
                    <w:highlight w:val="white"/>
                  </w:rPr>
                </w:pPr>
              </w:p>
            </w:tc>
            <w:tc>
              <w:tcPr>
                <w:tcW w:w="204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ON-medication</w:t>
                </w:r>
              </w:p>
            </w:tc>
            <w:tc>
              <w:tcPr>
                <w:tcW w:w="186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OFF-medication</w:t>
                </w:r>
              </w:p>
            </w:tc>
            <w:tc>
              <w:tcPr>
                <w:tcW w:w="1845"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ON-medication</w:t>
                </w:r>
              </w:p>
            </w:tc>
            <w:tc>
              <w:tcPr>
                <w:tcW w:w="1995"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OFF-medication</w:t>
                </w:r>
              </w:p>
            </w:tc>
          </w:tr>
          <w:tr w:rsidR="009F4162">
            <w:tc>
              <w:tcPr>
                <w:tcW w:w="156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 xml:space="preserve">Dataset 1 </w:t>
                </w:r>
              </w:p>
            </w:tc>
            <w:tc>
              <w:tcPr>
                <w:tcW w:w="204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shd w:val="clear" w:color="auto" w:fill="EFEFEF"/>
                  </w:rPr>
                </w:pPr>
              </w:p>
            </w:tc>
            <w:tc>
              <w:tcPr>
                <w:tcW w:w="186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shd w:val="clear" w:color="auto" w:fill="EFEFEF"/>
                  </w:rPr>
                </w:pPr>
              </w:p>
            </w:tc>
            <w:tc>
              <w:tcPr>
                <w:tcW w:w="1845"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w:t>
                </w:r>
              </w:p>
            </w:tc>
            <w:tc>
              <w:tcPr>
                <w:tcW w:w="1995"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w:t>
                </w:r>
              </w:p>
            </w:tc>
          </w:tr>
          <w:tr w:rsidR="009F4162">
            <w:tc>
              <w:tcPr>
                <w:tcW w:w="156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Dataset 3</w:t>
                </w:r>
              </w:p>
            </w:tc>
            <w:tc>
              <w:tcPr>
                <w:tcW w:w="2040"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68</w:t>
                </w:r>
              </w:p>
            </w:tc>
            <w:tc>
              <w:tcPr>
                <w:tcW w:w="186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845"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995"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r>
          <w:tr w:rsidR="009F4162">
            <w:tc>
              <w:tcPr>
                <w:tcW w:w="156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 xml:space="preserve">Dataset 4 </w:t>
                </w:r>
              </w:p>
            </w:tc>
            <w:tc>
              <w:tcPr>
                <w:tcW w:w="2040"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13</w:t>
                </w:r>
              </w:p>
            </w:tc>
            <w:tc>
              <w:tcPr>
                <w:tcW w:w="1860"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12</w:t>
                </w:r>
              </w:p>
            </w:tc>
            <w:tc>
              <w:tcPr>
                <w:tcW w:w="1845"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995"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r>
          <w:tr w:rsidR="009F4162">
            <w:tc>
              <w:tcPr>
                <w:tcW w:w="156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 xml:space="preserve">Dataset 5 </w:t>
                </w:r>
              </w:p>
            </w:tc>
            <w:tc>
              <w:tcPr>
                <w:tcW w:w="2040"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24</w:t>
                </w:r>
              </w:p>
            </w:tc>
            <w:tc>
              <w:tcPr>
                <w:tcW w:w="186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845"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995"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r>
          <w:tr w:rsidR="009F4162">
            <w:tc>
              <w:tcPr>
                <w:tcW w:w="156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 xml:space="preserve">Dataset 6 </w:t>
                </w:r>
              </w:p>
            </w:tc>
            <w:tc>
              <w:tcPr>
                <w:tcW w:w="204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86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845"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w:t>
                </w:r>
              </w:p>
            </w:tc>
            <w:tc>
              <w:tcPr>
                <w:tcW w:w="1995"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w:t>
                </w:r>
              </w:p>
            </w:tc>
          </w:tr>
          <w:tr w:rsidR="009F4162">
            <w:tc>
              <w:tcPr>
                <w:tcW w:w="156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 xml:space="preserve">Dataset 7 </w:t>
                </w:r>
              </w:p>
            </w:tc>
            <w:tc>
              <w:tcPr>
                <w:tcW w:w="2040"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100</w:t>
                </w:r>
              </w:p>
            </w:tc>
            <w:tc>
              <w:tcPr>
                <w:tcW w:w="186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845"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44</w:t>
                </w:r>
              </w:p>
            </w:tc>
            <w:tc>
              <w:tcPr>
                <w:tcW w:w="1995"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r>
          <w:tr w:rsidR="009F4162">
            <w:tc>
              <w:tcPr>
                <w:tcW w:w="156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 xml:space="preserve">Dataset 8 </w:t>
                </w:r>
              </w:p>
            </w:tc>
            <w:tc>
              <w:tcPr>
                <w:tcW w:w="204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86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845"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995"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10</w:t>
                </w:r>
              </w:p>
            </w:tc>
          </w:tr>
          <w:tr w:rsidR="009F4162">
            <w:tc>
              <w:tcPr>
                <w:tcW w:w="156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 xml:space="preserve">Dataset 9 </w:t>
                </w:r>
              </w:p>
            </w:tc>
            <w:tc>
              <w:tcPr>
                <w:tcW w:w="204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860"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845"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8</w:t>
                </w:r>
              </w:p>
            </w:tc>
            <w:tc>
              <w:tcPr>
                <w:tcW w:w="1995"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5</w:t>
                </w:r>
              </w:p>
            </w:tc>
          </w:tr>
          <w:tr w:rsidR="009F4162">
            <w:tc>
              <w:tcPr>
                <w:tcW w:w="1560" w:type="dxa"/>
                <w:shd w:val="clear" w:color="auto" w:fill="auto"/>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highlight w:val="white"/>
                  </w:rPr>
                </w:pPr>
                <w:r>
                  <w:rPr>
                    <w:rFonts w:ascii="Times New Roman" w:eastAsia="Times New Roman" w:hAnsi="Times New Roman" w:cs="Times New Roman"/>
                    <w:b/>
                    <w:color w:val="222222"/>
                    <w:highlight w:val="white"/>
                  </w:rPr>
                  <w:t>Dataset 11</w:t>
                </w:r>
              </w:p>
            </w:tc>
            <w:tc>
              <w:tcPr>
                <w:tcW w:w="2040"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13</w:t>
                </w:r>
              </w:p>
            </w:tc>
            <w:tc>
              <w:tcPr>
                <w:tcW w:w="1860" w:type="dxa"/>
                <w:shd w:val="clear" w:color="auto" w:fill="auto"/>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7</w:t>
                </w:r>
              </w:p>
            </w:tc>
            <w:tc>
              <w:tcPr>
                <w:tcW w:w="1845"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c>
              <w:tcPr>
                <w:tcW w:w="1995" w:type="dxa"/>
                <w:shd w:val="clear" w:color="auto" w:fill="EFEFEF"/>
                <w:tcMar>
                  <w:top w:w="100" w:type="dxa"/>
                  <w:left w:w="100" w:type="dxa"/>
                  <w:bottom w:w="100" w:type="dxa"/>
                  <w:right w:w="100" w:type="dxa"/>
                </w:tcMar>
              </w:tcPr>
              <w:p w:rsidR="009F4162" w:rsidRDefault="009F4162">
                <w:pPr>
                  <w:widowControl w:val="0"/>
                  <w:spacing w:line="240" w:lineRule="auto"/>
                  <w:jc w:val="center"/>
                  <w:rPr>
                    <w:rFonts w:ascii="Times New Roman" w:eastAsia="Times New Roman" w:hAnsi="Times New Roman" w:cs="Times New Roman"/>
                    <w:b/>
                    <w:color w:val="222222"/>
                    <w:sz w:val="20"/>
                    <w:szCs w:val="20"/>
                    <w:highlight w:val="white"/>
                  </w:rPr>
                </w:pPr>
              </w:p>
            </w:tc>
          </w:tr>
          <w:tr w:rsidR="009F4162">
            <w:tc>
              <w:tcPr>
                <w:tcW w:w="1560" w:type="dxa"/>
                <w:shd w:val="clear" w:color="auto" w:fill="B7B7B7"/>
                <w:tcMar>
                  <w:top w:w="100" w:type="dxa"/>
                  <w:left w:w="100" w:type="dxa"/>
                  <w:bottom w:w="100" w:type="dxa"/>
                  <w:right w:w="100" w:type="dxa"/>
                </w:tcMar>
              </w:tcPr>
              <w:p w:rsidR="009F4162" w:rsidRDefault="00BF7638">
                <w:pPr>
                  <w:widowControl w:val="0"/>
                  <w:spacing w:line="240" w:lineRule="auto"/>
                  <w:rPr>
                    <w:rFonts w:ascii="Times New Roman" w:eastAsia="Times New Roman" w:hAnsi="Times New Roman" w:cs="Times New Roman"/>
                    <w:b/>
                    <w:color w:val="222222"/>
                  </w:rPr>
                </w:pPr>
                <w:r>
                  <w:rPr>
                    <w:rFonts w:ascii="Times New Roman" w:eastAsia="Times New Roman" w:hAnsi="Times New Roman" w:cs="Times New Roman"/>
                    <w:b/>
                    <w:color w:val="222222"/>
                  </w:rPr>
                  <w:t>Total</w:t>
                </w:r>
              </w:p>
            </w:tc>
            <w:tc>
              <w:tcPr>
                <w:tcW w:w="2040" w:type="dxa"/>
                <w:shd w:val="clear" w:color="auto" w:fill="B7B7B7"/>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rPr>
                </w:pPr>
                <w:r>
                  <w:rPr>
                    <w:rFonts w:ascii="Times New Roman" w:eastAsia="Times New Roman" w:hAnsi="Times New Roman" w:cs="Times New Roman"/>
                    <w:b/>
                    <w:color w:val="222222"/>
                  </w:rPr>
                  <w:t>218</w:t>
                </w:r>
              </w:p>
            </w:tc>
            <w:tc>
              <w:tcPr>
                <w:tcW w:w="1860" w:type="dxa"/>
                <w:shd w:val="clear" w:color="auto" w:fill="B7B7B7"/>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rPr>
                </w:pPr>
                <w:r>
                  <w:rPr>
                    <w:rFonts w:ascii="Times New Roman" w:eastAsia="Times New Roman" w:hAnsi="Times New Roman" w:cs="Times New Roman"/>
                    <w:b/>
                    <w:color w:val="222222"/>
                  </w:rPr>
                  <w:t>19</w:t>
                </w:r>
              </w:p>
            </w:tc>
            <w:tc>
              <w:tcPr>
                <w:tcW w:w="1845" w:type="dxa"/>
                <w:shd w:val="clear" w:color="auto" w:fill="B7B7B7"/>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rPr>
                </w:pPr>
                <w:r>
                  <w:rPr>
                    <w:rFonts w:ascii="Times New Roman" w:eastAsia="Times New Roman" w:hAnsi="Times New Roman" w:cs="Times New Roman"/>
                    <w:b/>
                    <w:color w:val="222222"/>
                  </w:rPr>
                  <w:t>52</w:t>
                </w:r>
              </w:p>
            </w:tc>
            <w:tc>
              <w:tcPr>
                <w:tcW w:w="1995" w:type="dxa"/>
                <w:shd w:val="clear" w:color="auto" w:fill="B7B7B7"/>
                <w:tcMar>
                  <w:top w:w="100" w:type="dxa"/>
                  <w:left w:w="100" w:type="dxa"/>
                  <w:bottom w:w="100" w:type="dxa"/>
                  <w:right w:w="100" w:type="dxa"/>
                </w:tcMar>
              </w:tcPr>
              <w:p w:rsidR="009F4162" w:rsidRDefault="00BF7638">
                <w:pPr>
                  <w:widowControl w:val="0"/>
                  <w:spacing w:line="240" w:lineRule="auto"/>
                  <w:jc w:val="center"/>
                  <w:rPr>
                    <w:rFonts w:ascii="Times New Roman" w:eastAsia="Times New Roman" w:hAnsi="Times New Roman" w:cs="Times New Roman"/>
                    <w:b/>
                    <w:color w:val="222222"/>
                  </w:rPr>
                </w:pPr>
                <w:r>
                  <w:rPr>
                    <w:rFonts w:ascii="Times New Roman" w:eastAsia="Times New Roman" w:hAnsi="Times New Roman" w:cs="Times New Roman"/>
                    <w:b/>
                    <w:color w:val="222222"/>
                  </w:rPr>
                  <w:t>15</w:t>
                </w:r>
              </w:p>
            </w:tc>
          </w:tr>
        </w:tbl>
      </w:sdtContent>
    </w:sdt>
    <w:p w:rsidR="009F4162" w:rsidRDefault="009F4162">
      <w:pPr>
        <w:spacing w:before="240" w:after="240"/>
        <w:jc w:val="both"/>
        <w:rPr>
          <w:rFonts w:ascii="Times New Roman" w:eastAsia="Times New Roman" w:hAnsi="Times New Roman" w:cs="Times New Roman"/>
          <w:b/>
          <w:color w:val="222222"/>
          <w:highlight w:val="white"/>
        </w:rPr>
      </w:pPr>
    </w:p>
    <w:p w:rsidR="009F4162" w:rsidRDefault="00BF7638">
      <w:pPr>
        <w:spacing w:before="240" w:after="240"/>
        <w:jc w:val="both"/>
        <w:rPr>
          <w:rFonts w:ascii="Times New Roman" w:eastAsia="Times New Roman" w:hAnsi="Times New Roman" w:cs="Times New Roman"/>
          <w:b/>
          <w:color w:val="222222"/>
          <w:highlight w:val="white"/>
        </w:rPr>
      </w:pPr>
      <w:r>
        <w:rPr>
          <w:rFonts w:ascii="Times New Roman" w:eastAsia="Times New Roman" w:hAnsi="Times New Roman" w:cs="Times New Roman"/>
          <w:b/>
          <w:noProof/>
          <w:color w:val="222222"/>
          <w:highlight w:val="white"/>
          <w:lang w:val="en-US"/>
        </w:rPr>
        <w:drawing>
          <wp:inline distT="114300" distB="114300" distL="114300" distR="114300">
            <wp:extent cx="5943600" cy="3568700"/>
            <wp:effectExtent l="0" t="0" r="0" b="0"/>
            <wp:docPr id="2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4"/>
                    <a:srcRect/>
                    <a:stretch>
                      <a:fillRect/>
                    </a:stretch>
                  </pic:blipFill>
                  <pic:spPr>
                    <a:xfrm>
                      <a:off x="0" y="0"/>
                      <a:ext cx="5943600" cy="3568700"/>
                    </a:xfrm>
                    <a:prstGeom prst="rect">
                      <a:avLst/>
                    </a:prstGeom>
                    <a:ln/>
                  </pic:spPr>
                </pic:pic>
              </a:graphicData>
            </a:graphic>
          </wp:inline>
        </w:drawing>
      </w:r>
    </w:p>
    <w:p w:rsidR="009F4162" w:rsidRPr="00C04FD3" w:rsidRDefault="00712772">
      <w:pPr>
        <w:spacing w:before="240" w:after="240"/>
        <w:jc w:val="both"/>
        <w:rPr>
          <w:rFonts w:ascii="Times New Roman" w:eastAsia="Times New Roman" w:hAnsi="Times New Roman" w:cs="Times New Roman"/>
        </w:rPr>
      </w:pPr>
      <w:r w:rsidRPr="00C04FD3">
        <w:rPr>
          <w:rFonts w:ascii="Times New Roman" w:eastAsia="Times New Roman" w:hAnsi="Times New Roman" w:cs="Times New Roman"/>
          <w:b/>
        </w:rPr>
        <w:t xml:space="preserve">Supplementary Figure </w:t>
      </w:r>
      <w:r w:rsidR="00BF7638" w:rsidRPr="00C04FD3">
        <w:rPr>
          <w:rFonts w:ascii="Times New Roman" w:eastAsia="Times New Roman" w:hAnsi="Times New Roman" w:cs="Times New Roman"/>
          <w:b/>
        </w:rPr>
        <w:t xml:space="preserve">19 | Boxplots of z-score deviations for spectral features across frequency bands, comparing ON/OFF-medication and ON-only medication conditions for PD patients. </w:t>
      </w:r>
      <w:r w:rsidR="00BF7638" w:rsidRPr="00C04FD3">
        <w:rPr>
          <w:rFonts w:ascii="Times New Roman" w:eastAsia="Times New Roman" w:hAnsi="Times New Roman" w:cs="Times New Roman"/>
        </w:rPr>
        <w:t xml:space="preserve">Mann-Whitney U test p-values </w:t>
      </w:r>
      <w:proofErr w:type="gramStart"/>
      <w:r w:rsidR="00BF7638" w:rsidRPr="00C04FD3">
        <w:rPr>
          <w:rFonts w:ascii="Times New Roman" w:eastAsia="Times New Roman" w:hAnsi="Times New Roman" w:cs="Times New Roman"/>
        </w:rPr>
        <w:t>are indicated</w:t>
      </w:r>
      <w:proofErr w:type="gramEnd"/>
      <w:r w:rsidR="00BF7638" w:rsidRPr="00C04FD3">
        <w:rPr>
          <w:rFonts w:ascii="Times New Roman" w:eastAsia="Times New Roman" w:hAnsi="Times New Roman" w:cs="Times New Roman"/>
        </w:rPr>
        <w:t xml:space="preserve"> in red.</w:t>
      </w:r>
    </w:p>
    <w:p w:rsidR="009F4162" w:rsidRDefault="00BF7638">
      <w:pPr>
        <w:spacing w:before="240" w:after="240"/>
        <w:jc w:val="both"/>
        <w:rPr>
          <w:rFonts w:ascii="Times New Roman" w:eastAsia="Times New Roman" w:hAnsi="Times New Roman" w:cs="Times New Roman"/>
          <w:b/>
          <w:color w:val="222222"/>
          <w:highlight w:val="white"/>
        </w:rPr>
      </w:pPr>
      <w:r>
        <w:rPr>
          <w:rFonts w:ascii="Times New Roman" w:eastAsia="Times New Roman" w:hAnsi="Times New Roman" w:cs="Times New Roman"/>
          <w:b/>
          <w:noProof/>
          <w:color w:val="222222"/>
          <w:highlight w:val="white"/>
          <w:lang w:val="en-US"/>
        </w:rPr>
        <w:drawing>
          <wp:inline distT="114300" distB="114300" distL="114300" distR="114300">
            <wp:extent cx="5943600" cy="3568700"/>
            <wp:effectExtent l="0" t="0" r="0" b="0"/>
            <wp:docPr id="2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5"/>
                    <a:srcRect/>
                    <a:stretch>
                      <a:fillRect/>
                    </a:stretch>
                  </pic:blipFill>
                  <pic:spPr>
                    <a:xfrm>
                      <a:off x="0" y="0"/>
                      <a:ext cx="5943600" cy="3568700"/>
                    </a:xfrm>
                    <a:prstGeom prst="rect">
                      <a:avLst/>
                    </a:prstGeom>
                    <a:ln/>
                  </pic:spPr>
                </pic:pic>
              </a:graphicData>
            </a:graphic>
          </wp:inline>
        </w:drawing>
      </w:r>
    </w:p>
    <w:p w:rsidR="009F4162" w:rsidRPr="00C04FD3" w:rsidRDefault="00712772">
      <w:pPr>
        <w:spacing w:before="240" w:after="240"/>
        <w:jc w:val="both"/>
        <w:rPr>
          <w:rFonts w:ascii="Times New Roman" w:eastAsia="Times New Roman" w:hAnsi="Times New Roman" w:cs="Times New Roman"/>
          <w:b/>
          <w:color w:val="222222"/>
        </w:rPr>
      </w:pPr>
      <w:r w:rsidRPr="00C04FD3">
        <w:rPr>
          <w:rFonts w:ascii="Times New Roman" w:eastAsia="Times New Roman" w:hAnsi="Times New Roman" w:cs="Times New Roman"/>
          <w:b/>
        </w:rPr>
        <w:t xml:space="preserve">Supplementary Figure </w:t>
      </w:r>
      <w:r w:rsidR="00BF7638" w:rsidRPr="00C04FD3">
        <w:rPr>
          <w:rFonts w:ascii="Times New Roman" w:eastAsia="Times New Roman" w:hAnsi="Times New Roman" w:cs="Times New Roman"/>
          <w:b/>
        </w:rPr>
        <w:t xml:space="preserve">20 | Boxplots of z-score deviations for FC features across frequency bands, comparing ON/OFF-medication and ON-only medication conditions for PD patients. </w:t>
      </w:r>
      <w:r w:rsidR="00BF7638" w:rsidRPr="00C04FD3">
        <w:rPr>
          <w:rFonts w:ascii="Times New Roman" w:eastAsia="Times New Roman" w:hAnsi="Times New Roman" w:cs="Times New Roman"/>
        </w:rPr>
        <w:t xml:space="preserve">Mann-Whitney U test p-values </w:t>
      </w:r>
      <w:proofErr w:type="gramStart"/>
      <w:r w:rsidR="00BF7638" w:rsidRPr="00C04FD3">
        <w:rPr>
          <w:rFonts w:ascii="Times New Roman" w:eastAsia="Times New Roman" w:hAnsi="Times New Roman" w:cs="Times New Roman"/>
        </w:rPr>
        <w:t>are indicated</w:t>
      </w:r>
      <w:proofErr w:type="gramEnd"/>
      <w:r w:rsidR="00BF7638" w:rsidRPr="00C04FD3">
        <w:rPr>
          <w:rFonts w:ascii="Times New Roman" w:eastAsia="Times New Roman" w:hAnsi="Times New Roman" w:cs="Times New Roman"/>
        </w:rPr>
        <w:t xml:space="preserve"> in red.</w:t>
      </w:r>
    </w:p>
    <w:p w:rsidR="009F4162" w:rsidRDefault="00BF7638">
      <w:pPr>
        <w:spacing w:before="240" w:after="240"/>
        <w:jc w:val="both"/>
        <w:rPr>
          <w:rFonts w:ascii="Times New Roman" w:eastAsia="Times New Roman" w:hAnsi="Times New Roman" w:cs="Times New Roman"/>
          <w:b/>
          <w:color w:val="434343"/>
        </w:rPr>
      </w:pPr>
      <w:r>
        <w:rPr>
          <w:rFonts w:ascii="Times New Roman" w:eastAsia="Times New Roman" w:hAnsi="Times New Roman" w:cs="Times New Roman"/>
          <w:b/>
          <w:noProof/>
          <w:color w:val="222222"/>
          <w:highlight w:val="white"/>
          <w:lang w:val="en-US"/>
        </w:rPr>
        <w:drawing>
          <wp:inline distT="114300" distB="114300" distL="114300" distR="114300">
            <wp:extent cx="5943600" cy="3568700"/>
            <wp:effectExtent l="0" t="0" r="0" b="0"/>
            <wp:docPr id="2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6"/>
                    <a:srcRect/>
                    <a:stretch>
                      <a:fillRect/>
                    </a:stretch>
                  </pic:blipFill>
                  <pic:spPr>
                    <a:xfrm>
                      <a:off x="0" y="0"/>
                      <a:ext cx="5943600" cy="3568700"/>
                    </a:xfrm>
                    <a:prstGeom prst="rect">
                      <a:avLst/>
                    </a:prstGeom>
                    <a:ln/>
                  </pic:spPr>
                </pic:pic>
              </a:graphicData>
            </a:graphic>
          </wp:inline>
        </w:drawing>
      </w:r>
    </w:p>
    <w:p w:rsidR="009F4162" w:rsidRPr="00C04FD3" w:rsidRDefault="00712772">
      <w:pPr>
        <w:spacing w:before="240" w:after="240"/>
        <w:jc w:val="both"/>
        <w:rPr>
          <w:rFonts w:ascii="Times New Roman" w:eastAsia="Times New Roman" w:hAnsi="Times New Roman" w:cs="Times New Roman"/>
          <w:b/>
          <w:color w:val="434343"/>
        </w:rPr>
      </w:pPr>
      <w:r w:rsidRPr="00C04FD3">
        <w:rPr>
          <w:rFonts w:ascii="Times New Roman" w:eastAsia="Times New Roman" w:hAnsi="Times New Roman" w:cs="Times New Roman"/>
          <w:b/>
        </w:rPr>
        <w:t xml:space="preserve">Supplementary Figure </w:t>
      </w:r>
      <w:r w:rsidR="00BF7638" w:rsidRPr="00C04FD3">
        <w:rPr>
          <w:rFonts w:ascii="Times New Roman" w:eastAsia="Times New Roman" w:hAnsi="Times New Roman" w:cs="Times New Roman"/>
          <w:b/>
        </w:rPr>
        <w:t xml:space="preserve">21 | Boxplots of z-score deviations for spectral features across frequency bands, comparing OFF-medication conditions with a randomly sampled subset of ON-medication conditions for PD patients. </w:t>
      </w:r>
      <w:r w:rsidR="00BF7638" w:rsidRPr="00C04FD3">
        <w:rPr>
          <w:rFonts w:ascii="Times New Roman" w:eastAsia="Times New Roman" w:hAnsi="Times New Roman" w:cs="Times New Roman"/>
        </w:rPr>
        <w:t xml:space="preserve">Mann-Whitney U test p-values </w:t>
      </w:r>
      <w:proofErr w:type="gramStart"/>
      <w:r w:rsidR="00BF7638" w:rsidRPr="00C04FD3">
        <w:rPr>
          <w:rFonts w:ascii="Times New Roman" w:eastAsia="Times New Roman" w:hAnsi="Times New Roman" w:cs="Times New Roman"/>
        </w:rPr>
        <w:t>are indicated</w:t>
      </w:r>
      <w:proofErr w:type="gramEnd"/>
      <w:r w:rsidR="00BF7638" w:rsidRPr="00C04FD3">
        <w:rPr>
          <w:rFonts w:ascii="Times New Roman" w:eastAsia="Times New Roman" w:hAnsi="Times New Roman" w:cs="Times New Roman"/>
        </w:rPr>
        <w:t xml:space="preserve"> in red.</w:t>
      </w:r>
    </w:p>
    <w:p w:rsidR="009F4162" w:rsidRDefault="00BF7638">
      <w:pPr>
        <w:spacing w:before="240" w:after="240"/>
        <w:jc w:val="both"/>
        <w:rPr>
          <w:rFonts w:ascii="Times New Roman" w:eastAsia="Times New Roman" w:hAnsi="Times New Roman" w:cs="Times New Roman"/>
          <w:b/>
          <w:color w:val="222222"/>
          <w:highlight w:val="white"/>
        </w:rPr>
      </w:pPr>
      <w:r>
        <w:rPr>
          <w:rFonts w:ascii="Times New Roman" w:eastAsia="Times New Roman" w:hAnsi="Times New Roman" w:cs="Times New Roman"/>
          <w:b/>
          <w:noProof/>
          <w:color w:val="222222"/>
          <w:highlight w:val="white"/>
          <w:lang w:val="en-US"/>
        </w:rPr>
        <w:drawing>
          <wp:inline distT="114300" distB="114300" distL="114300" distR="114300">
            <wp:extent cx="5943600" cy="3568700"/>
            <wp:effectExtent l="0" t="0" r="0" b="0"/>
            <wp:docPr id="2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7"/>
                    <a:srcRect/>
                    <a:stretch>
                      <a:fillRect/>
                    </a:stretch>
                  </pic:blipFill>
                  <pic:spPr>
                    <a:xfrm>
                      <a:off x="0" y="0"/>
                      <a:ext cx="5943600" cy="3568700"/>
                    </a:xfrm>
                    <a:prstGeom prst="rect">
                      <a:avLst/>
                    </a:prstGeom>
                    <a:ln/>
                  </pic:spPr>
                </pic:pic>
              </a:graphicData>
            </a:graphic>
          </wp:inline>
        </w:drawing>
      </w:r>
    </w:p>
    <w:p w:rsidR="009F4162" w:rsidRPr="00C04FD3" w:rsidRDefault="00712772">
      <w:pPr>
        <w:spacing w:before="240" w:after="240"/>
        <w:jc w:val="both"/>
        <w:rPr>
          <w:rFonts w:ascii="Times New Roman" w:eastAsia="Times New Roman" w:hAnsi="Times New Roman" w:cs="Times New Roman"/>
          <w:b/>
          <w:color w:val="434343"/>
        </w:rPr>
      </w:pPr>
      <w:r w:rsidRPr="00C04FD3">
        <w:rPr>
          <w:rFonts w:ascii="Times New Roman" w:eastAsia="Times New Roman" w:hAnsi="Times New Roman" w:cs="Times New Roman"/>
          <w:b/>
        </w:rPr>
        <w:t xml:space="preserve">Supplementary Figure </w:t>
      </w:r>
      <w:r w:rsidR="00BF7638" w:rsidRPr="00C04FD3">
        <w:rPr>
          <w:rFonts w:ascii="Times New Roman" w:eastAsia="Times New Roman" w:hAnsi="Times New Roman" w:cs="Times New Roman"/>
          <w:b/>
        </w:rPr>
        <w:t xml:space="preserve">22 | Boxplots of z-score deviations for FC features across frequency bands, comparing OFF-medication conditions with a randomly sampled subset of ON-medication conditions for PD patients. </w:t>
      </w:r>
      <w:r w:rsidR="00BF7638" w:rsidRPr="00C04FD3">
        <w:rPr>
          <w:rFonts w:ascii="Times New Roman" w:eastAsia="Times New Roman" w:hAnsi="Times New Roman" w:cs="Times New Roman"/>
        </w:rPr>
        <w:t xml:space="preserve">Mann-Whitney U test p-values </w:t>
      </w:r>
      <w:proofErr w:type="gramStart"/>
      <w:r w:rsidR="00BF7638" w:rsidRPr="00C04FD3">
        <w:rPr>
          <w:rFonts w:ascii="Times New Roman" w:eastAsia="Times New Roman" w:hAnsi="Times New Roman" w:cs="Times New Roman"/>
        </w:rPr>
        <w:t>are indicated</w:t>
      </w:r>
      <w:proofErr w:type="gramEnd"/>
      <w:r w:rsidR="00BF7638" w:rsidRPr="00C04FD3">
        <w:rPr>
          <w:rFonts w:ascii="Times New Roman" w:eastAsia="Times New Roman" w:hAnsi="Times New Roman" w:cs="Times New Roman"/>
        </w:rPr>
        <w:t xml:space="preserve"> in red.</w:t>
      </w:r>
    </w:p>
    <w:p w:rsidR="009F4162" w:rsidRDefault="009F4162">
      <w:pPr>
        <w:spacing w:before="240" w:after="240"/>
        <w:jc w:val="both"/>
        <w:rPr>
          <w:rFonts w:ascii="Times New Roman" w:eastAsia="Times New Roman" w:hAnsi="Times New Roman" w:cs="Times New Roman"/>
          <w:b/>
          <w:color w:val="434343"/>
        </w:rPr>
      </w:pPr>
    </w:p>
    <w:p w:rsidR="009F4162" w:rsidRPr="00C04FD3" w:rsidRDefault="00BF7638">
      <w:pPr>
        <w:pStyle w:val="Titre2"/>
        <w:spacing w:after="200"/>
        <w:jc w:val="both"/>
        <w:rPr>
          <w:rFonts w:ascii="Times New Roman" w:eastAsia="Times New Roman" w:hAnsi="Times New Roman" w:cs="Times New Roman"/>
          <w:color w:val="000000"/>
          <w:sz w:val="20"/>
          <w:szCs w:val="20"/>
          <w:lang w:val="fr-FR"/>
        </w:rPr>
      </w:pPr>
      <w:bookmarkStart w:id="11" w:name="_heading=h.17dp8vu" w:colFirst="0" w:colLast="0"/>
      <w:bookmarkEnd w:id="11"/>
      <w:r w:rsidRPr="00C04FD3">
        <w:rPr>
          <w:rFonts w:ascii="Times New Roman" w:eastAsia="Times New Roman" w:hAnsi="Times New Roman" w:cs="Times New Roman"/>
          <w:b/>
          <w:lang w:val="fr-FR"/>
        </w:rPr>
        <w:t>References</w:t>
      </w:r>
    </w:p>
    <w:p w:rsidR="00041CE3" w:rsidRPr="00041CE3" w:rsidRDefault="00917238" w:rsidP="00041CE3">
      <w:pPr>
        <w:pStyle w:val="Bibliographie"/>
        <w:rPr>
          <w:rFonts w:ascii="Times New Roman" w:hAnsi="Times New Roman" w:cs="Times New Roman"/>
          <w:sz w:val="20"/>
        </w:rPr>
      </w:pPr>
      <w:r>
        <w:rPr>
          <w:rFonts w:eastAsia="Times New Roman"/>
          <w:sz w:val="20"/>
          <w:szCs w:val="20"/>
        </w:rPr>
        <w:fldChar w:fldCharType="begin"/>
      </w:r>
      <w:r w:rsidR="00041CE3" w:rsidRPr="00C04FD3">
        <w:rPr>
          <w:rFonts w:eastAsia="Times New Roman"/>
          <w:sz w:val="20"/>
          <w:szCs w:val="20"/>
          <w:lang w:val="fr-FR"/>
        </w:rPr>
        <w:instrText xml:space="preserve"> ADDIN ZOTERO_BIBL {"uncited":[],"omitted":[],"custom":[]} CSL_BIBLIOGRAPHY </w:instrText>
      </w:r>
      <w:r>
        <w:rPr>
          <w:rFonts w:eastAsia="Times New Roman"/>
          <w:sz w:val="20"/>
          <w:szCs w:val="20"/>
        </w:rPr>
        <w:fldChar w:fldCharType="separate"/>
      </w:r>
      <w:r w:rsidR="00041CE3" w:rsidRPr="00C04FD3">
        <w:rPr>
          <w:rFonts w:ascii="Times New Roman" w:hAnsi="Times New Roman" w:cs="Times New Roman"/>
          <w:sz w:val="20"/>
          <w:lang w:val="fr-FR"/>
        </w:rPr>
        <w:t>1.</w:t>
      </w:r>
      <w:r w:rsidR="00041CE3" w:rsidRPr="00C04FD3">
        <w:rPr>
          <w:rFonts w:ascii="Times New Roman" w:hAnsi="Times New Roman" w:cs="Times New Roman"/>
          <w:sz w:val="20"/>
          <w:lang w:val="fr-FR"/>
        </w:rPr>
        <w:tab/>
        <w:t xml:space="preserve">Miltiadous, A. </w:t>
      </w:r>
      <w:r w:rsidR="00041CE3" w:rsidRPr="00C04FD3">
        <w:rPr>
          <w:rFonts w:ascii="Times New Roman" w:hAnsi="Times New Roman" w:cs="Times New Roman"/>
          <w:i/>
          <w:iCs/>
          <w:sz w:val="20"/>
          <w:lang w:val="fr-FR"/>
        </w:rPr>
        <w:t>et al.</w:t>
      </w:r>
      <w:r w:rsidR="00041CE3" w:rsidRPr="00C04FD3">
        <w:rPr>
          <w:rFonts w:ascii="Times New Roman" w:hAnsi="Times New Roman" w:cs="Times New Roman"/>
          <w:sz w:val="20"/>
          <w:lang w:val="fr-FR"/>
        </w:rPr>
        <w:t xml:space="preserve"> </w:t>
      </w:r>
      <w:r w:rsidR="00041CE3" w:rsidRPr="00041CE3">
        <w:rPr>
          <w:rFonts w:ascii="Times New Roman" w:hAnsi="Times New Roman" w:cs="Times New Roman"/>
          <w:sz w:val="20"/>
        </w:rPr>
        <w:t xml:space="preserve">A Dataset of Scalp EEG Recordings of Alzheimer’s Disease, Frontotemporal Dementia and Healthy Subjects from Routine EEG. </w:t>
      </w:r>
      <w:r w:rsidR="00041CE3" w:rsidRPr="00041CE3">
        <w:rPr>
          <w:rFonts w:ascii="Times New Roman" w:hAnsi="Times New Roman" w:cs="Times New Roman"/>
          <w:i/>
          <w:iCs/>
          <w:sz w:val="20"/>
        </w:rPr>
        <w:t>Data</w:t>
      </w:r>
      <w:r w:rsidR="00041CE3" w:rsidRPr="00041CE3">
        <w:rPr>
          <w:rFonts w:ascii="Times New Roman" w:hAnsi="Times New Roman" w:cs="Times New Roman"/>
          <w:sz w:val="20"/>
        </w:rPr>
        <w:t xml:space="preserve"> </w:t>
      </w:r>
      <w:r w:rsidR="00041CE3" w:rsidRPr="00041CE3">
        <w:rPr>
          <w:rFonts w:ascii="Times New Roman" w:hAnsi="Times New Roman" w:cs="Times New Roman"/>
          <w:b/>
          <w:bCs/>
          <w:sz w:val="20"/>
        </w:rPr>
        <w:t>8</w:t>
      </w:r>
      <w:r w:rsidR="00041CE3" w:rsidRPr="00041CE3">
        <w:rPr>
          <w:rFonts w:ascii="Times New Roman" w:hAnsi="Times New Roman" w:cs="Times New Roman"/>
          <w:sz w:val="20"/>
        </w:rPr>
        <w:t>, 95 (2023).</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2.</w:t>
      </w:r>
      <w:r w:rsidRPr="00041CE3">
        <w:rPr>
          <w:rFonts w:ascii="Times New Roman" w:hAnsi="Times New Roman" w:cs="Times New Roman"/>
          <w:sz w:val="20"/>
        </w:rPr>
        <w:tab/>
        <w:t xml:space="preserve">May, E. S. </w:t>
      </w:r>
      <w:r w:rsidRPr="00041CE3">
        <w:rPr>
          <w:rFonts w:ascii="Times New Roman" w:hAnsi="Times New Roman" w:cs="Times New Roman"/>
          <w:i/>
          <w:iCs/>
          <w:sz w:val="20"/>
        </w:rPr>
        <w:t>et al.</w:t>
      </w:r>
      <w:r w:rsidRPr="00041CE3">
        <w:rPr>
          <w:rFonts w:ascii="Times New Roman" w:hAnsi="Times New Roman" w:cs="Times New Roman"/>
          <w:sz w:val="20"/>
        </w:rPr>
        <w:t xml:space="preserve"> Dynamics of brain function in patients with chronic pain assessed by microstate analysis of resting-state electroencephalography. </w:t>
      </w:r>
      <w:r w:rsidRPr="00041CE3">
        <w:rPr>
          <w:rFonts w:ascii="Times New Roman" w:hAnsi="Times New Roman" w:cs="Times New Roman"/>
          <w:i/>
          <w:iCs/>
          <w:sz w:val="20"/>
        </w:rPr>
        <w:t>Pain</w:t>
      </w:r>
      <w:r w:rsidRPr="00041CE3">
        <w:rPr>
          <w:rFonts w:ascii="Times New Roman" w:hAnsi="Times New Roman" w:cs="Times New Roman"/>
          <w:sz w:val="20"/>
        </w:rPr>
        <w:t xml:space="preserve"> </w:t>
      </w:r>
      <w:r w:rsidRPr="00041CE3">
        <w:rPr>
          <w:rFonts w:ascii="Times New Roman" w:hAnsi="Times New Roman" w:cs="Times New Roman"/>
          <w:b/>
          <w:bCs/>
          <w:sz w:val="20"/>
        </w:rPr>
        <w:t>162</w:t>
      </w:r>
      <w:r w:rsidRPr="00041CE3">
        <w:rPr>
          <w:rFonts w:ascii="Times New Roman" w:hAnsi="Times New Roman" w:cs="Times New Roman"/>
          <w:sz w:val="20"/>
        </w:rPr>
        <w:t>, 2894–2908 (2021).</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3.</w:t>
      </w:r>
      <w:r w:rsidRPr="00041CE3">
        <w:rPr>
          <w:rFonts w:ascii="Times New Roman" w:hAnsi="Times New Roman" w:cs="Times New Roman"/>
          <w:sz w:val="20"/>
        </w:rPr>
        <w:tab/>
        <w:t xml:space="preserve">Yassine, S. </w:t>
      </w:r>
      <w:r w:rsidRPr="00041CE3">
        <w:rPr>
          <w:rFonts w:ascii="Times New Roman" w:hAnsi="Times New Roman" w:cs="Times New Roman"/>
          <w:i/>
          <w:iCs/>
          <w:sz w:val="20"/>
        </w:rPr>
        <w:t>et al.</w:t>
      </w:r>
      <w:r w:rsidRPr="00041CE3">
        <w:rPr>
          <w:rFonts w:ascii="Times New Roman" w:hAnsi="Times New Roman" w:cs="Times New Roman"/>
          <w:sz w:val="20"/>
        </w:rPr>
        <w:t xml:space="preserve"> Functional Brain Dysconnectivity in Parkinson’s Disease: A 5‐Year Longitudinal Study. </w:t>
      </w:r>
      <w:r w:rsidRPr="00041CE3">
        <w:rPr>
          <w:rFonts w:ascii="Times New Roman" w:hAnsi="Times New Roman" w:cs="Times New Roman"/>
          <w:i/>
          <w:iCs/>
          <w:sz w:val="20"/>
        </w:rPr>
        <w:t>Mov Disord</w:t>
      </w:r>
      <w:r w:rsidRPr="00041CE3">
        <w:rPr>
          <w:rFonts w:ascii="Times New Roman" w:hAnsi="Times New Roman" w:cs="Times New Roman"/>
          <w:sz w:val="20"/>
        </w:rPr>
        <w:t xml:space="preserve"> </w:t>
      </w:r>
      <w:r w:rsidRPr="00041CE3">
        <w:rPr>
          <w:rFonts w:ascii="Times New Roman" w:hAnsi="Times New Roman" w:cs="Times New Roman"/>
          <w:b/>
          <w:bCs/>
          <w:sz w:val="20"/>
        </w:rPr>
        <w:t>37</w:t>
      </w:r>
      <w:r w:rsidRPr="00041CE3">
        <w:rPr>
          <w:rFonts w:ascii="Times New Roman" w:hAnsi="Times New Roman" w:cs="Times New Roman"/>
          <w:sz w:val="20"/>
        </w:rPr>
        <w:t>, 1444–1453 (2022).</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4.</w:t>
      </w:r>
      <w:r w:rsidRPr="00041CE3">
        <w:rPr>
          <w:rFonts w:ascii="Times New Roman" w:hAnsi="Times New Roman" w:cs="Times New Roman"/>
          <w:sz w:val="20"/>
        </w:rPr>
        <w:tab/>
        <w:t xml:space="preserve">Cavanagh, J. F., Kumar, P., Mueller, A. A., Richardson, S. P. &amp; Mueen, A. Diminished EEG habituation to novel events effectively classifies Parkinson’s patients. </w:t>
      </w:r>
      <w:r w:rsidRPr="00041CE3">
        <w:rPr>
          <w:rFonts w:ascii="Times New Roman" w:hAnsi="Times New Roman" w:cs="Times New Roman"/>
          <w:i/>
          <w:iCs/>
          <w:sz w:val="20"/>
        </w:rPr>
        <w:t>Clin Neurophysiol</w:t>
      </w:r>
      <w:r w:rsidRPr="00041CE3">
        <w:rPr>
          <w:rFonts w:ascii="Times New Roman" w:hAnsi="Times New Roman" w:cs="Times New Roman"/>
          <w:sz w:val="20"/>
        </w:rPr>
        <w:t xml:space="preserve"> </w:t>
      </w:r>
      <w:r w:rsidRPr="00041CE3">
        <w:rPr>
          <w:rFonts w:ascii="Times New Roman" w:hAnsi="Times New Roman" w:cs="Times New Roman"/>
          <w:b/>
          <w:bCs/>
          <w:sz w:val="20"/>
        </w:rPr>
        <w:t>129</w:t>
      </w:r>
      <w:r w:rsidRPr="00041CE3">
        <w:rPr>
          <w:rFonts w:ascii="Times New Roman" w:hAnsi="Times New Roman" w:cs="Times New Roman"/>
          <w:sz w:val="20"/>
        </w:rPr>
        <w:t>, 409–418 (2018).</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5.</w:t>
      </w:r>
      <w:r w:rsidRPr="00041CE3">
        <w:rPr>
          <w:rFonts w:ascii="Times New Roman" w:hAnsi="Times New Roman" w:cs="Times New Roman"/>
          <w:sz w:val="20"/>
        </w:rPr>
        <w:tab/>
        <w:t xml:space="preserve">Chhade, F. </w:t>
      </w:r>
      <w:r w:rsidRPr="00041CE3">
        <w:rPr>
          <w:rFonts w:ascii="Times New Roman" w:hAnsi="Times New Roman" w:cs="Times New Roman"/>
          <w:i/>
          <w:iCs/>
          <w:sz w:val="20"/>
        </w:rPr>
        <w:t>et al.</w:t>
      </w:r>
      <w:r w:rsidRPr="00041CE3">
        <w:rPr>
          <w:rFonts w:ascii="Times New Roman" w:hAnsi="Times New Roman" w:cs="Times New Roman"/>
          <w:sz w:val="20"/>
        </w:rPr>
        <w:t xml:space="preserve"> Predicting creative behavior using resting-state electroencephalography. </w:t>
      </w:r>
      <w:r w:rsidRPr="00041CE3">
        <w:rPr>
          <w:rFonts w:ascii="Times New Roman" w:hAnsi="Times New Roman" w:cs="Times New Roman"/>
          <w:i/>
          <w:iCs/>
          <w:sz w:val="20"/>
        </w:rPr>
        <w:t>Commun Biol</w:t>
      </w:r>
      <w:r w:rsidRPr="00041CE3">
        <w:rPr>
          <w:rFonts w:ascii="Times New Roman" w:hAnsi="Times New Roman" w:cs="Times New Roman"/>
          <w:sz w:val="20"/>
        </w:rPr>
        <w:t xml:space="preserve"> </w:t>
      </w:r>
      <w:r w:rsidRPr="00041CE3">
        <w:rPr>
          <w:rFonts w:ascii="Times New Roman" w:hAnsi="Times New Roman" w:cs="Times New Roman"/>
          <w:b/>
          <w:bCs/>
          <w:sz w:val="20"/>
        </w:rPr>
        <w:t>7</w:t>
      </w:r>
      <w:r w:rsidRPr="00041CE3">
        <w:rPr>
          <w:rFonts w:ascii="Times New Roman" w:hAnsi="Times New Roman" w:cs="Times New Roman"/>
          <w:sz w:val="20"/>
        </w:rPr>
        <w:t>, 1–11 (2024).</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6.</w:t>
      </w:r>
      <w:r w:rsidRPr="00041CE3">
        <w:rPr>
          <w:rFonts w:ascii="Times New Roman" w:hAnsi="Times New Roman" w:cs="Times New Roman"/>
          <w:sz w:val="20"/>
        </w:rPr>
        <w:tab/>
        <w:t xml:space="preserve">Güntekin, B. </w:t>
      </w:r>
      <w:r w:rsidRPr="00041CE3">
        <w:rPr>
          <w:rFonts w:ascii="Times New Roman" w:hAnsi="Times New Roman" w:cs="Times New Roman"/>
          <w:i/>
          <w:iCs/>
          <w:sz w:val="20"/>
        </w:rPr>
        <w:t>et al.</w:t>
      </w:r>
      <w:r w:rsidRPr="00041CE3">
        <w:rPr>
          <w:rFonts w:ascii="Times New Roman" w:hAnsi="Times New Roman" w:cs="Times New Roman"/>
          <w:sz w:val="20"/>
        </w:rPr>
        <w:t xml:space="preserve"> Impairment in recognition of emotional facial expressions in Alzheimer’s disease is represented by EEG theta and alpha responses. </w:t>
      </w:r>
      <w:r w:rsidRPr="00041CE3">
        <w:rPr>
          <w:rFonts w:ascii="Times New Roman" w:hAnsi="Times New Roman" w:cs="Times New Roman"/>
          <w:i/>
          <w:iCs/>
          <w:sz w:val="20"/>
        </w:rPr>
        <w:t>Psychophysiology</w:t>
      </w:r>
      <w:r w:rsidRPr="00041CE3">
        <w:rPr>
          <w:rFonts w:ascii="Times New Roman" w:hAnsi="Times New Roman" w:cs="Times New Roman"/>
          <w:sz w:val="20"/>
        </w:rPr>
        <w:t xml:space="preserve"> </w:t>
      </w:r>
      <w:r w:rsidRPr="00041CE3">
        <w:rPr>
          <w:rFonts w:ascii="Times New Roman" w:hAnsi="Times New Roman" w:cs="Times New Roman"/>
          <w:b/>
          <w:bCs/>
          <w:sz w:val="20"/>
        </w:rPr>
        <w:t>56</w:t>
      </w:r>
      <w:r w:rsidRPr="00041CE3">
        <w:rPr>
          <w:rFonts w:ascii="Times New Roman" w:hAnsi="Times New Roman" w:cs="Times New Roman"/>
          <w:sz w:val="20"/>
        </w:rPr>
        <w:t>, e13434 (2019).</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7.</w:t>
      </w:r>
      <w:r w:rsidRPr="00041CE3">
        <w:rPr>
          <w:rFonts w:ascii="Times New Roman" w:hAnsi="Times New Roman" w:cs="Times New Roman"/>
          <w:sz w:val="20"/>
        </w:rPr>
        <w:tab/>
        <w:t xml:space="preserve">Zanin, M. </w:t>
      </w:r>
      <w:r w:rsidRPr="00041CE3">
        <w:rPr>
          <w:rFonts w:ascii="Times New Roman" w:hAnsi="Times New Roman" w:cs="Times New Roman"/>
          <w:i/>
          <w:iCs/>
          <w:sz w:val="20"/>
        </w:rPr>
        <w:t>et al.</w:t>
      </w:r>
      <w:r w:rsidRPr="00041CE3">
        <w:rPr>
          <w:rFonts w:ascii="Times New Roman" w:hAnsi="Times New Roman" w:cs="Times New Roman"/>
          <w:sz w:val="20"/>
        </w:rPr>
        <w:t xml:space="preserve"> Reconstructing brain functional networks through identifiability and deep learning. </w:t>
      </w:r>
      <w:r w:rsidRPr="00041CE3">
        <w:rPr>
          <w:rFonts w:ascii="Times New Roman" w:hAnsi="Times New Roman" w:cs="Times New Roman"/>
          <w:i/>
          <w:iCs/>
          <w:sz w:val="20"/>
        </w:rPr>
        <w:t>Network Neuroscience</w:t>
      </w:r>
      <w:r w:rsidRPr="00041CE3">
        <w:rPr>
          <w:rFonts w:ascii="Times New Roman" w:hAnsi="Times New Roman" w:cs="Times New Roman"/>
          <w:sz w:val="20"/>
        </w:rPr>
        <w:t xml:space="preserve"> </w:t>
      </w:r>
      <w:r w:rsidRPr="00041CE3">
        <w:rPr>
          <w:rFonts w:ascii="Times New Roman" w:hAnsi="Times New Roman" w:cs="Times New Roman"/>
          <w:b/>
          <w:bCs/>
          <w:sz w:val="20"/>
        </w:rPr>
        <w:t>8</w:t>
      </w:r>
      <w:r w:rsidRPr="00041CE3">
        <w:rPr>
          <w:rFonts w:ascii="Times New Roman" w:hAnsi="Times New Roman" w:cs="Times New Roman"/>
          <w:sz w:val="20"/>
        </w:rPr>
        <w:t>, 241–259 (2024).</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8.</w:t>
      </w:r>
      <w:r w:rsidRPr="00041CE3">
        <w:rPr>
          <w:rFonts w:ascii="Times New Roman" w:hAnsi="Times New Roman" w:cs="Times New Roman"/>
          <w:sz w:val="20"/>
        </w:rPr>
        <w:tab/>
        <w:t xml:space="preserve">Kabbara, A. </w:t>
      </w:r>
      <w:r w:rsidRPr="00041CE3">
        <w:rPr>
          <w:rFonts w:ascii="Times New Roman" w:hAnsi="Times New Roman" w:cs="Times New Roman"/>
          <w:i/>
          <w:iCs/>
          <w:sz w:val="20"/>
        </w:rPr>
        <w:t>et al.</w:t>
      </w:r>
      <w:r w:rsidRPr="00041CE3">
        <w:rPr>
          <w:rFonts w:ascii="Times New Roman" w:hAnsi="Times New Roman" w:cs="Times New Roman"/>
          <w:sz w:val="20"/>
        </w:rPr>
        <w:t xml:space="preserve"> Reduced integration and improved segregation of functional brain networks in Alzheimer’s disease. </w:t>
      </w:r>
      <w:r w:rsidRPr="00041CE3">
        <w:rPr>
          <w:rFonts w:ascii="Times New Roman" w:hAnsi="Times New Roman" w:cs="Times New Roman"/>
          <w:i/>
          <w:iCs/>
          <w:sz w:val="20"/>
        </w:rPr>
        <w:t>J. Neural Eng.</w:t>
      </w:r>
      <w:r w:rsidRPr="00041CE3">
        <w:rPr>
          <w:rFonts w:ascii="Times New Roman" w:hAnsi="Times New Roman" w:cs="Times New Roman"/>
          <w:sz w:val="20"/>
        </w:rPr>
        <w:t xml:space="preserve"> </w:t>
      </w:r>
      <w:r w:rsidRPr="00041CE3">
        <w:rPr>
          <w:rFonts w:ascii="Times New Roman" w:hAnsi="Times New Roman" w:cs="Times New Roman"/>
          <w:b/>
          <w:bCs/>
          <w:sz w:val="20"/>
        </w:rPr>
        <w:t>15</w:t>
      </w:r>
      <w:r w:rsidRPr="00041CE3">
        <w:rPr>
          <w:rFonts w:ascii="Times New Roman" w:hAnsi="Times New Roman" w:cs="Times New Roman"/>
          <w:sz w:val="20"/>
        </w:rPr>
        <w:t>, 026023 (2018).</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9.</w:t>
      </w:r>
      <w:r w:rsidRPr="00041CE3">
        <w:rPr>
          <w:rFonts w:ascii="Times New Roman" w:hAnsi="Times New Roman" w:cs="Times New Roman"/>
          <w:sz w:val="20"/>
        </w:rPr>
        <w:tab/>
        <w:t xml:space="preserve">Allouch, S. </w:t>
      </w:r>
      <w:r w:rsidRPr="00041CE3">
        <w:rPr>
          <w:rFonts w:ascii="Times New Roman" w:hAnsi="Times New Roman" w:cs="Times New Roman"/>
          <w:i/>
          <w:iCs/>
          <w:sz w:val="20"/>
        </w:rPr>
        <w:t>et al.</w:t>
      </w:r>
      <w:r w:rsidRPr="00041CE3">
        <w:rPr>
          <w:rFonts w:ascii="Times New Roman" w:hAnsi="Times New Roman" w:cs="Times New Roman"/>
          <w:sz w:val="20"/>
        </w:rPr>
        <w:t xml:space="preserve"> Altered motor performance in Alzheimer’s disease: a dynamic analysis using EEG. in </w:t>
      </w:r>
      <w:r w:rsidRPr="00041CE3">
        <w:rPr>
          <w:rFonts w:ascii="Times New Roman" w:hAnsi="Times New Roman" w:cs="Times New Roman"/>
          <w:i/>
          <w:iCs/>
          <w:sz w:val="20"/>
        </w:rPr>
        <w:t>2019 Fifth International Conference on Advances in Biomedical Engineering (ICABME)</w:t>
      </w:r>
      <w:r w:rsidRPr="00041CE3">
        <w:rPr>
          <w:rFonts w:ascii="Times New Roman" w:hAnsi="Times New Roman" w:cs="Times New Roman"/>
          <w:sz w:val="20"/>
        </w:rPr>
        <w:t xml:space="preserve"> 1–4 (IEEE, Tripoli, Lebanon, 2019). doi:10.1109/ICABME47164.2019.8940204.</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10.</w:t>
      </w:r>
      <w:r w:rsidRPr="00041CE3">
        <w:rPr>
          <w:rFonts w:ascii="Times New Roman" w:hAnsi="Times New Roman" w:cs="Times New Roman"/>
          <w:sz w:val="20"/>
        </w:rPr>
        <w:tab/>
        <w:t xml:space="preserve">Paban, V., Deshayes, C., Ferrer, M.-H., Weill, A. &amp; Alescio-Lautier, B. Resting Brain Functional Networks and Trait Coping. </w:t>
      </w:r>
      <w:r w:rsidRPr="00041CE3">
        <w:rPr>
          <w:rFonts w:ascii="Times New Roman" w:hAnsi="Times New Roman" w:cs="Times New Roman"/>
          <w:i/>
          <w:iCs/>
          <w:sz w:val="20"/>
        </w:rPr>
        <w:t>Brain Connectivity</w:t>
      </w:r>
      <w:r w:rsidRPr="00041CE3">
        <w:rPr>
          <w:rFonts w:ascii="Times New Roman" w:hAnsi="Times New Roman" w:cs="Times New Roman"/>
          <w:sz w:val="20"/>
        </w:rPr>
        <w:t xml:space="preserve"> </w:t>
      </w:r>
      <w:r w:rsidRPr="00041CE3">
        <w:rPr>
          <w:rFonts w:ascii="Times New Roman" w:hAnsi="Times New Roman" w:cs="Times New Roman"/>
          <w:b/>
          <w:bCs/>
          <w:sz w:val="20"/>
        </w:rPr>
        <w:t>8</w:t>
      </w:r>
      <w:r w:rsidRPr="00041CE3">
        <w:rPr>
          <w:rFonts w:ascii="Times New Roman" w:hAnsi="Times New Roman" w:cs="Times New Roman"/>
          <w:sz w:val="20"/>
        </w:rPr>
        <w:t>, 475–486 (2018).</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11.</w:t>
      </w:r>
      <w:r w:rsidRPr="00041CE3">
        <w:rPr>
          <w:rFonts w:ascii="Times New Roman" w:hAnsi="Times New Roman" w:cs="Times New Roman"/>
          <w:sz w:val="20"/>
        </w:rPr>
        <w:tab/>
        <w:t xml:space="preserve">Railo, H. </w:t>
      </w:r>
      <w:r w:rsidRPr="00041CE3">
        <w:rPr>
          <w:rFonts w:ascii="Times New Roman" w:hAnsi="Times New Roman" w:cs="Times New Roman"/>
          <w:i/>
          <w:iCs/>
          <w:sz w:val="20"/>
        </w:rPr>
        <w:t>et al.</w:t>
      </w:r>
      <w:r w:rsidRPr="00041CE3">
        <w:rPr>
          <w:rFonts w:ascii="Times New Roman" w:hAnsi="Times New Roman" w:cs="Times New Roman"/>
          <w:sz w:val="20"/>
        </w:rPr>
        <w:t xml:space="preserve"> Resting state EEG as a biomarker of Parkinson’s disease: Influence of measurement conditions. 2020.05.08.084343 Preprint at https://doi.org/10.1101/2020.05.08.084343 (2020).</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12.</w:t>
      </w:r>
      <w:r w:rsidRPr="00041CE3">
        <w:rPr>
          <w:rFonts w:ascii="Times New Roman" w:hAnsi="Times New Roman" w:cs="Times New Roman"/>
          <w:sz w:val="20"/>
        </w:rPr>
        <w:tab/>
        <w:t xml:space="preserve">Schalk, G., McFarland, D. J., Hinterberger, T., Birbaumer, N. &amp; Wolpaw, J. R. BCI2000: a general-purpose brain-computer interface (BCI) system. </w:t>
      </w:r>
      <w:r w:rsidRPr="00041CE3">
        <w:rPr>
          <w:rFonts w:ascii="Times New Roman" w:hAnsi="Times New Roman" w:cs="Times New Roman"/>
          <w:i/>
          <w:iCs/>
          <w:sz w:val="20"/>
        </w:rPr>
        <w:t>IEEE Transactions on Biomedical Engineering</w:t>
      </w:r>
      <w:r w:rsidRPr="00041CE3">
        <w:rPr>
          <w:rFonts w:ascii="Times New Roman" w:hAnsi="Times New Roman" w:cs="Times New Roman"/>
          <w:sz w:val="20"/>
        </w:rPr>
        <w:t xml:space="preserve"> </w:t>
      </w:r>
      <w:r w:rsidRPr="00041CE3">
        <w:rPr>
          <w:rFonts w:ascii="Times New Roman" w:hAnsi="Times New Roman" w:cs="Times New Roman"/>
          <w:b/>
          <w:bCs/>
          <w:sz w:val="20"/>
        </w:rPr>
        <w:t>51</w:t>
      </w:r>
      <w:r w:rsidRPr="00041CE3">
        <w:rPr>
          <w:rFonts w:ascii="Times New Roman" w:hAnsi="Times New Roman" w:cs="Times New Roman"/>
          <w:sz w:val="20"/>
        </w:rPr>
        <w:t>, 1034–1043 (2004).</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13.</w:t>
      </w:r>
      <w:r w:rsidRPr="00041CE3">
        <w:rPr>
          <w:rFonts w:ascii="Times New Roman" w:hAnsi="Times New Roman" w:cs="Times New Roman"/>
          <w:sz w:val="20"/>
        </w:rPr>
        <w:tab/>
        <w:t xml:space="preserve">Hatlestad-Hall, C. </w:t>
      </w:r>
      <w:r w:rsidRPr="00041CE3">
        <w:rPr>
          <w:rFonts w:ascii="Times New Roman" w:hAnsi="Times New Roman" w:cs="Times New Roman"/>
          <w:i/>
          <w:iCs/>
          <w:sz w:val="20"/>
        </w:rPr>
        <w:t>et al.</w:t>
      </w:r>
      <w:r w:rsidRPr="00041CE3">
        <w:rPr>
          <w:rFonts w:ascii="Times New Roman" w:hAnsi="Times New Roman" w:cs="Times New Roman"/>
          <w:sz w:val="20"/>
        </w:rPr>
        <w:t xml:space="preserve"> Reliable evaluation of functional connectivity and graph theory measures in source-level EEG: How many electrodes are enough? </w:t>
      </w:r>
      <w:r w:rsidRPr="00041CE3">
        <w:rPr>
          <w:rFonts w:ascii="Times New Roman" w:hAnsi="Times New Roman" w:cs="Times New Roman"/>
          <w:i/>
          <w:iCs/>
          <w:sz w:val="20"/>
        </w:rPr>
        <w:t>Clin Neurophysiol</w:t>
      </w:r>
      <w:r w:rsidRPr="00041CE3">
        <w:rPr>
          <w:rFonts w:ascii="Times New Roman" w:hAnsi="Times New Roman" w:cs="Times New Roman"/>
          <w:sz w:val="20"/>
        </w:rPr>
        <w:t xml:space="preserve"> </w:t>
      </w:r>
      <w:r w:rsidRPr="00041CE3">
        <w:rPr>
          <w:rFonts w:ascii="Times New Roman" w:hAnsi="Times New Roman" w:cs="Times New Roman"/>
          <w:b/>
          <w:bCs/>
          <w:sz w:val="20"/>
        </w:rPr>
        <w:t>150</w:t>
      </w:r>
      <w:r w:rsidRPr="00041CE3">
        <w:rPr>
          <w:rFonts w:ascii="Times New Roman" w:hAnsi="Times New Roman" w:cs="Times New Roman"/>
          <w:sz w:val="20"/>
        </w:rPr>
        <w:t>, 1–16 (2023).</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14.</w:t>
      </w:r>
      <w:r w:rsidRPr="00041CE3">
        <w:rPr>
          <w:rFonts w:ascii="Times New Roman" w:hAnsi="Times New Roman" w:cs="Times New Roman"/>
          <w:sz w:val="20"/>
        </w:rPr>
        <w:tab/>
        <w:t xml:space="preserve">Fuglsang, S. A., Märcher-Rørsted, J., Dau, T. &amp; Hjortkjær, J. Effects of Sensorineural Hearing Loss on Cortical Synchronization to Competing Speech during Selective Attention. </w:t>
      </w:r>
      <w:r w:rsidRPr="00041CE3">
        <w:rPr>
          <w:rFonts w:ascii="Times New Roman" w:hAnsi="Times New Roman" w:cs="Times New Roman"/>
          <w:i/>
          <w:iCs/>
          <w:sz w:val="20"/>
        </w:rPr>
        <w:t>J Neurosci</w:t>
      </w:r>
      <w:r w:rsidRPr="00041CE3">
        <w:rPr>
          <w:rFonts w:ascii="Times New Roman" w:hAnsi="Times New Roman" w:cs="Times New Roman"/>
          <w:sz w:val="20"/>
        </w:rPr>
        <w:t xml:space="preserve"> </w:t>
      </w:r>
      <w:r w:rsidRPr="00041CE3">
        <w:rPr>
          <w:rFonts w:ascii="Times New Roman" w:hAnsi="Times New Roman" w:cs="Times New Roman"/>
          <w:b/>
          <w:bCs/>
          <w:sz w:val="20"/>
        </w:rPr>
        <w:t>40</w:t>
      </w:r>
      <w:r w:rsidRPr="00041CE3">
        <w:rPr>
          <w:rFonts w:ascii="Times New Roman" w:hAnsi="Times New Roman" w:cs="Times New Roman"/>
          <w:sz w:val="20"/>
        </w:rPr>
        <w:t>, 2562–2572 (2020).</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15.</w:t>
      </w:r>
      <w:r w:rsidRPr="00041CE3">
        <w:rPr>
          <w:rFonts w:ascii="Times New Roman" w:hAnsi="Times New Roman" w:cs="Times New Roman"/>
          <w:sz w:val="20"/>
        </w:rPr>
        <w:tab/>
        <w:t xml:space="preserve">American Psychiatric Association. </w:t>
      </w:r>
      <w:r w:rsidRPr="00041CE3">
        <w:rPr>
          <w:rFonts w:ascii="Times New Roman" w:hAnsi="Times New Roman" w:cs="Times New Roman"/>
          <w:i/>
          <w:iCs/>
          <w:sz w:val="20"/>
        </w:rPr>
        <w:t>Diagnostic and Statistical Manual of Mental Disorders: DSM-5</w:t>
      </w:r>
      <w:r w:rsidRPr="00041CE3">
        <w:rPr>
          <w:rFonts w:ascii="Times New Roman" w:hAnsi="Times New Roman" w:cs="Times New Roman"/>
          <w:sz w:val="20"/>
        </w:rPr>
        <w:t>. vol. 5 (2013).</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lang w:val="fr-FR"/>
        </w:rPr>
        <w:t>16.</w:t>
      </w:r>
      <w:r w:rsidRPr="00041CE3">
        <w:rPr>
          <w:rFonts w:ascii="Times New Roman" w:hAnsi="Times New Roman" w:cs="Times New Roman"/>
          <w:sz w:val="20"/>
          <w:lang w:val="fr-FR"/>
        </w:rPr>
        <w:tab/>
        <w:t xml:space="preserve">McKhann, G. M. </w:t>
      </w:r>
      <w:r w:rsidRPr="00041CE3">
        <w:rPr>
          <w:rFonts w:ascii="Times New Roman" w:hAnsi="Times New Roman" w:cs="Times New Roman"/>
          <w:i/>
          <w:iCs/>
          <w:sz w:val="20"/>
          <w:lang w:val="fr-FR"/>
        </w:rPr>
        <w:t>et al.</w:t>
      </w:r>
      <w:r w:rsidRPr="00041CE3">
        <w:rPr>
          <w:rFonts w:ascii="Times New Roman" w:hAnsi="Times New Roman" w:cs="Times New Roman"/>
          <w:sz w:val="20"/>
          <w:lang w:val="fr-FR"/>
        </w:rPr>
        <w:t xml:space="preserve"> </w:t>
      </w:r>
      <w:r w:rsidRPr="00041CE3">
        <w:rPr>
          <w:rFonts w:ascii="Times New Roman" w:hAnsi="Times New Roman" w:cs="Times New Roman"/>
          <w:sz w:val="20"/>
        </w:rPr>
        <w:t xml:space="preserve">The diagnosis of dementia due to Alzheimer’s disease: recommendations from the National Institute on Aging-Alzheimer’s Association workgroups on diagnostic guidelines for Alzheimer’s disease. </w:t>
      </w:r>
      <w:r w:rsidRPr="00041CE3">
        <w:rPr>
          <w:rFonts w:ascii="Times New Roman" w:hAnsi="Times New Roman" w:cs="Times New Roman"/>
          <w:i/>
          <w:iCs/>
          <w:sz w:val="20"/>
        </w:rPr>
        <w:t>Alzheimers Dement</w:t>
      </w:r>
      <w:r w:rsidRPr="00041CE3">
        <w:rPr>
          <w:rFonts w:ascii="Times New Roman" w:hAnsi="Times New Roman" w:cs="Times New Roman"/>
          <w:sz w:val="20"/>
        </w:rPr>
        <w:t xml:space="preserve"> </w:t>
      </w:r>
      <w:r w:rsidRPr="00041CE3">
        <w:rPr>
          <w:rFonts w:ascii="Times New Roman" w:hAnsi="Times New Roman" w:cs="Times New Roman"/>
          <w:b/>
          <w:bCs/>
          <w:sz w:val="20"/>
        </w:rPr>
        <w:t>7</w:t>
      </w:r>
      <w:r w:rsidRPr="00041CE3">
        <w:rPr>
          <w:rFonts w:ascii="Times New Roman" w:hAnsi="Times New Roman" w:cs="Times New Roman"/>
          <w:sz w:val="20"/>
        </w:rPr>
        <w:t>, 263–269 (2011).</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17.</w:t>
      </w:r>
      <w:r w:rsidRPr="00041CE3">
        <w:rPr>
          <w:rFonts w:ascii="Times New Roman" w:hAnsi="Times New Roman" w:cs="Times New Roman"/>
          <w:sz w:val="20"/>
        </w:rPr>
        <w:tab/>
        <w:t xml:space="preserve">Lang, A. E. &amp; Lozano, A. M. Parkinson’s disease. First of two parts. </w:t>
      </w:r>
      <w:r w:rsidRPr="00041CE3">
        <w:rPr>
          <w:rFonts w:ascii="Times New Roman" w:hAnsi="Times New Roman" w:cs="Times New Roman"/>
          <w:i/>
          <w:iCs/>
          <w:sz w:val="20"/>
        </w:rPr>
        <w:t>N Engl J Med</w:t>
      </w:r>
      <w:r w:rsidRPr="00041CE3">
        <w:rPr>
          <w:rFonts w:ascii="Times New Roman" w:hAnsi="Times New Roman" w:cs="Times New Roman"/>
          <w:sz w:val="20"/>
        </w:rPr>
        <w:t xml:space="preserve"> </w:t>
      </w:r>
      <w:r w:rsidRPr="00041CE3">
        <w:rPr>
          <w:rFonts w:ascii="Times New Roman" w:hAnsi="Times New Roman" w:cs="Times New Roman"/>
          <w:b/>
          <w:bCs/>
          <w:sz w:val="20"/>
        </w:rPr>
        <w:t>339</w:t>
      </w:r>
      <w:r w:rsidRPr="00041CE3">
        <w:rPr>
          <w:rFonts w:ascii="Times New Roman" w:hAnsi="Times New Roman" w:cs="Times New Roman"/>
          <w:sz w:val="20"/>
        </w:rPr>
        <w:t>, 1044–1053 (1998).</w:t>
      </w:r>
    </w:p>
    <w:p w:rsidR="00041CE3" w:rsidRPr="00041CE3" w:rsidRDefault="00041CE3" w:rsidP="00041CE3">
      <w:pPr>
        <w:pStyle w:val="Bibliographie"/>
        <w:rPr>
          <w:rFonts w:ascii="Times New Roman" w:hAnsi="Times New Roman" w:cs="Times New Roman"/>
          <w:sz w:val="20"/>
          <w:lang w:val="fr-FR"/>
        </w:rPr>
      </w:pPr>
      <w:r w:rsidRPr="00041CE3">
        <w:rPr>
          <w:rFonts w:ascii="Times New Roman" w:hAnsi="Times New Roman" w:cs="Times New Roman"/>
          <w:sz w:val="20"/>
        </w:rPr>
        <w:t>18.</w:t>
      </w:r>
      <w:r w:rsidRPr="00041CE3">
        <w:rPr>
          <w:rFonts w:ascii="Times New Roman" w:hAnsi="Times New Roman" w:cs="Times New Roman"/>
          <w:sz w:val="20"/>
        </w:rPr>
        <w:tab/>
        <w:t xml:space="preserve">Berg, L. Clinical Dementia Rating (CDR). </w:t>
      </w:r>
      <w:r w:rsidRPr="00041CE3">
        <w:rPr>
          <w:rFonts w:ascii="Times New Roman" w:hAnsi="Times New Roman" w:cs="Times New Roman"/>
          <w:i/>
          <w:iCs/>
          <w:sz w:val="20"/>
          <w:lang w:val="fr-FR"/>
        </w:rPr>
        <w:t>Psychopharmacol Bull</w:t>
      </w:r>
      <w:r w:rsidRPr="00041CE3">
        <w:rPr>
          <w:rFonts w:ascii="Times New Roman" w:hAnsi="Times New Roman" w:cs="Times New Roman"/>
          <w:sz w:val="20"/>
          <w:lang w:val="fr-FR"/>
        </w:rPr>
        <w:t xml:space="preserve"> </w:t>
      </w:r>
      <w:r w:rsidRPr="00041CE3">
        <w:rPr>
          <w:rFonts w:ascii="Times New Roman" w:hAnsi="Times New Roman" w:cs="Times New Roman"/>
          <w:b/>
          <w:bCs/>
          <w:sz w:val="20"/>
          <w:lang w:val="fr-FR"/>
        </w:rPr>
        <w:t>24</w:t>
      </w:r>
      <w:r w:rsidRPr="00041CE3">
        <w:rPr>
          <w:rFonts w:ascii="Times New Roman" w:hAnsi="Times New Roman" w:cs="Times New Roman"/>
          <w:sz w:val="20"/>
          <w:lang w:val="fr-FR"/>
        </w:rPr>
        <w:t>, 637–639 (1988).</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lang w:val="fr-FR"/>
        </w:rPr>
        <w:t>19.</w:t>
      </w:r>
      <w:r w:rsidRPr="00041CE3">
        <w:rPr>
          <w:rFonts w:ascii="Times New Roman" w:hAnsi="Times New Roman" w:cs="Times New Roman"/>
          <w:sz w:val="20"/>
          <w:lang w:val="fr-FR"/>
        </w:rPr>
        <w:tab/>
        <w:t xml:space="preserve">Postuma, R. B. </w:t>
      </w:r>
      <w:r w:rsidRPr="00041CE3">
        <w:rPr>
          <w:rFonts w:ascii="Times New Roman" w:hAnsi="Times New Roman" w:cs="Times New Roman"/>
          <w:i/>
          <w:iCs/>
          <w:sz w:val="20"/>
          <w:lang w:val="fr-FR"/>
        </w:rPr>
        <w:t>et al.</w:t>
      </w:r>
      <w:r w:rsidRPr="00041CE3">
        <w:rPr>
          <w:rFonts w:ascii="Times New Roman" w:hAnsi="Times New Roman" w:cs="Times New Roman"/>
          <w:sz w:val="20"/>
          <w:lang w:val="fr-FR"/>
        </w:rPr>
        <w:t xml:space="preserve"> </w:t>
      </w:r>
      <w:r w:rsidRPr="00041CE3">
        <w:rPr>
          <w:rFonts w:ascii="Times New Roman" w:hAnsi="Times New Roman" w:cs="Times New Roman"/>
          <w:sz w:val="20"/>
        </w:rPr>
        <w:t xml:space="preserve">MDS clinical diagnostic criteria for Parkinson’s disease. </w:t>
      </w:r>
      <w:r w:rsidRPr="00041CE3">
        <w:rPr>
          <w:rFonts w:ascii="Times New Roman" w:hAnsi="Times New Roman" w:cs="Times New Roman"/>
          <w:i/>
          <w:iCs/>
          <w:sz w:val="20"/>
        </w:rPr>
        <w:t>Mov Disord</w:t>
      </w:r>
      <w:r w:rsidRPr="00041CE3">
        <w:rPr>
          <w:rFonts w:ascii="Times New Roman" w:hAnsi="Times New Roman" w:cs="Times New Roman"/>
          <w:sz w:val="20"/>
        </w:rPr>
        <w:t xml:space="preserve"> </w:t>
      </w:r>
      <w:r w:rsidRPr="00041CE3">
        <w:rPr>
          <w:rFonts w:ascii="Times New Roman" w:hAnsi="Times New Roman" w:cs="Times New Roman"/>
          <w:b/>
          <w:bCs/>
          <w:sz w:val="20"/>
        </w:rPr>
        <w:t>30</w:t>
      </w:r>
      <w:r w:rsidRPr="00041CE3">
        <w:rPr>
          <w:rFonts w:ascii="Times New Roman" w:hAnsi="Times New Roman" w:cs="Times New Roman"/>
          <w:sz w:val="20"/>
        </w:rPr>
        <w:t>, 1591–1601 (2015).</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20.</w:t>
      </w:r>
      <w:r w:rsidRPr="00041CE3">
        <w:rPr>
          <w:rFonts w:ascii="Times New Roman" w:hAnsi="Times New Roman" w:cs="Times New Roman"/>
          <w:sz w:val="20"/>
        </w:rPr>
        <w:tab/>
        <w:t xml:space="preserve">Daniel, S. E. &amp; Lees, A. J. Parkinson’s Disease Society Brain Bank, London: overview and research. </w:t>
      </w:r>
      <w:r w:rsidRPr="00041CE3">
        <w:rPr>
          <w:rFonts w:ascii="Times New Roman" w:hAnsi="Times New Roman" w:cs="Times New Roman"/>
          <w:i/>
          <w:iCs/>
          <w:sz w:val="20"/>
        </w:rPr>
        <w:t>J Neural Transm Suppl</w:t>
      </w:r>
      <w:r w:rsidRPr="00041CE3">
        <w:rPr>
          <w:rFonts w:ascii="Times New Roman" w:hAnsi="Times New Roman" w:cs="Times New Roman"/>
          <w:sz w:val="20"/>
        </w:rPr>
        <w:t xml:space="preserve"> </w:t>
      </w:r>
      <w:r w:rsidRPr="00041CE3">
        <w:rPr>
          <w:rFonts w:ascii="Times New Roman" w:hAnsi="Times New Roman" w:cs="Times New Roman"/>
          <w:b/>
          <w:bCs/>
          <w:sz w:val="20"/>
        </w:rPr>
        <w:t>39</w:t>
      </w:r>
      <w:r w:rsidRPr="00041CE3">
        <w:rPr>
          <w:rFonts w:ascii="Times New Roman" w:hAnsi="Times New Roman" w:cs="Times New Roman"/>
          <w:sz w:val="20"/>
        </w:rPr>
        <w:t>, 165–172 (1993).</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21.</w:t>
      </w:r>
      <w:r w:rsidRPr="00041CE3">
        <w:rPr>
          <w:rFonts w:ascii="Times New Roman" w:hAnsi="Times New Roman" w:cs="Times New Roman"/>
          <w:sz w:val="20"/>
        </w:rPr>
        <w:tab/>
        <w:t xml:space="preserve">Hoehn, M. M. &amp; Yahr, M. D. Parkinsonism: onset, progression and mortality. </w:t>
      </w:r>
      <w:r w:rsidRPr="00041CE3">
        <w:rPr>
          <w:rFonts w:ascii="Times New Roman" w:hAnsi="Times New Roman" w:cs="Times New Roman"/>
          <w:i/>
          <w:iCs/>
          <w:sz w:val="20"/>
        </w:rPr>
        <w:t>Neurology</w:t>
      </w:r>
      <w:r w:rsidRPr="00041CE3">
        <w:rPr>
          <w:rFonts w:ascii="Times New Roman" w:hAnsi="Times New Roman" w:cs="Times New Roman"/>
          <w:sz w:val="20"/>
        </w:rPr>
        <w:t xml:space="preserve"> </w:t>
      </w:r>
      <w:r w:rsidRPr="00041CE3">
        <w:rPr>
          <w:rFonts w:ascii="Times New Roman" w:hAnsi="Times New Roman" w:cs="Times New Roman"/>
          <w:b/>
          <w:bCs/>
          <w:sz w:val="20"/>
        </w:rPr>
        <w:t>17</w:t>
      </w:r>
      <w:r w:rsidRPr="00041CE3">
        <w:rPr>
          <w:rFonts w:ascii="Times New Roman" w:hAnsi="Times New Roman" w:cs="Times New Roman"/>
          <w:sz w:val="20"/>
        </w:rPr>
        <w:t>, 427–442 (1967).</w:t>
      </w:r>
    </w:p>
    <w:p w:rsidR="00041CE3" w:rsidRPr="00041CE3" w:rsidRDefault="00041CE3" w:rsidP="00041CE3">
      <w:pPr>
        <w:pStyle w:val="Bibliographie"/>
        <w:rPr>
          <w:rFonts w:ascii="Times New Roman" w:hAnsi="Times New Roman" w:cs="Times New Roman"/>
          <w:sz w:val="20"/>
        </w:rPr>
      </w:pPr>
      <w:r w:rsidRPr="00041CE3">
        <w:rPr>
          <w:rFonts w:ascii="Times New Roman" w:hAnsi="Times New Roman" w:cs="Times New Roman"/>
          <w:sz w:val="20"/>
        </w:rPr>
        <w:t>22.</w:t>
      </w:r>
      <w:r w:rsidRPr="00041CE3">
        <w:rPr>
          <w:rFonts w:ascii="Times New Roman" w:hAnsi="Times New Roman" w:cs="Times New Roman"/>
          <w:sz w:val="20"/>
        </w:rPr>
        <w:tab/>
        <w:t xml:space="preserve">Cockrell, J. R. &amp; Folstein, M. F. Mini-Mental State Examination (MMSE). </w:t>
      </w:r>
      <w:r w:rsidRPr="00041CE3">
        <w:rPr>
          <w:rFonts w:ascii="Times New Roman" w:hAnsi="Times New Roman" w:cs="Times New Roman"/>
          <w:i/>
          <w:iCs/>
          <w:sz w:val="20"/>
        </w:rPr>
        <w:t>Psychopharmacol Bull</w:t>
      </w:r>
      <w:r w:rsidRPr="00041CE3">
        <w:rPr>
          <w:rFonts w:ascii="Times New Roman" w:hAnsi="Times New Roman" w:cs="Times New Roman"/>
          <w:sz w:val="20"/>
        </w:rPr>
        <w:t xml:space="preserve"> </w:t>
      </w:r>
      <w:r w:rsidRPr="00041CE3">
        <w:rPr>
          <w:rFonts w:ascii="Times New Roman" w:hAnsi="Times New Roman" w:cs="Times New Roman"/>
          <w:b/>
          <w:bCs/>
          <w:sz w:val="20"/>
        </w:rPr>
        <w:t>24</w:t>
      </w:r>
      <w:r w:rsidRPr="00041CE3">
        <w:rPr>
          <w:rFonts w:ascii="Times New Roman" w:hAnsi="Times New Roman" w:cs="Times New Roman"/>
          <w:sz w:val="20"/>
        </w:rPr>
        <w:t>, 689–692 (1988).</w:t>
      </w:r>
    </w:p>
    <w:p w:rsidR="009F4162" w:rsidRDefault="00917238" w:rsidP="00041CE3">
      <w:pPr>
        <w:pBdr>
          <w:top w:val="nil"/>
          <w:left w:val="nil"/>
          <w:bottom w:val="nil"/>
          <w:right w:val="nil"/>
          <w:between w:val="nil"/>
        </w:pBdr>
        <w:spacing w:after="160" w:line="259" w:lineRule="auto"/>
        <w:ind w:left="720" w:hanging="720"/>
        <w:rPr>
          <w:rFonts w:ascii="Times New Roman" w:eastAsia="Times New Roman" w:hAnsi="Times New Roman" w:cs="Times New Roman"/>
          <w:sz w:val="20"/>
          <w:szCs w:val="20"/>
        </w:rPr>
      </w:pPr>
      <w:r>
        <w:rPr>
          <w:rFonts w:ascii="Times New Roman" w:eastAsia="Times New Roman" w:hAnsi="Times New Roman" w:cs="Times New Roman"/>
          <w:sz w:val="20"/>
          <w:szCs w:val="20"/>
        </w:rPr>
        <w:fldChar w:fldCharType="end"/>
      </w:r>
    </w:p>
    <w:p w:rsidR="009F4162" w:rsidRDefault="009F4162">
      <w:pPr>
        <w:spacing w:after="160" w:line="324" w:lineRule="auto"/>
        <w:rPr>
          <w:rFonts w:ascii="Times New Roman" w:eastAsia="Times New Roman" w:hAnsi="Times New Roman" w:cs="Times New Roman"/>
          <w:sz w:val="20"/>
          <w:szCs w:val="20"/>
        </w:rPr>
      </w:pPr>
    </w:p>
    <w:p w:rsidR="009F4162" w:rsidRDefault="009F4162">
      <w:pPr>
        <w:spacing w:after="160" w:line="324" w:lineRule="auto"/>
        <w:rPr>
          <w:rFonts w:ascii="Times New Roman" w:eastAsia="Times New Roman" w:hAnsi="Times New Roman" w:cs="Times New Roman"/>
          <w:sz w:val="20"/>
          <w:szCs w:val="20"/>
        </w:rPr>
      </w:pPr>
    </w:p>
    <w:p w:rsidR="009F4162" w:rsidRDefault="009F4162">
      <w:pPr>
        <w:spacing w:after="160" w:line="324" w:lineRule="auto"/>
        <w:rPr>
          <w:rFonts w:ascii="Times New Roman" w:eastAsia="Times New Roman" w:hAnsi="Times New Roman" w:cs="Times New Roman"/>
          <w:sz w:val="20"/>
          <w:szCs w:val="20"/>
        </w:rPr>
      </w:pPr>
    </w:p>
    <w:p w:rsidR="009F4162" w:rsidRDefault="009F4162">
      <w:pPr>
        <w:spacing w:after="160" w:line="324" w:lineRule="auto"/>
        <w:rPr>
          <w:rFonts w:ascii="Times New Roman" w:eastAsia="Times New Roman" w:hAnsi="Times New Roman" w:cs="Times New Roman"/>
          <w:sz w:val="20"/>
          <w:szCs w:val="20"/>
        </w:rPr>
      </w:pPr>
    </w:p>
    <w:p w:rsidR="009F4162" w:rsidRDefault="009F4162">
      <w:pPr>
        <w:widowControl w:val="0"/>
        <w:pBdr>
          <w:top w:val="nil"/>
          <w:left w:val="nil"/>
          <w:bottom w:val="nil"/>
          <w:right w:val="nil"/>
          <w:between w:val="nil"/>
        </w:pBdr>
        <w:spacing w:line="240" w:lineRule="auto"/>
        <w:ind w:left="720" w:hanging="720"/>
        <w:rPr>
          <w:rFonts w:ascii="Times New Roman" w:eastAsia="Times New Roman" w:hAnsi="Times New Roman" w:cs="Times New Roman"/>
          <w:sz w:val="20"/>
          <w:szCs w:val="20"/>
        </w:rPr>
      </w:pPr>
    </w:p>
    <w:p w:rsidR="009F4162" w:rsidRDefault="009F4162">
      <w:pPr>
        <w:spacing w:after="160" w:line="324" w:lineRule="auto"/>
        <w:rPr>
          <w:rFonts w:ascii="Times New Roman" w:eastAsia="Times New Roman" w:hAnsi="Times New Roman" w:cs="Times New Roman"/>
          <w:sz w:val="20"/>
          <w:szCs w:val="20"/>
        </w:rPr>
      </w:pPr>
    </w:p>
    <w:p w:rsidR="009F4162" w:rsidRDefault="009F4162">
      <w:pPr>
        <w:rPr>
          <w:rFonts w:ascii="Times New Roman" w:eastAsia="Times New Roman" w:hAnsi="Times New Roman" w:cs="Times New Roman"/>
          <w:color w:val="073763"/>
        </w:rPr>
      </w:pPr>
    </w:p>
    <w:sectPr w:rsidR="009F416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162"/>
    <w:rsid w:val="00006C79"/>
    <w:rsid w:val="00041CE3"/>
    <w:rsid w:val="00074356"/>
    <w:rsid w:val="000E6B3D"/>
    <w:rsid w:val="001F63E9"/>
    <w:rsid w:val="003261CB"/>
    <w:rsid w:val="00390469"/>
    <w:rsid w:val="003B2128"/>
    <w:rsid w:val="00535EE5"/>
    <w:rsid w:val="006773DE"/>
    <w:rsid w:val="00686D51"/>
    <w:rsid w:val="00712772"/>
    <w:rsid w:val="00917238"/>
    <w:rsid w:val="009F4162"/>
    <w:rsid w:val="00AB44BC"/>
    <w:rsid w:val="00BF7638"/>
    <w:rsid w:val="00C04FD3"/>
    <w:rsid w:val="00D10C2C"/>
    <w:rsid w:val="00F00F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9C1069-847B-400D-8E6C-FADCBE592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469"/>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pPr>
      <w:keepNext/>
      <w:keepLines/>
      <w:spacing w:after="320"/>
    </w:pPr>
    <w:rPr>
      <w:color w:val="666666"/>
      <w:sz w:val="30"/>
      <w:szCs w:val="30"/>
    </w:rPr>
  </w:style>
  <w:style w:type="table" w:customStyle="1" w:styleId="a">
    <w:basedOn w:val="TableauNormal"/>
    <w:tblPr>
      <w:tblStyleRowBandSize w:val="1"/>
      <w:tblStyleColBandSize w:val="1"/>
      <w:tblCellMar>
        <w:top w:w="100" w:type="dxa"/>
        <w:left w:w="100" w:type="dxa"/>
        <w:bottom w:w="100" w:type="dxa"/>
        <w:right w:w="100" w:type="dxa"/>
      </w:tblCellMar>
    </w:tblPr>
  </w:style>
  <w:style w:type="table" w:customStyle="1" w:styleId="a0">
    <w:basedOn w:val="TableauNormal"/>
    <w:tblPr>
      <w:tblStyleRowBandSize w:val="1"/>
      <w:tblStyleColBandSize w:val="1"/>
      <w:tblCellMar>
        <w:top w:w="100" w:type="dxa"/>
        <w:left w:w="100" w:type="dxa"/>
        <w:bottom w:w="100" w:type="dxa"/>
        <w:right w:w="100" w:type="dxa"/>
      </w:tblCellMar>
    </w:tblPr>
  </w:style>
  <w:style w:type="table" w:customStyle="1" w:styleId="a1">
    <w:basedOn w:val="TableauNormal"/>
    <w:tblPr>
      <w:tblStyleRowBandSize w:val="1"/>
      <w:tblStyleColBandSize w:val="1"/>
      <w:tblCellMar>
        <w:top w:w="100" w:type="dxa"/>
        <w:left w:w="100" w:type="dxa"/>
        <w:bottom w:w="100" w:type="dxa"/>
        <w:right w:w="100" w:type="dxa"/>
      </w:tblCellMar>
    </w:tblPr>
  </w:style>
  <w:style w:type="table" w:customStyle="1" w:styleId="a2">
    <w:basedOn w:val="TableauNormal"/>
    <w:tblPr>
      <w:tblStyleRowBandSize w:val="1"/>
      <w:tblStyleColBandSize w:val="1"/>
      <w:tblCellMar>
        <w:top w:w="100" w:type="dxa"/>
        <w:left w:w="100" w:type="dxa"/>
        <w:bottom w:w="100" w:type="dxa"/>
        <w:right w:w="100" w:type="dxa"/>
      </w:tblCellMar>
    </w:tblPr>
  </w:style>
  <w:style w:type="table" w:customStyle="1" w:styleId="a3">
    <w:basedOn w:val="TableauNormal"/>
    <w:tblPr>
      <w:tblStyleRowBandSize w:val="1"/>
      <w:tblStyleColBandSize w:val="1"/>
      <w:tblCellMar>
        <w:top w:w="100" w:type="dxa"/>
        <w:left w:w="100" w:type="dxa"/>
        <w:bottom w:w="100" w:type="dxa"/>
        <w:right w:w="100" w:type="dxa"/>
      </w:tblCellMar>
    </w:tblPr>
  </w:style>
  <w:style w:type="table" w:customStyle="1" w:styleId="a4">
    <w:basedOn w:val="TableauNormal"/>
    <w:tblPr>
      <w:tblStyleRowBandSize w:val="1"/>
      <w:tblStyleColBandSize w:val="1"/>
      <w:tblCellMar>
        <w:top w:w="100" w:type="dxa"/>
        <w:left w:w="100" w:type="dxa"/>
        <w:bottom w:w="100" w:type="dxa"/>
        <w:right w:w="100" w:type="dxa"/>
      </w:tblCellMar>
    </w:tblPr>
  </w:style>
  <w:style w:type="table" w:customStyle="1" w:styleId="a5">
    <w:basedOn w:val="TableauNormal"/>
    <w:tblPr>
      <w:tblStyleRowBandSize w:val="1"/>
      <w:tblStyleColBandSize w:val="1"/>
      <w:tblCellMar>
        <w:top w:w="100" w:type="dxa"/>
        <w:left w:w="100" w:type="dxa"/>
        <w:bottom w:w="100" w:type="dxa"/>
        <w:right w:w="100" w:type="dxa"/>
      </w:tblCellMar>
    </w:tblPr>
  </w:style>
  <w:style w:type="table" w:customStyle="1" w:styleId="a6">
    <w:basedOn w:val="TableauNormal"/>
    <w:tblPr>
      <w:tblStyleRowBandSize w:val="1"/>
      <w:tblStyleColBandSize w:val="1"/>
      <w:tblCellMar>
        <w:top w:w="100" w:type="dxa"/>
        <w:left w:w="100" w:type="dxa"/>
        <w:bottom w:w="100" w:type="dxa"/>
        <w:right w:w="100" w:type="dxa"/>
      </w:tblCellMar>
    </w:tblPr>
  </w:style>
  <w:style w:type="table" w:customStyle="1" w:styleId="a7">
    <w:basedOn w:val="TableauNormal"/>
    <w:tblPr>
      <w:tblStyleRowBandSize w:val="1"/>
      <w:tblStyleColBandSize w:val="1"/>
      <w:tblCellMar>
        <w:top w:w="100" w:type="dxa"/>
        <w:left w:w="100" w:type="dxa"/>
        <w:bottom w:w="100" w:type="dxa"/>
        <w:right w:w="100" w:type="dxa"/>
      </w:tblCellMar>
    </w:tblPr>
  </w:style>
  <w:style w:type="table" w:customStyle="1" w:styleId="a8">
    <w:basedOn w:val="TableauNormal"/>
    <w:tblPr>
      <w:tblStyleRowBandSize w:val="1"/>
      <w:tblStyleColBandSize w:val="1"/>
      <w:tblCellMar>
        <w:top w:w="100" w:type="dxa"/>
        <w:left w:w="100" w:type="dxa"/>
        <w:bottom w:w="100" w:type="dxa"/>
        <w:right w:w="100" w:type="dxa"/>
      </w:tblCellMar>
    </w:tblPr>
  </w:style>
  <w:style w:type="table" w:customStyle="1" w:styleId="a9">
    <w:basedOn w:val="TableauNormal"/>
    <w:tblPr>
      <w:tblStyleRowBandSize w:val="1"/>
      <w:tblStyleColBandSize w:val="1"/>
      <w:tblCellMar>
        <w:top w:w="100" w:type="dxa"/>
        <w:left w:w="100" w:type="dxa"/>
        <w:bottom w:w="100" w:type="dxa"/>
        <w:right w:w="100" w:type="dxa"/>
      </w:tblCellMar>
    </w:tblPr>
  </w:style>
  <w:style w:type="table" w:customStyle="1" w:styleId="aa">
    <w:basedOn w:val="TableauNormal"/>
    <w:tblPr>
      <w:tblStyleRowBandSize w:val="1"/>
      <w:tblStyleColBandSize w:val="1"/>
      <w:tblCellMar>
        <w:top w:w="100" w:type="dxa"/>
        <w:left w:w="100" w:type="dxa"/>
        <w:bottom w:w="100" w:type="dxa"/>
        <w:right w:w="100" w:type="dxa"/>
      </w:tblCellMar>
    </w:tblPr>
  </w:style>
  <w:style w:type="table" w:customStyle="1" w:styleId="ab">
    <w:basedOn w:val="TableauNormal"/>
    <w:tblPr>
      <w:tblStyleRowBandSize w:val="1"/>
      <w:tblStyleColBandSize w:val="1"/>
      <w:tblCellMar>
        <w:top w:w="100" w:type="dxa"/>
        <w:left w:w="100" w:type="dxa"/>
        <w:bottom w:w="100" w:type="dxa"/>
        <w:right w:w="100" w:type="dxa"/>
      </w:tblCellMar>
    </w:tblPr>
  </w:style>
  <w:style w:type="paragraph" w:styleId="Bibliographie">
    <w:name w:val="Bibliography"/>
    <w:basedOn w:val="Normal"/>
    <w:next w:val="Normal"/>
    <w:uiPriority w:val="37"/>
    <w:unhideWhenUsed/>
    <w:rsid w:val="00917238"/>
    <w:pPr>
      <w:tabs>
        <w:tab w:val="left" w:pos="384"/>
      </w:tabs>
      <w:spacing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38291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GRDN17YS2RJtqfxRlrlwe5m+A==">CgMxLjAaHwoBMBIaChgICVIUChJ0YWJsZS5uaHNpb2JyNGEycmQyCGguZ2pkZ3hzMgloLjMwajB6bGwyCWguMWZvYjl0ZTIJaC4zem55c2g3MgloLjJldDkycDAyCGgudHlqY3d0MgloLjNkeTZ2a20yCWguMXQzaDVzZjIJaC40ZDM0b2c4MgloLjJzOGV5bzEyCWguMTdkcDh2dTgAciExRkZkOGhoaVcwdXJ3Ny1YSVhhRmZlc0tlVXhISVc5aEg=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8866</Words>
  <Characters>50537</Characters>
  <Application>Microsoft Office Word</Application>
  <DocSecurity>0</DocSecurity>
  <Lines>421</Lines>
  <Paragraphs>118</Paragraphs>
  <ScaleCrop>false</ScaleCrop>
  <HeadingPairs>
    <vt:vector size="4" baseType="variant">
      <vt:variant>
        <vt:lpstr>Titre</vt:lpstr>
      </vt:variant>
      <vt:variant>
        <vt:i4>1</vt:i4>
      </vt:variant>
      <vt:variant>
        <vt:lpstr>Titres</vt:lpstr>
      </vt:variant>
      <vt:variant>
        <vt:i4>6</vt:i4>
      </vt:variant>
    </vt:vector>
  </HeadingPairs>
  <TitlesOfParts>
    <vt:vector size="7" baseType="lpstr">
      <vt:lpstr/>
      <vt:lpstr>    Exploratory Data Analysis</vt:lpstr>
      <vt:lpstr>    Normative Modeling</vt:lpstr>
      <vt:lpstr>        Model distribution and covariates</vt:lpstr>
      <vt:lpstr>        Model performance</vt:lpstr>
      <vt:lpstr>        Model Sensitivity</vt:lpstr>
      <vt:lpstr>    References</vt:lpstr>
    </vt:vector>
  </TitlesOfParts>
  <Company/>
  <LinksUpToDate>false</LinksUpToDate>
  <CharactersWithSpaces>59285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Judie</dc:creator>
  <cp:lastModifiedBy>Judy Tabbal</cp:lastModifiedBy>
  <cp:revision>3</cp:revision>
  <dcterms:created xsi:type="dcterms:W3CDTF">2025-01-14T16:09:00Z</dcterms:created>
  <dcterms:modified xsi:type="dcterms:W3CDTF">2025-01-14T16:09:00Z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id="693GydLh"/&gt;&lt;style id="http://www.zotero.org/styles/nature" hasBibliography="1" bibliographyStyleHasBeenSet="1"/&gt;&lt;prefs&gt;&lt;pref name="fieldType" value="Field"/&gt;&lt;/prefs&gt;&lt;/data&gt;</vt:lpwstr>
  </property>
</Properties>
</file>