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BEE334" w14:textId="77777777" w:rsidR="00174B07" w:rsidRDefault="00174B07" w:rsidP="00174B07">
      <w:pPr>
        <w:tabs>
          <w:tab w:val="left" w:pos="1573"/>
        </w:tabs>
        <w:contextualSpacing/>
        <w:rPr>
          <w:b/>
          <w:bCs/>
          <w:lang w:val="en-GB"/>
        </w:rPr>
      </w:pPr>
      <w:r w:rsidRPr="5242057D">
        <w:rPr>
          <w:b/>
          <w:bCs/>
          <w:lang w:val="en-GB"/>
        </w:rPr>
        <w:t>Supplementary Figures</w:t>
      </w:r>
    </w:p>
    <w:p w14:paraId="50189DED" w14:textId="77777777" w:rsidR="00933DAC" w:rsidRDefault="00933DAC" w:rsidP="00174B07">
      <w:pPr>
        <w:tabs>
          <w:tab w:val="left" w:pos="1573"/>
        </w:tabs>
        <w:contextualSpacing/>
        <w:rPr>
          <w:b/>
          <w:bCs/>
          <w:lang w:val="en-GB"/>
        </w:rPr>
      </w:pPr>
    </w:p>
    <w:p w14:paraId="6C273CB3" w14:textId="77777777" w:rsidR="00933DAC" w:rsidRDefault="00933DAC" w:rsidP="00933DAC">
      <w:pPr>
        <w:jc w:val="center"/>
        <w:rPr>
          <w:rFonts w:ascii="Calibri" w:eastAsia="Times New Roman" w:hAnsi="Calibri" w:cs="Calibri"/>
          <w:b/>
          <w:bCs/>
          <w:sz w:val="28"/>
          <w:szCs w:val="28"/>
          <w:lang w:val="en-GB"/>
        </w:rPr>
      </w:pPr>
      <w:r w:rsidRPr="48FBE3BC">
        <w:rPr>
          <w:rFonts w:ascii="Calibri" w:eastAsia="Times New Roman" w:hAnsi="Calibri" w:cs="Calibri"/>
          <w:b/>
          <w:bCs/>
          <w:sz w:val="28"/>
          <w:szCs w:val="28"/>
          <w:lang w:val="en-GB"/>
        </w:rPr>
        <w:t xml:space="preserve">An approach to characterize mechanisms of action of anti-amyloidogenic compounds </w:t>
      </w:r>
      <w:r w:rsidRPr="48FBE3BC">
        <w:rPr>
          <w:rFonts w:ascii="Calibri" w:eastAsia="Times New Roman" w:hAnsi="Calibri" w:cs="Calibri"/>
          <w:b/>
          <w:bCs/>
          <w:i/>
          <w:iCs/>
          <w:sz w:val="28"/>
          <w:szCs w:val="28"/>
          <w:lang w:val="en-GB"/>
        </w:rPr>
        <w:t>in vitro</w:t>
      </w:r>
      <w:r w:rsidRPr="48FBE3BC">
        <w:rPr>
          <w:rFonts w:ascii="Calibri" w:eastAsia="Times New Roman" w:hAnsi="Calibri" w:cs="Calibri"/>
          <w:b/>
          <w:bCs/>
          <w:sz w:val="28"/>
          <w:szCs w:val="28"/>
          <w:lang w:val="en-GB"/>
        </w:rPr>
        <w:t xml:space="preserve"> and </w:t>
      </w:r>
      <w:r w:rsidRPr="48FBE3BC">
        <w:rPr>
          <w:rFonts w:ascii="Calibri" w:eastAsia="Times New Roman" w:hAnsi="Calibri" w:cs="Calibri"/>
          <w:b/>
          <w:bCs/>
          <w:i/>
          <w:iCs/>
          <w:sz w:val="28"/>
          <w:szCs w:val="28"/>
          <w:lang w:val="en-GB"/>
        </w:rPr>
        <w:t>in situ</w:t>
      </w:r>
    </w:p>
    <w:p w14:paraId="73B81326" w14:textId="77777777" w:rsidR="00933DAC" w:rsidRDefault="00933DAC" w:rsidP="00174B07">
      <w:pPr>
        <w:tabs>
          <w:tab w:val="left" w:pos="1573"/>
        </w:tabs>
        <w:contextualSpacing/>
        <w:rPr>
          <w:b/>
          <w:bCs/>
          <w:lang w:val="en-GB"/>
        </w:rPr>
      </w:pPr>
    </w:p>
    <w:p w14:paraId="26AF0971" w14:textId="77777777" w:rsidR="00933DAC" w:rsidRDefault="00933DAC" w:rsidP="00174B07">
      <w:pPr>
        <w:tabs>
          <w:tab w:val="left" w:pos="1573"/>
        </w:tabs>
        <w:contextualSpacing/>
        <w:rPr>
          <w:b/>
          <w:bCs/>
          <w:lang w:val="en-GB"/>
        </w:rPr>
      </w:pPr>
    </w:p>
    <w:p w14:paraId="78CD8BC7" w14:textId="77777777" w:rsidR="00174B07" w:rsidRPr="00933DAC" w:rsidRDefault="00174B07" w:rsidP="00174B07">
      <w:pPr>
        <w:tabs>
          <w:tab w:val="left" w:pos="468"/>
        </w:tabs>
        <w:contextualSpacing/>
        <w:rPr>
          <w:rFonts w:ascii="Calibri" w:hAnsi="Calibri" w:cs="Calibri"/>
          <w:b/>
          <w:bCs/>
          <w:lang w:val="en-US"/>
        </w:rPr>
      </w:pPr>
    </w:p>
    <w:p w14:paraId="21DB7252" w14:textId="77777777" w:rsidR="00174B07" w:rsidRPr="00933DAC" w:rsidRDefault="00174B07" w:rsidP="00174B07">
      <w:pPr>
        <w:tabs>
          <w:tab w:val="left" w:pos="468"/>
        </w:tabs>
        <w:contextualSpacing/>
        <w:rPr>
          <w:rFonts w:ascii="Calibri" w:hAnsi="Calibri" w:cs="Calibri"/>
          <w:b/>
          <w:bCs/>
          <w:lang w:val="en-US"/>
        </w:rPr>
      </w:pPr>
    </w:p>
    <w:p w14:paraId="266E9A3C" w14:textId="00784AD5" w:rsidR="00174B07" w:rsidRDefault="00174B07" w:rsidP="00174B07">
      <w:pPr>
        <w:tabs>
          <w:tab w:val="left" w:pos="468"/>
        </w:tabs>
        <w:contextualSpacing/>
        <w:rPr>
          <w:rFonts w:ascii="Calibri" w:hAnsi="Calibri" w:cs="Calibri"/>
          <w:b/>
          <w:bCs/>
          <w:lang w:val="en-GB"/>
        </w:rPr>
      </w:pPr>
      <w:r>
        <w:rPr>
          <w:rFonts w:ascii="Calibri" w:hAnsi="Calibri" w:cs="Calibri"/>
          <w:b/>
          <w:bCs/>
          <w:noProof/>
          <w:lang w:val="en-GB"/>
        </w:rPr>
        <w:drawing>
          <wp:inline distT="0" distB="0" distL="0" distR="0" wp14:anchorId="21598B92" wp14:editId="034C1CE3">
            <wp:extent cx="5760720" cy="5405755"/>
            <wp:effectExtent l="0" t="0" r="5080" b="4445"/>
            <wp:docPr id="858539378" name="Picture 1" descr="A diagram of a dna molecu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539378" name="Picture 1" descr="A diagram of a dna molecule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0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FC270" w14:textId="77777777" w:rsidR="00174B07" w:rsidRDefault="00174B07" w:rsidP="00174B07">
      <w:pPr>
        <w:tabs>
          <w:tab w:val="left" w:pos="468"/>
        </w:tabs>
        <w:contextualSpacing/>
        <w:rPr>
          <w:rFonts w:ascii="Calibri" w:hAnsi="Calibri" w:cs="Calibri"/>
          <w:lang w:val="en-GB"/>
        </w:rPr>
      </w:pPr>
      <w:r w:rsidRPr="490F9893">
        <w:rPr>
          <w:rFonts w:ascii="Calibri" w:hAnsi="Calibri" w:cs="Calibri"/>
          <w:b/>
          <w:bCs/>
          <w:lang w:val="en-GB"/>
        </w:rPr>
        <w:t xml:space="preserve">Supplementary figure 1. </w:t>
      </w:r>
      <w:r w:rsidRPr="328E35CF">
        <w:rPr>
          <w:rFonts w:ascii="Calibri" w:hAnsi="Calibri" w:cs="Calibri"/>
          <w:b/>
          <w:bCs/>
          <w:i/>
          <w:iCs/>
          <w:lang w:val="en-GB"/>
        </w:rPr>
        <w:t>In silico</w:t>
      </w:r>
      <w:r w:rsidRPr="0EB9B2B9">
        <w:rPr>
          <w:rFonts w:ascii="Calibri" w:hAnsi="Calibri" w:cs="Calibri"/>
          <w:b/>
          <w:bCs/>
          <w:lang w:val="en-GB"/>
        </w:rPr>
        <w:t xml:space="preserve"> </w:t>
      </w:r>
      <w:proofErr w:type="spellStart"/>
      <w:r w:rsidRPr="0EB9B2B9">
        <w:rPr>
          <w:rFonts w:ascii="Calibri" w:hAnsi="Calibri" w:cs="Calibri"/>
          <w:b/>
          <w:bCs/>
          <w:lang w:val="en-GB"/>
        </w:rPr>
        <w:t>LiP</w:t>
      </w:r>
      <w:proofErr w:type="spellEnd"/>
      <w:r w:rsidRPr="0EB9B2B9">
        <w:rPr>
          <w:rFonts w:ascii="Calibri" w:hAnsi="Calibri" w:cs="Calibri"/>
          <w:b/>
          <w:bCs/>
          <w:lang w:val="en-GB"/>
        </w:rPr>
        <w:t>-MS of FBP-</w:t>
      </w:r>
      <w:proofErr w:type="spellStart"/>
      <w:r w:rsidRPr="0EB9B2B9">
        <w:rPr>
          <w:rFonts w:ascii="Calibri" w:hAnsi="Calibri" w:cs="Calibri"/>
          <w:b/>
          <w:bCs/>
          <w:lang w:val="en-GB"/>
        </w:rPr>
        <w:t>ptsI</w:t>
      </w:r>
      <w:proofErr w:type="spellEnd"/>
      <w:r w:rsidRPr="0EB9B2B9">
        <w:rPr>
          <w:rFonts w:ascii="Calibri" w:hAnsi="Calibri" w:cs="Calibri"/>
          <w:b/>
          <w:bCs/>
          <w:lang w:val="en-GB"/>
        </w:rPr>
        <w:t xml:space="preserve"> binding.</w:t>
      </w:r>
      <w:r w:rsidRPr="0EB9B2B9">
        <w:rPr>
          <w:rFonts w:ascii="Calibri" w:hAnsi="Calibri" w:cs="Calibri"/>
          <w:lang w:val="en-GB"/>
        </w:rPr>
        <w:t xml:space="preserve"> To assess whether the achieved resolution </w:t>
      </w:r>
      <w:r w:rsidRPr="328E35CF">
        <w:rPr>
          <w:rFonts w:ascii="Calibri" w:hAnsi="Calibri" w:cs="Calibri"/>
          <w:lang w:val="en-GB"/>
        </w:rPr>
        <w:t>of the amino acid centric analysis in FBP-</w:t>
      </w:r>
      <w:proofErr w:type="spellStart"/>
      <w:r w:rsidRPr="328E35CF">
        <w:rPr>
          <w:rFonts w:ascii="Calibri" w:hAnsi="Calibri" w:cs="Calibri"/>
          <w:lang w:val="en-GB"/>
        </w:rPr>
        <w:t>ptsI</w:t>
      </w:r>
      <w:proofErr w:type="spellEnd"/>
      <w:r w:rsidRPr="328E35CF">
        <w:rPr>
          <w:rFonts w:ascii="Calibri" w:hAnsi="Calibri" w:cs="Calibri"/>
          <w:lang w:val="en-GB"/>
        </w:rPr>
        <w:t xml:space="preserve"> binding was dependent on the specific peptides identified in this experiment, we performed</w:t>
      </w:r>
      <w:r w:rsidRPr="328E35CF" w:rsidDel="70FE9179">
        <w:rPr>
          <w:rFonts w:ascii="Calibri" w:hAnsi="Calibri" w:cs="Calibri"/>
          <w:lang w:val="en-GB"/>
        </w:rPr>
        <w:t xml:space="preserve"> an </w:t>
      </w:r>
      <w:proofErr w:type="gramStart"/>
      <w:r w:rsidRPr="328E35CF" w:rsidDel="70FE9179">
        <w:rPr>
          <w:rFonts w:ascii="Calibri" w:hAnsi="Calibri" w:cs="Calibri"/>
          <w:i/>
          <w:iCs/>
          <w:lang w:val="en-GB"/>
        </w:rPr>
        <w:t>in silico</w:t>
      </w:r>
      <w:proofErr w:type="gramEnd"/>
      <w:r w:rsidRPr="328E35CF" w:rsidDel="70FE9179">
        <w:rPr>
          <w:rFonts w:ascii="Calibri" w:hAnsi="Calibri" w:cs="Calibri"/>
          <w:lang w:val="en-GB"/>
        </w:rPr>
        <w:t xml:space="preserve"> LiP-MS experiment. </w:t>
      </w:r>
      <w:r w:rsidRPr="328E35CF">
        <w:rPr>
          <w:rFonts w:ascii="Calibri" w:hAnsi="Calibri" w:cs="Calibri"/>
          <w:lang w:val="en-GB"/>
        </w:rPr>
        <w:t>We</w:t>
      </w:r>
      <w:r w:rsidRPr="328E35CF" w:rsidDel="030E6F46">
        <w:rPr>
          <w:rFonts w:ascii="Calibri" w:hAnsi="Calibri" w:cs="Calibri"/>
          <w:lang w:val="en-GB"/>
        </w:rPr>
        <w:t xml:space="preserve"> </w:t>
      </w:r>
      <w:r w:rsidRPr="328E35CF">
        <w:rPr>
          <w:rFonts w:ascii="Calibri" w:hAnsi="Calibri" w:cs="Calibri"/>
          <w:lang w:val="en-GB"/>
        </w:rPr>
        <w:t xml:space="preserve">computed all potentially detectable peptides of </w:t>
      </w:r>
      <w:proofErr w:type="spellStart"/>
      <w:r w:rsidRPr="328E35CF">
        <w:rPr>
          <w:rFonts w:ascii="Calibri" w:hAnsi="Calibri" w:cs="Calibri"/>
          <w:lang w:val="en-GB"/>
        </w:rPr>
        <w:t>ptsI</w:t>
      </w:r>
      <w:proofErr w:type="spellEnd"/>
      <w:r w:rsidRPr="328E35CF">
        <w:rPr>
          <w:rFonts w:ascii="Calibri" w:hAnsi="Calibri" w:cs="Calibri"/>
          <w:lang w:val="en-GB"/>
        </w:rPr>
        <w:t xml:space="preserve"> upon proteinase K and trypsin digestion, with a minimal length of six amino acids </w:t>
      </w:r>
      <w:r>
        <w:rPr>
          <w:rFonts w:ascii="Calibri" w:hAnsi="Calibri" w:cs="Calibri"/>
          <w:lang w:val="en-GB"/>
        </w:rPr>
        <w:t xml:space="preserve">and </w:t>
      </w:r>
      <w:r w:rsidRPr="328E35CF">
        <w:rPr>
          <w:rFonts w:ascii="Calibri" w:hAnsi="Calibri" w:cs="Calibri"/>
          <w:lang w:val="en-GB"/>
        </w:rPr>
        <w:t>maximally one missed trypsin cleavage. Next, we defined the FBP binding pocket to include all atoms in a sphere of 10 Å radius around PEP. If a computed LiP peptide</w:t>
      </w:r>
      <w:r w:rsidRPr="328E35CF" w:rsidDel="030E6F46">
        <w:rPr>
          <w:rFonts w:ascii="Calibri" w:hAnsi="Calibri" w:cs="Calibri"/>
          <w:lang w:val="en-GB"/>
        </w:rPr>
        <w:t xml:space="preserve"> </w:t>
      </w:r>
      <w:r w:rsidRPr="328E35CF">
        <w:rPr>
          <w:rFonts w:ascii="Calibri" w:hAnsi="Calibri" w:cs="Calibri"/>
          <w:lang w:val="en-GB"/>
        </w:rPr>
        <w:t xml:space="preserve">mapped to the binding pocket, we assigned it </w:t>
      </w:r>
      <w:r w:rsidRPr="00C80409">
        <w:rPr>
          <w:rFonts w:ascii="Calibri" w:hAnsi="Calibri" w:cs="Calibri"/>
          <w:lang w:val="en-US"/>
        </w:rPr>
        <w:t>a score of</w:t>
      </w:r>
      <w:r>
        <w:rPr>
          <w:rFonts w:ascii="Calibri" w:hAnsi="Calibri" w:cs="Calibri"/>
          <w:lang w:val="en-US"/>
        </w:rPr>
        <w:t xml:space="preserve"> </w:t>
      </w:r>
      <w:r w:rsidRPr="328E35CF">
        <w:rPr>
          <w:rFonts w:ascii="Calibri" w:hAnsi="Calibri" w:cs="Calibri"/>
          <w:lang w:val="en-GB"/>
        </w:rPr>
        <w:t>1, otherwise a score of 0</w:t>
      </w:r>
      <w:r>
        <w:rPr>
          <w:rFonts w:ascii="Calibri" w:hAnsi="Calibri" w:cs="Calibri"/>
          <w:lang w:val="en-GB"/>
        </w:rPr>
        <w:t xml:space="preserve">. Peptides with a score of 1 </w:t>
      </w:r>
      <w:r w:rsidRPr="00C80409">
        <w:rPr>
          <w:rFonts w:ascii="Calibri" w:hAnsi="Calibri" w:cs="Calibri"/>
          <w:lang w:val="en-GB"/>
        </w:rPr>
        <w:t>ar</w:t>
      </w:r>
      <w:r>
        <w:rPr>
          <w:rFonts w:ascii="Calibri" w:hAnsi="Calibri" w:cs="Calibri"/>
          <w:lang w:val="en-GB"/>
        </w:rPr>
        <w:t>e expected to change in</w:t>
      </w:r>
      <w:r w:rsidRPr="328E35CF">
        <w:rPr>
          <w:rFonts w:ascii="Calibri" w:hAnsi="Calibri" w:cs="Calibri"/>
          <w:lang w:val="en-GB"/>
        </w:rPr>
        <w:t xml:space="preserve"> a LiP-MS experimen</w:t>
      </w:r>
      <w:r>
        <w:rPr>
          <w:rFonts w:ascii="Calibri" w:hAnsi="Calibri" w:cs="Calibri"/>
          <w:lang w:val="en-GB"/>
        </w:rPr>
        <w:t xml:space="preserve">t. </w:t>
      </w:r>
      <w:r w:rsidRPr="328E35CF">
        <w:rPr>
          <w:rFonts w:ascii="Calibri" w:hAnsi="Calibri" w:cs="Calibri"/>
          <w:lang w:val="en-GB"/>
        </w:rPr>
        <w:t>In an in silico amino acid-level analysis, we then averaged the assigned values per amino acid position</w:t>
      </w:r>
      <w:r>
        <w:rPr>
          <w:rFonts w:ascii="Calibri" w:hAnsi="Calibri" w:cs="Calibri"/>
          <w:lang w:val="en-GB"/>
        </w:rPr>
        <w:t xml:space="preserve">. To test </w:t>
      </w:r>
      <w:r w:rsidRPr="328E35CF">
        <w:rPr>
          <w:rFonts w:ascii="Calibri" w:hAnsi="Calibri" w:cs="Calibri"/>
          <w:lang w:val="en-GB"/>
        </w:rPr>
        <w:t>the sensitivity of the peptide-</w:t>
      </w:r>
      <w:r w:rsidRPr="328E35CF">
        <w:rPr>
          <w:rFonts w:ascii="Calibri" w:hAnsi="Calibri" w:cs="Calibri"/>
          <w:lang w:val="en-GB"/>
        </w:rPr>
        <w:lastRenderedPageBreak/>
        <w:t>level and amino acid-level approaches to false positives</w:t>
      </w:r>
      <w:r>
        <w:rPr>
          <w:rFonts w:ascii="Calibri" w:hAnsi="Calibri" w:cs="Calibri"/>
          <w:lang w:val="en-GB"/>
        </w:rPr>
        <w:t xml:space="preserve">, we assigned 5 % </w:t>
      </w:r>
      <w:r w:rsidRPr="328E35CF">
        <w:rPr>
          <w:rFonts w:ascii="Calibri" w:hAnsi="Calibri" w:cs="Calibri"/>
          <w:lang w:val="en-GB"/>
        </w:rPr>
        <w:t>of the computed LiP peptides, picked randomly, as significantly changing (score of 1</w:t>
      </w:r>
      <w:r>
        <w:rPr>
          <w:rFonts w:ascii="Calibri" w:hAnsi="Calibri" w:cs="Calibri"/>
          <w:lang w:val="en-GB"/>
        </w:rPr>
        <w:t xml:space="preserve">). </w:t>
      </w:r>
      <w:r w:rsidRPr="328E35CF">
        <w:rPr>
          <w:rFonts w:ascii="Calibri" w:hAnsi="Calibri" w:cs="Calibri"/>
          <w:b/>
          <w:bCs/>
          <w:lang w:val="en-GB"/>
        </w:rPr>
        <w:t>A</w:t>
      </w:r>
      <w:r w:rsidRPr="328E35CF">
        <w:rPr>
          <w:rFonts w:ascii="Calibri" w:hAnsi="Calibri" w:cs="Calibri"/>
          <w:lang w:val="en-GB"/>
        </w:rPr>
        <w:t xml:space="preserve"> In silico amino acid centric fingerprint (top), binding pocket (middle) and peptide centric fingerprint (bottom) aligned along the </w:t>
      </w:r>
      <w:proofErr w:type="spellStart"/>
      <w:r w:rsidRPr="328E35CF">
        <w:rPr>
          <w:rFonts w:ascii="Calibri" w:hAnsi="Calibri" w:cs="Calibri"/>
          <w:lang w:val="en-GB"/>
        </w:rPr>
        <w:t>ptsI</w:t>
      </w:r>
      <w:proofErr w:type="spellEnd"/>
      <w:r w:rsidRPr="328E35CF">
        <w:rPr>
          <w:rFonts w:ascii="Calibri" w:hAnsi="Calibri" w:cs="Calibri"/>
          <w:lang w:val="en-GB"/>
        </w:rPr>
        <w:t xml:space="preserve"> sequence.</w:t>
      </w:r>
      <w:r>
        <w:rPr>
          <w:rFonts w:ascii="Calibri" w:hAnsi="Calibri" w:cs="Calibri"/>
          <w:lang w:val="en-GB"/>
        </w:rPr>
        <w:t xml:space="preserve"> </w:t>
      </w:r>
      <w:r w:rsidRPr="00C80409">
        <w:rPr>
          <w:rFonts w:ascii="Calibri" w:hAnsi="Calibri" w:cs="Calibri"/>
          <w:b/>
          <w:bCs/>
          <w:lang w:val="en-GB"/>
        </w:rPr>
        <w:t xml:space="preserve">B </w:t>
      </w:r>
      <w:r w:rsidRPr="00C80409">
        <w:rPr>
          <w:rFonts w:ascii="Calibri" w:hAnsi="Calibri" w:cs="Calibri"/>
          <w:i/>
          <w:iCs/>
          <w:lang w:val="en-GB"/>
        </w:rPr>
        <w:t>in silico</w:t>
      </w:r>
      <w:r w:rsidRPr="328E35CF">
        <w:rPr>
          <w:rFonts w:ascii="Calibri" w:hAnsi="Calibri" w:cs="Calibri"/>
          <w:lang w:val="en-GB"/>
        </w:rPr>
        <w:t xml:space="preserve"> peptide centric fingerprint mapped on the </w:t>
      </w:r>
      <w:proofErr w:type="spellStart"/>
      <w:r w:rsidRPr="328E35CF">
        <w:rPr>
          <w:rFonts w:ascii="Calibri" w:hAnsi="Calibri" w:cs="Calibri"/>
          <w:lang w:val="en-GB"/>
        </w:rPr>
        <w:t>ptsI</w:t>
      </w:r>
      <w:proofErr w:type="spellEnd"/>
      <w:r w:rsidRPr="328E35CF">
        <w:rPr>
          <w:rFonts w:ascii="Calibri" w:hAnsi="Calibri" w:cs="Calibri"/>
          <w:lang w:val="en-GB"/>
        </w:rPr>
        <w:t xml:space="preserve"> structure (PDB: 2xz7).</w:t>
      </w:r>
      <w:r>
        <w:rPr>
          <w:rFonts w:ascii="Calibri" w:hAnsi="Calibri" w:cs="Calibri"/>
          <w:lang w:val="en-GB"/>
        </w:rPr>
        <w:t xml:space="preserve"> </w:t>
      </w:r>
      <w:r w:rsidRPr="00C80409">
        <w:rPr>
          <w:rFonts w:ascii="Calibri" w:hAnsi="Calibri" w:cs="Calibri"/>
          <w:b/>
          <w:bCs/>
          <w:lang w:val="en-GB"/>
        </w:rPr>
        <w:t>C</w:t>
      </w:r>
      <w:r>
        <w:rPr>
          <w:rFonts w:ascii="Calibri" w:hAnsi="Calibri" w:cs="Calibri"/>
          <w:b/>
          <w:bCs/>
          <w:lang w:val="en-GB"/>
        </w:rPr>
        <w:t xml:space="preserve"> </w:t>
      </w:r>
      <w:r w:rsidRPr="00C80409">
        <w:rPr>
          <w:rFonts w:ascii="Calibri" w:hAnsi="Calibri" w:cs="Calibri"/>
          <w:i/>
          <w:iCs/>
          <w:lang w:val="en-GB"/>
        </w:rPr>
        <w:t>in silico</w:t>
      </w:r>
      <w:r w:rsidRPr="328E35CF">
        <w:rPr>
          <w:rFonts w:ascii="Calibri" w:hAnsi="Calibri" w:cs="Calibri"/>
          <w:lang w:val="en-GB"/>
        </w:rPr>
        <w:t xml:space="preserve"> amino acid centric fingerprint mapped on the </w:t>
      </w:r>
      <w:proofErr w:type="spellStart"/>
      <w:r w:rsidRPr="328E35CF">
        <w:rPr>
          <w:rFonts w:ascii="Calibri" w:hAnsi="Calibri" w:cs="Calibri"/>
          <w:lang w:val="en-GB"/>
        </w:rPr>
        <w:t>ptsI</w:t>
      </w:r>
      <w:proofErr w:type="spellEnd"/>
      <w:r w:rsidRPr="328E35CF">
        <w:rPr>
          <w:rFonts w:ascii="Calibri" w:hAnsi="Calibri" w:cs="Calibri"/>
          <w:lang w:val="en-GB"/>
        </w:rPr>
        <w:t xml:space="preserve"> structure (PDB: 2xz7).</w:t>
      </w:r>
      <w:r>
        <w:rPr>
          <w:rFonts w:ascii="Calibri" w:hAnsi="Calibri" w:cs="Calibri"/>
          <w:lang w:val="en-GB"/>
        </w:rPr>
        <w:t xml:space="preserve"> </w:t>
      </w:r>
      <w:r w:rsidRPr="00C80409">
        <w:rPr>
          <w:rFonts w:ascii="Calibri" w:hAnsi="Calibri" w:cs="Calibri"/>
          <w:b/>
          <w:bCs/>
          <w:lang w:val="en-GB"/>
        </w:rPr>
        <w:t>D</w:t>
      </w:r>
      <w:r>
        <w:rPr>
          <w:rFonts w:ascii="Calibri" w:hAnsi="Calibri" w:cs="Calibri"/>
          <w:b/>
          <w:bCs/>
          <w:lang w:val="en-GB"/>
        </w:rPr>
        <w:t xml:space="preserve"> </w:t>
      </w:r>
      <w:r w:rsidRPr="00C80409">
        <w:rPr>
          <w:rFonts w:ascii="Calibri" w:hAnsi="Calibri" w:cs="Calibri"/>
          <w:lang w:val="en-GB"/>
        </w:rPr>
        <w:t>Control</w:t>
      </w:r>
      <w:r w:rsidRPr="00C80409">
        <w:rPr>
          <w:rFonts w:ascii="Calibri" w:hAnsi="Calibri" w:cs="Calibri"/>
          <w:i/>
          <w:iCs/>
          <w:lang w:val="en-GB"/>
        </w:rPr>
        <w:t xml:space="preserve"> in silico</w:t>
      </w:r>
      <w:r w:rsidRPr="328E35CF">
        <w:rPr>
          <w:rFonts w:ascii="Calibri" w:hAnsi="Calibri" w:cs="Calibri"/>
          <w:lang w:val="en-GB"/>
        </w:rPr>
        <w:t xml:space="preserve"> amino acid centric fingerprint (top)and peptide centric fingerprint (bottom) aligned along the </w:t>
      </w:r>
      <w:proofErr w:type="spellStart"/>
      <w:r w:rsidRPr="328E35CF">
        <w:rPr>
          <w:rFonts w:ascii="Calibri" w:hAnsi="Calibri" w:cs="Calibri"/>
          <w:lang w:val="en-GB"/>
        </w:rPr>
        <w:t>ptsI</w:t>
      </w:r>
      <w:proofErr w:type="spellEnd"/>
      <w:r w:rsidRPr="328E35CF">
        <w:rPr>
          <w:rFonts w:ascii="Calibri" w:hAnsi="Calibri" w:cs="Calibri"/>
          <w:lang w:val="en-GB"/>
        </w:rPr>
        <w:t xml:space="preserve"> sequence, using random peptides (5% of total peptides) assigned as significantly changing. Binding pocket defined as in A.</w:t>
      </w:r>
    </w:p>
    <w:p w14:paraId="6973504D" w14:textId="77777777" w:rsidR="00174B07" w:rsidRDefault="00174B07" w:rsidP="00174B07">
      <w:pPr>
        <w:tabs>
          <w:tab w:val="left" w:pos="468"/>
        </w:tabs>
        <w:contextualSpacing/>
        <w:rPr>
          <w:rFonts w:ascii="Calibri" w:hAnsi="Calibri" w:cs="Calibri"/>
          <w:lang w:val="en-GB"/>
        </w:rPr>
      </w:pPr>
    </w:p>
    <w:p w14:paraId="07DC7F5B" w14:textId="77777777" w:rsidR="00174B07" w:rsidRDefault="00174B07" w:rsidP="00174B07">
      <w:pPr>
        <w:tabs>
          <w:tab w:val="left" w:pos="468"/>
        </w:tabs>
        <w:contextualSpacing/>
        <w:rPr>
          <w:rFonts w:ascii="Calibri" w:hAnsi="Calibri" w:cs="Calibri"/>
          <w:lang w:val="en-GB"/>
        </w:rPr>
      </w:pPr>
    </w:p>
    <w:p w14:paraId="310E7052" w14:textId="77777777" w:rsidR="00174B07" w:rsidRDefault="00174B07" w:rsidP="00174B07">
      <w:pPr>
        <w:tabs>
          <w:tab w:val="left" w:pos="468"/>
        </w:tabs>
        <w:contextualSpacing/>
        <w:rPr>
          <w:rFonts w:ascii="Calibri" w:hAnsi="Calibri" w:cs="Calibri"/>
          <w:lang w:val="en-GB"/>
        </w:rPr>
      </w:pPr>
      <w:r>
        <w:rPr>
          <w:rFonts w:ascii="Calibri" w:hAnsi="Calibri" w:cs="Calibri"/>
          <w:noProof/>
          <w:lang w:val="en-GB"/>
        </w:rPr>
        <w:drawing>
          <wp:inline distT="0" distB="0" distL="0" distR="0" wp14:anchorId="19FCD076" wp14:editId="12D607DA">
            <wp:extent cx="5760720" cy="4817110"/>
            <wp:effectExtent l="0" t="0" r="5080" b="0"/>
            <wp:docPr id="1948662063" name="Picture 15" descr="A diagram of a dna mode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662063" name="Picture 15" descr="A diagram of a dna model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1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BE5A" w14:textId="77777777" w:rsidR="00174B07" w:rsidRDefault="00174B07" w:rsidP="00174B07">
      <w:pPr>
        <w:tabs>
          <w:tab w:val="left" w:pos="468"/>
        </w:tabs>
        <w:contextualSpacing/>
        <w:rPr>
          <w:rFonts w:ascii="Calibri" w:hAnsi="Calibri" w:cs="Calibri"/>
          <w:lang w:val="en-GB"/>
        </w:rPr>
      </w:pPr>
      <w:r w:rsidRPr="328E35CF">
        <w:rPr>
          <w:rFonts w:ascii="Calibri" w:hAnsi="Calibri" w:cs="Calibri"/>
          <w:b/>
          <w:bCs/>
          <w:lang w:val="en-GB"/>
        </w:rPr>
        <w:t>Supplementary figure 2. Vitamin D binding towards Vitamin D binding protein (GC).</w:t>
      </w:r>
      <w:r w:rsidRPr="328E35CF">
        <w:rPr>
          <w:rFonts w:ascii="Calibri" w:hAnsi="Calibri" w:cs="Calibri"/>
          <w:lang w:val="en-GB"/>
        </w:rPr>
        <w:t xml:space="preserve"> </w:t>
      </w:r>
      <w:r w:rsidRPr="328E35CF">
        <w:rPr>
          <w:rFonts w:ascii="Calibri" w:hAnsi="Calibri" w:cs="Calibri"/>
          <w:b/>
          <w:bCs/>
          <w:lang w:val="en-GB"/>
        </w:rPr>
        <w:t>A</w:t>
      </w:r>
      <w:r w:rsidRPr="328E35CF">
        <w:rPr>
          <w:rFonts w:ascii="Calibri" w:hAnsi="Calibri" w:cs="Calibri"/>
          <w:lang w:val="en-GB"/>
        </w:rPr>
        <w:t xml:space="preserve"> volcano plot comparing peptide abundances of peptides generated in Vitamin D bound and unbound GC. </w:t>
      </w:r>
      <w:r w:rsidRPr="328E35CF">
        <w:rPr>
          <w:rFonts w:ascii="Calibri" w:hAnsi="Calibri" w:cs="Calibri"/>
          <w:b/>
          <w:bCs/>
          <w:lang w:val="en-GB"/>
        </w:rPr>
        <w:t>B</w:t>
      </w:r>
      <w:r w:rsidRPr="328E35CF">
        <w:rPr>
          <w:rFonts w:ascii="Calibri" w:hAnsi="Calibri" w:cs="Calibri"/>
          <w:lang w:val="en-GB"/>
        </w:rPr>
        <w:t xml:space="preserve"> fingerprint of the classical LiP-MS data analysis pipeline. Significant regions in red, not significant in grey, not detected in yellow. </w:t>
      </w:r>
      <w:r w:rsidRPr="328E35CF">
        <w:rPr>
          <w:rFonts w:ascii="Calibri" w:hAnsi="Calibri" w:cs="Calibri"/>
          <w:b/>
          <w:bCs/>
          <w:lang w:val="en-GB"/>
        </w:rPr>
        <w:t>C</w:t>
      </w:r>
      <w:r w:rsidRPr="328E35CF">
        <w:rPr>
          <w:rFonts w:ascii="Calibri" w:hAnsi="Calibri" w:cs="Calibri"/>
          <w:lang w:val="en-GB"/>
        </w:rPr>
        <w:t xml:space="preserve"> fingerprint upon scoring changes per amino acid. </w:t>
      </w:r>
      <w:r w:rsidRPr="328E35CF">
        <w:rPr>
          <w:lang w:val="en-GB"/>
        </w:rPr>
        <w:t>The scale indicates the score per amino acid. The significance threshold of -log</w:t>
      </w:r>
      <w:r w:rsidRPr="328E35CF">
        <w:rPr>
          <w:vertAlign w:val="subscript"/>
          <w:lang w:val="en-GB"/>
        </w:rPr>
        <w:t>10</w:t>
      </w:r>
      <w:r w:rsidRPr="328E35CF">
        <w:rPr>
          <w:lang w:val="en-GB"/>
        </w:rPr>
        <w:t>(0.05) x log</w:t>
      </w:r>
      <w:r w:rsidRPr="328E35CF">
        <w:rPr>
          <w:vertAlign w:val="subscript"/>
          <w:lang w:val="en-GB"/>
        </w:rPr>
        <w:t>2</w:t>
      </w:r>
      <w:r w:rsidRPr="328E35CF">
        <w:rPr>
          <w:lang w:val="en-GB"/>
        </w:rPr>
        <w:t xml:space="preserve">(2) is shown in white, with red indicating higher scores. The more intense the red colour, the higher the score. Not significant in grey. Not detected in yellow. </w:t>
      </w:r>
      <w:r w:rsidRPr="328E35CF">
        <w:rPr>
          <w:b/>
          <w:bCs/>
          <w:lang w:val="en-GB"/>
        </w:rPr>
        <w:t>D</w:t>
      </w:r>
      <w:r w:rsidRPr="328E35CF">
        <w:rPr>
          <w:lang w:val="en-GB"/>
        </w:rPr>
        <w:t xml:space="preserve"> significant peptides mapped on the vitamin D binding protein structure (PDB: 1j78). Calcifediol in cyan. </w:t>
      </w:r>
      <w:r w:rsidRPr="328E35CF">
        <w:rPr>
          <w:b/>
          <w:bCs/>
          <w:lang w:val="en-GB"/>
        </w:rPr>
        <w:t>E</w:t>
      </w:r>
      <w:r w:rsidRPr="328E35CF">
        <w:rPr>
          <w:lang w:val="en-GB"/>
        </w:rPr>
        <w:t xml:space="preserve"> significant amino acids of amino acid centric analysis mapped on the vitamin D binding protein structure (PDB: 1j78). Calcifediol in cyan.</w:t>
      </w:r>
    </w:p>
    <w:p w14:paraId="684E3DE3" w14:textId="77777777" w:rsidR="00174B07" w:rsidRDefault="00174B07" w:rsidP="00174B07">
      <w:pPr>
        <w:tabs>
          <w:tab w:val="left" w:pos="468"/>
        </w:tabs>
        <w:contextualSpacing/>
        <w:rPr>
          <w:rFonts w:ascii="Calibri" w:hAnsi="Calibri" w:cs="Calibri"/>
          <w:lang w:val="en-GB"/>
        </w:rPr>
      </w:pPr>
      <w:r>
        <w:rPr>
          <w:rFonts w:ascii="Calibri" w:hAnsi="Calibri" w:cs="Calibri"/>
          <w:noProof/>
          <w:lang w:val="en-GB"/>
        </w:rPr>
        <w:lastRenderedPageBreak/>
        <w:drawing>
          <wp:inline distT="0" distB="0" distL="0" distR="0" wp14:anchorId="37F7FD87" wp14:editId="7CBA18B1">
            <wp:extent cx="5760720" cy="4675505"/>
            <wp:effectExtent l="0" t="0" r="5080" b="0"/>
            <wp:docPr id="35307761" name="Picture 3" descr="A diagram of a dna mode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07761" name="Picture 3" descr="A diagram of a dna model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7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91A57" w14:textId="77777777" w:rsidR="00174B07" w:rsidRDefault="00174B07" w:rsidP="00174B07">
      <w:pPr>
        <w:tabs>
          <w:tab w:val="left" w:pos="468"/>
        </w:tabs>
        <w:contextualSpacing/>
        <w:rPr>
          <w:rFonts w:ascii="Calibri" w:hAnsi="Calibri" w:cs="Calibri"/>
          <w:lang w:val="en-GB"/>
        </w:rPr>
      </w:pPr>
      <w:r w:rsidRPr="328E35CF">
        <w:rPr>
          <w:rFonts w:ascii="Calibri" w:hAnsi="Calibri" w:cs="Calibri"/>
          <w:b/>
          <w:bCs/>
          <w:lang w:val="en-GB"/>
        </w:rPr>
        <w:t xml:space="preserve">Supplementary figure 3. </w:t>
      </w:r>
      <w:r w:rsidRPr="328E35CF">
        <w:rPr>
          <w:b/>
          <w:bCs/>
          <w:lang w:val="en-GB"/>
        </w:rPr>
        <w:t>Fructose bisphosphate</w:t>
      </w:r>
      <w:r w:rsidRPr="328E35CF">
        <w:rPr>
          <w:rFonts w:ascii="Calibri" w:hAnsi="Calibri" w:cs="Calibri"/>
          <w:b/>
          <w:bCs/>
          <w:lang w:val="en-GB"/>
        </w:rPr>
        <w:t xml:space="preserve"> binding towards </w:t>
      </w:r>
      <w:r w:rsidRPr="328E35CF">
        <w:rPr>
          <w:b/>
          <w:bCs/>
          <w:lang w:val="en-GB"/>
        </w:rPr>
        <w:t>Fructose-bisphosphate aldolase A (ALDOA).</w:t>
      </w:r>
      <w:r w:rsidRPr="328E35CF">
        <w:rPr>
          <w:rFonts w:ascii="Calibri" w:hAnsi="Calibri" w:cs="Calibri"/>
          <w:lang w:val="en-GB"/>
        </w:rPr>
        <w:t xml:space="preserve"> </w:t>
      </w:r>
      <w:r w:rsidRPr="328E35CF">
        <w:rPr>
          <w:rFonts w:ascii="Calibri" w:hAnsi="Calibri" w:cs="Calibri"/>
          <w:b/>
          <w:bCs/>
          <w:lang w:val="en-GB"/>
        </w:rPr>
        <w:t>A</w:t>
      </w:r>
      <w:r w:rsidRPr="328E35CF">
        <w:rPr>
          <w:rFonts w:ascii="Calibri" w:hAnsi="Calibri" w:cs="Calibri"/>
          <w:lang w:val="en-GB"/>
        </w:rPr>
        <w:t xml:space="preserve"> volcano plot comparing peptide abundances of peptides generated in fructose bisphosphate bound and unbound ALDOA. </w:t>
      </w:r>
      <w:r w:rsidRPr="328E35CF">
        <w:rPr>
          <w:rFonts w:ascii="Calibri" w:hAnsi="Calibri" w:cs="Calibri"/>
          <w:b/>
          <w:bCs/>
          <w:lang w:val="en-GB"/>
        </w:rPr>
        <w:t>B</w:t>
      </w:r>
      <w:r w:rsidRPr="328E35CF">
        <w:rPr>
          <w:rFonts w:ascii="Calibri" w:hAnsi="Calibri" w:cs="Calibri"/>
          <w:lang w:val="en-GB"/>
        </w:rPr>
        <w:t xml:space="preserve"> fingerprint of the classical LiP-MS data analysis pipeline. Significant regions in red, not significant in grey, not detected in yellow. </w:t>
      </w:r>
      <w:r w:rsidRPr="328E35CF">
        <w:rPr>
          <w:rFonts w:ascii="Calibri" w:hAnsi="Calibri" w:cs="Calibri"/>
          <w:b/>
          <w:bCs/>
          <w:lang w:val="en-GB"/>
        </w:rPr>
        <w:t>C</w:t>
      </w:r>
      <w:r w:rsidRPr="328E35CF">
        <w:rPr>
          <w:rFonts w:ascii="Calibri" w:hAnsi="Calibri" w:cs="Calibri"/>
          <w:lang w:val="en-GB"/>
        </w:rPr>
        <w:t xml:space="preserve"> fingerprint upon scoring changes per amino acid. </w:t>
      </w:r>
      <w:r w:rsidRPr="328E35CF">
        <w:rPr>
          <w:lang w:val="en-GB"/>
        </w:rPr>
        <w:t>The scale indicates the score per amino acid. The significance threshold of -log</w:t>
      </w:r>
      <w:r w:rsidRPr="328E35CF">
        <w:rPr>
          <w:vertAlign w:val="subscript"/>
          <w:lang w:val="en-GB"/>
        </w:rPr>
        <w:t>10</w:t>
      </w:r>
      <w:r w:rsidRPr="328E35CF">
        <w:rPr>
          <w:lang w:val="en-GB"/>
        </w:rPr>
        <w:t>(0.05) x log</w:t>
      </w:r>
      <w:r w:rsidRPr="328E35CF">
        <w:rPr>
          <w:vertAlign w:val="subscript"/>
          <w:lang w:val="en-GB"/>
        </w:rPr>
        <w:t>2</w:t>
      </w:r>
      <w:r w:rsidRPr="328E35CF">
        <w:rPr>
          <w:lang w:val="en-GB"/>
        </w:rPr>
        <w:t xml:space="preserve">(2) is shown in white, with red indicating higher scores. The more intense the red colour, the higher the score. Not significant in grey. Not detected in yellow. </w:t>
      </w:r>
      <w:r w:rsidRPr="328E35CF">
        <w:rPr>
          <w:b/>
          <w:bCs/>
          <w:lang w:val="en-GB"/>
        </w:rPr>
        <w:t>D</w:t>
      </w:r>
      <w:r w:rsidRPr="328E35CF">
        <w:rPr>
          <w:lang w:val="en-GB"/>
        </w:rPr>
        <w:t xml:space="preserve"> significant peptides mapped on the ALDOA protein structure (PDB: 4ald). Fructose bisphosphate in cyan. </w:t>
      </w:r>
      <w:r w:rsidRPr="328E35CF">
        <w:rPr>
          <w:b/>
          <w:bCs/>
          <w:lang w:val="en-GB"/>
        </w:rPr>
        <w:t>E</w:t>
      </w:r>
      <w:r w:rsidRPr="328E35CF">
        <w:rPr>
          <w:lang w:val="en-GB"/>
        </w:rPr>
        <w:t xml:space="preserve"> significant amino acids of amino acid centric analysis mapped on the ALDOA protein structure (PDB: 4ald). Fructose bisphosphate in cyan.</w:t>
      </w:r>
    </w:p>
    <w:p w14:paraId="1E642C29" w14:textId="77777777" w:rsidR="00174B07" w:rsidRDefault="00174B07" w:rsidP="00174B07">
      <w:pPr>
        <w:tabs>
          <w:tab w:val="left" w:pos="468"/>
        </w:tabs>
        <w:contextualSpacing/>
        <w:rPr>
          <w:rFonts w:ascii="Calibri" w:hAnsi="Calibri" w:cs="Calibri"/>
          <w:lang w:val="en-GB"/>
        </w:rPr>
      </w:pPr>
      <w:r>
        <w:rPr>
          <w:rFonts w:ascii="Calibri" w:hAnsi="Calibri" w:cs="Calibri"/>
          <w:noProof/>
          <w:lang w:val="en-GB"/>
        </w:rPr>
        <w:lastRenderedPageBreak/>
        <w:drawing>
          <wp:inline distT="0" distB="0" distL="0" distR="0" wp14:anchorId="29369DF3" wp14:editId="2F5631B2">
            <wp:extent cx="4532400" cy="7470000"/>
            <wp:effectExtent l="0" t="0" r="1905" b="0"/>
            <wp:docPr id="1767715674" name="Picture 4" descr="A diagram of a dna molecu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715674" name="Picture 4" descr="A diagram of a dna molecul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2400" cy="74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EEF59" w14:textId="77777777" w:rsidR="00174B07" w:rsidRPr="00E72FED" w:rsidRDefault="00174B07" w:rsidP="00174B07">
      <w:pPr>
        <w:tabs>
          <w:tab w:val="left" w:pos="468"/>
        </w:tabs>
        <w:contextualSpacing/>
        <w:rPr>
          <w:rFonts w:ascii="Calibri" w:hAnsi="Calibri" w:cs="Calibri"/>
          <w:color w:val="000000" w:themeColor="text1"/>
          <w:lang w:val="en-GB"/>
        </w:rPr>
      </w:pPr>
      <w:r w:rsidRPr="170FF18A">
        <w:rPr>
          <w:rFonts w:ascii="Calibri" w:hAnsi="Calibri" w:cs="Calibri"/>
          <w:b/>
          <w:bCs/>
          <w:lang w:val="en-GB"/>
        </w:rPr>
        <w:t xml:space="preserve">Supplementary figure 4. </w:t>
      </w:r>
      <w:r w:rsidRPr="170FF18A">
        <w:rPr>
          <w:b/>
          <w:bCs/>
          <w:lang w:val="en-GB"/>
        </w:rPr>
        <w:t>Thyroxine</w:t>
      </w:r>
      <w:r w:rsidRPr="170FF18A">
        <w:rPr>
          <w:rFonts w:ascii="Calibri" w:hAnsi="Calibri" w:cs="Calibri"/>
          <w:b/>
          <w:bCs/>
          <w:lang w:val="en-GB"/>
        </w:rPr>
        <w:t xml:space="preserve"> binding towards </w:t>
      </w:r>
      <w:r w:rsidRPr="170FF18A">
        <w:rPr>
          <w:b/>
          <w:bCs/>
          <w:lang w:val="en-GB"/>
        </w:rPr>
        <w:t>Thyroxine Binding Globulin (TBG).</w:t>
      </w:r>
      <w:r w:rsidRPr="170FF18A">
        <w:rPr>
          <w:rFonts w:ascii="Calibri" w:hAnsi="Calibri" w:cs="Calibri"/>
          <w:b/>
          <w:bCs/>
          <w:lang w:val="en-GB"/>
        </w:rPr>
        <w:t xml:space="preserve"> A </w:t>
      </w:r>
      <w:r w:rsidRPr="170FF18A">
        <w:rPr>
          <w:rFonts w:ascii="Calibri" w:hAnsi="Calibri" w:cs="Calibri"/>
          <w:lang w:val="en-GB"/>
        </w:rPr>
        <w:t xml:space="preserve">volcano plot comparing peptide abundances of peptides generated in thyroxine bound and unbound TBG. </w:t>
      </w:r>
      <w:r w:rsidRPr="170FF18A">
        <w:rPr>
          <w:rFonts w:ascii="Calibri" w:hAnsi="Calibri" w:cs="Calibri"/>
          <w:b/>
          <w:bCs/>
          <w:lang w:val="en-GB"/>
        </w:rPr>
        <w:t>B</w:t>
      </w:r>
      <w:r w:rsidRPr="170FF18A">
        <w:rPr>
          <w:rFonts w:ascii="Calibri" w:hAnsi="Calibri" w:cs="Calibri"/>
          <w:lang w:val="en-GB"/>
        </w:rPr>
        <w:t xml:space="preserve"> fingerprint of the classical LiP-MS data analysis pipeline. Significant regions in red, not significant in grey, not detected in yellow. </w:t>
      </w:r>
      <w:r w:rsidRPr="170FF18A">
        <w:rPr>
          <w:rFonts w:ascii="Calibri" w:hAnsi="Calibri" w:cs="Calibri"/>
          <w:b/>
          <w:bCs/>
          <w:lang w:val="en-GB"/>
        </w:rPr>
        <w:t>C</w:t>
      </w:r>
      <w:r w:rsidRPr="170FF18A">
        <w:rPr>
          <w:rFonts w:ascii="Calibri" w:hAnsi="Calibri" w:cs="Calibri"/>
          <w:lang w:val="en-GB"/>
        </w:rPr>
        <w:t xml:space="preserve"> fingerprint upon scoring changes per amino acid. </w:t>
      </w:r>
      <w:r w:rsidRPr="170FF18A">
        <w:rPr>
          <w:lang w:val="en-GB"/>
        </w:rPr>
        <w:t>The scale indicates the score per amino acid. The significance threshold of -log</w:t>
      </w:r>
      <w:r w:rsidRPr="170FF18A">
        <w:rPr>
          <w:vertAlign w:val="subscript"/>
          <w:lang w:val="en-GB"/>
        </w:rPr>
        <w:t>10</w:t>
      </w:r>
      <w:r w:rsidRPr="170FF18A">
        <w:rPr>
          <w:lang w:val="en-GB"/>
        </w:rPr>
        <w:t>(0.05) x log</w:t>
      </w:r>
      <w:r w:rsidRPr="170FF18A">
        <w:rPr>
          <w:vertAlign w:val="subscript"/>
          <w:lang w:val="en-GB"/>
        </w:rPr>
        <w:t>2</w:t>
      </w:r>
      <w:r w:rsidRPr="170FF18A">
        <w:rPr>
          <w:lang w:val="en-GB"/>
        </w:rPr>
        <w:t xml:space="preserve">(2) is shown in white, with red indicating higher scores. The more intense the red colour, the higher the score. Not significant in grey. Not detected in yellow. </w:t>
      </w:r>
      <w:r w:rsidRPr="170FF18A">
        <w:rPr>
          <w:b/>
          <w:bCs/>
          <w:lang w:val="en-GB"/>
        </w:rPr>
        <w:t>D</w:t>
      </w:r>
      <w:r w:rsidRPr="170FF18A">
        <w:rPr>
          <w:lang w:val="en-GB"/>
        </w:rPr>
        <w:t xml:space="preserve"> significant peptides mapped on the </w:t>
      </w:r>
      <w:r w:rsidRPr="170FF18A">
        <w:rPr>
          <w:lang w:val="en-GB"/>
        </w:rPr>
        <w:lastRenderedPageBreak/>
        <w:t xml:space="preserve">TBG protein structure (PDB: 2riw). </w:t>
      </w:r>
      <w:r>
        <w:rPr>
          <w:lang w:val="en-GB"/>
        </w:rPr>
        <w:t>Thyroxine</w:t>
      </w:r>
      <w:r w:rsidRPr="170FF18A">
        <w:rPr>
          <w:lang w:val="en-GB"/>
        </w:rPr>
        <w:t xml:space="preserve"> in cyan. </w:t>
      </w:r>
      <w:r w:rsidRPr="170FF18A">
        <w:rPr>
          <w:b/>
          <w:bCs/>
          <w:lang w:val="en-GB"/>
        </w:rPr>
        <w:t>E</w:t>
      </w:r>
      <w:r w:rsidRPr="170FF18A">
        <w:rPr>
          <w:lang w:val="en-GB"/>
        </w:rPr>
        <w:t xml:space="preserve"> significant amino acids of amino acid centric analysis mapped on the TPG protein structure (PDB: 2riw). </w:t>
      </w:r>
      <w:r>
        <w:rPr>
          <w:lang w:val="en-GB"/>
        </w:rPr>
        <w:t xml:space="preserve">Thyroxine </w:t>
      </w:r>
      <w:r w:rsidRPr="170FF18A">
        <w:rPr>
          <w:lang w:val="en-GB"/>
        </w:rPr>
        <w:t>in cyan.</w:t>
      </w:r>
      <w:r>
        <w:rPr>
          <w:lang w:val="en-GB"/>
        </w:rPr>
        <w:t xml:space="preserve"> </w:t>
      </w:r>
      <w:r w:rsidRPr="00CE48A5">
        <w:rPr>
          <w:highlight w:val="yellow"/>
          <w:lang w:val="en-GB"/>
        </w:rPr>
        <w:t>(</w:t>
      </w:r>
      <w:r w:rsidRPr="00CE48A5">
        <w:rPr>
          <w:b/>
          <w:bCs/>
          <w:highlight w:val="yellow"/>
          <w:lang w:val="en-GB"/>
        </w:rPr>
        <w:t>F-I</w:t>
      </w:r>
      <w:r w:rsidRPr="00CE48A5">
        <w:rPr>
          <w:highlight w:val="yellow"/>
          <w:lang w:val="en-GB"/>
        </w:rPr>
        <w:t xml:space="preserve">) </w:t>
      </w:r>
      <w:r w:rsidRPr="00CE48A5">
        <w:rPr>
          <w:color w:val="000000" w:themeColor="text1"/>
          <w:highlight w:val="yellow"/>
          <w:lang w:val="en-US"/>
        </w:rPr>
        <w:t xml:space="preserve">The </w:t>
      </w:r>
      <w:r w:rsidRPr="00E72FED">
        <w:rPr>
          <w:color w:val="000000" w:themeColor="text1"/>
          <w:highlight w:val="yellow"/>
          <w:lang w:val="en-US"/>
        </w:rPr>
        <w:t>plots show the average minimal distance to the ligand binding site of amino acids with scores above the indicated threshold values, for GC (</w:t>
      </w:r>
      <w:r w:rsidRPr="00CE48A5">
        <w:rPr>
          <w:b/>
          <w:bCs/>
          <w:color w:val="000000" w:themeColor="text1"/>
          <w:highlight w:val="yellow"/>
          <w:lang w:val="en-US"/>
        </w:rPr>
        <w:t>F</w:t>
      </w:r>
      <w:r w:rsidRPr="00E72FED">
        <w:rPr>
          <w:color w:val="000000" w:themeColor="text1"/>
          <w:highlight w:val="yellow"/>
          <w:lang w:val="en-US"/>
        </w:rPr>
        <w:t>), ALDOA (</w:t>
      </w:r>
      <w:r w:rsidRPr="00CE48A5">
        <w:rPr>
          <w:b/>
          <w:bCs/>
          <w:color w:val="000000" w:themeColor="text1"/>
          <w:highlight w:val="yellow"/>
          <w:lang w:val="en-US"/>
        </w:rPr>
        <w:t>G</w:t>
      </w:r>
      <w:r w:rsidRPr="00E72FED">
        <w:rPr>
          <w:color w:val="000000" w:themeColor="text1"/>
          <w:highlight w:val="yellow"/>
          <w:lang w:val="en-US"/>
        </w:rPr>
        <w:t>), TBG (</w:t>
      </w:r>
      <w:r w:rsidRPr="00CE48A5">
        <w:rPr>
          <w:b/>
          <w:bCs/>
          <w:color w:val="000000" w:themeColor="text1"/>
          <w:highlight w:val="yellow"/>
          <w:lang w:val="en-US"/>
        </w:rPr>
        <w:t>H</w:t>
      </w:r>
      <w:r w:rsidRPr="00E72FED">
        <w:rPr>
          <w:color w:val="000000" w:themeColor="text1"/>
          <w:highlight w:val="yellow"/>
          <w:lang w:val="en-US"/>
        </w:rPr>
        <w:t xml:space="preserve">), and </w:t>
      </w:r>
      <w:proofErr w:type="spellStart"/>
      <w:r w:rsidRPr="00E72FED">
        <w:rPr>
          <w:color w:val="000000" w:themeColor="text1"/>
          <w:highlight w:val="yellow"/>
          <w:lang w:val="en-US"/>
        </w:rPr>
        <w:t>ptsl</w:t>
      </w:r>
      <w:proofErr w:type="spellEnd"/>
      <w:r w:rsidRPr="00E72FED">
        <w:rPr>
          <w:color w:val="000000" w:themeColor="text1"/>
          <w:highlight w:val="yellow"/>
          <w:lang w:val="en-US"/>
        </w:rPr>
        <w:t xml:space="preserve"> </w:t>
      </w:r>
      <w:r w:rsidRPr="00CE48A5">
        <w:rPr>
          <w:b/>
          <w:bCs/>
          <w:color w:val="000000" w:themeColor="text1"/>
          <w:highlight w:val="yellow"/>
          <w:lang w:val="en-US"/>
        </w:rPr>
        <w:t>(I</w:t>
      </w:r>
      <w:r w:rsidRPr="00E72FED">
        <w:rPr>
          <w:color w:val="000000" w:themeColor="text1"/>
          <w:highlight w:val="yellow"/>
          <w:lang w:val="en-US"/>
        </w:rPr>
        <w:t>) in red. The blue line shows the average minimal distance</w:t>
      </w:r>
      <w:r>
        <w:rPr>
          <w:color w:val="000000" w:themeColor="text1"/>
          <w:highlight w:val="yellow"/>
          <w:lang w:val="en-US"/>
        </w:rPr>
        <w:t xml:space="preserve"> to the binding site</w:t>
      </w:r>
      <w:r w:rsidRPr="00E72FED">
        <w:rPr>
          <w:color w:val="000000" w:themeColor="text1"/>
          <w:highlight w:val="yellow"/>
          <w:lang w:val="en-US"/>
        </w:rPr>
        <w:t xml:space="preserve"> for all amino acids in a protein.</w:t>
      </w:r>
    </w:p>
    <w:p w14:paraId="6630E3A0" w14:textId="77777777" w:rsidR="00174B07" w:rsidRPr="00E72FED" w:rsidRDefault="00174B07" w:rsidP="00174B07">
      <w:pPr>
        <w:tabs>
          <w:tab w:val="left" w:pos="468"/>
        </w:tabs>
        <w:contextualSpacing/>
        <w:rPr>
          <w:lang w:val="en-US"/>
        </w:rPr>
      </w:pPr>
    </w:p>
    <w:p w14:paraId="7C995719" w14:textId="77777777" w:rsidR="00174B07" w:rsidRDefault="00174B07" w:rsidP="00174B07">
      <w:pPr>
        <w:pStyle w:val="Caption"/>
        <w:jc w:val="both"/>
        <w:rPr>
          <w:rFonts w:asciiTheme="minorHAnsi" w:hAnsiTheme="minorHAnsi"/>
          <w:sz w:val="22"/>
          <w:szCs w:val="22"/>
          <w:lang w:val="en-GB"/>
        </w:rPr>
      </w:pPr>
      <w:r>
        <w:rPr>
          <w:rFonts w:asciiTheme="minorHAnsi" w:hAnsiTheme="minorHAnsi"/>
          <w:noProof/>
          <w:sz w:val="22"/>
          <w:szCs w:val="22"/>
          <w:lang w:val="en-GB"/>
        </w:rPr>
        <w:drawing>
          <wp:inline distT="0" distB="0" distL="0" distR="0" wp14:anchorId="18BD38E8" wp14:editId="2E3CDB72">
            <wp:extent cx="5760720" cy="5640705"/>
            <wp:effectExtent l="0" t="0" r="5080" b="0"/>
            <wp:docPr id="1961185530" name="Picture 6" descr="A collage of graphs and diagr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185530" name="Picture 6" descr="A collage of graphs and diagram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4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F6274" w14:textId="77777777" w:rsidR="00174B07" w:rsidRPr="0056799C" w:rsidRDefault="00174B07" w:rsidP="00174B07">
      <w:pPr>
        <w:pStyle w:val="Caption"/>
        <w:jc w:val="both"/>
        <w:rPr>
          <w:rFonts w:asciiTheme="minorHAnsi" w:eastAsia="Times New Roman" w:hAnsiTheme="minorHAnsi"/>
          <w:b w:val="0"/>
          <w:sz w:val="22"/>
          <w:szCs w:val="22"/>
          <w:lang w:val="en-GB"/>
        </w:rPr>
      </w:pPr>
      <w:r w:rsidRPr="328E35CF">
        <w:rPr>
          <w:rFonts w:asciiTheme="minorHAnsi" w:hAnsiTheme="minorHAnsi"/>
          <w:sz w:val="22"/>
          <w:szCs w:val="22"/>
          <w:lang w:val="en-GB"/>
        </w:rPr>
        <w:t xml:space="preserve">Supplementary figure 5. Amino acid centric analysis on a proteome wide scale. </w:t>
      </w:r>
      <w:r w:rsidRPr="328E35CF">
        <w:rPr>
          <w:rFonts w:asciiTheme="minorHAnsi" w:eastAsia="Times New Roman" w:hAnsiTheme="minorHAnsi"/>
          <w:sz w:val="22"/>
          <w:szCs w:val="22"/>
          <w:lang w:val="en-GB"/>
        </w:rPr>
        <w:t xml:space="preserve">A </w:t>
      </w:r>
      <w:r w:rsidRPr="328E35CF">
        <w:rPr>
          <w:rFonts w:asciiTheme="minorHAnsi" w:eastAsia="Times New Roman" w:hAnsiTheme="minorHAnsi"/>
          <w:b w:val="0"/>
          <w:sz w:val="22"/>
          <w:szCs w:val="22"/>
          <w:lang w:val="en-GB"/>
        </w:rPr>
        <w:t xml:space="preserve">Coverage of purified proteins analysed with </w:t>
      </w:r>
      <w:r w:rsidRPr="328E35CF">
        <w:rPr>
          <w:rFonts w:asciiTheme="minorHAnsi" w:eastAsia="Times New Roman" w:hAnsiTheme="minorHAnsi"/>
          <w:b w:val="0"/>
          <w:i/>
          <w:sz w:val="22"/>
          <w:szCs w:val="22"/>
          <w:lang w:val="en-GB"/>
        </w:rPr>
        <w:t>in vitro</w:t>
      </w:r>
      <w:r w:rsidRPr="328E35CF">
        <w:rPr>
          <w:rFonts w:asciiTheme="minorHAnsi" w:eastAsia="Times New Roman" w:hAnsiTheme="minorHAnsi"/>
          <w:b w:val="0"/>
          <w:sz w:val="22"/>
          <w:szCs w:val="22"/>
          <w:lang w:val="en-GB"/>
        </w:rPr>
        <w:t xml:space="preserve"> LiP-MS (bin size of 5%). Median coverage is indicated by the black line (95.1%).</w:t>
      </w:r>
      <w:r w:rsidRPr="328E35CF">
        <w:rPr>
          <w:rFonts w:asciiTheme="minorHAnsi" w:eastAsia="Times New Roman" w:hAnsiTheme="minorHAnsi"/>
          <w:sz w:val="22"/>
          <w:szCs w:val="22"/>
          <w:lang w:val="en-GB"/>
        </w:rPr>
        <w:t xml:space="preserve"> </w:t>
      </w:r>
      <w:r w:rsidRPr="328E35CF">
        <w:rPr>
          <w:rFonts w:asciiTheme="minorHAnsi" w:hAnsiTheme="minorHAnsi"/>
          <w:sz w:val="22"/>
          <w:szCs w:val="22"/>
          <w:lang w:val="en-GB"/>
        </w:rPr>
        <w:t>B</w:t>
      </w:r>
      <w:r w:rsidRPr="328E35CF">
        <w:rPr>
          <w:rFonts w:asciiTheme="minorHAnsi" w:eastAsia="Times New Roman" w:hAnsiTheme="minorHAnsi"/>
          <w:sz w:val="22"/>
          <w:szCs w:val="22"/>
          <w:lang w:val="en-GB"/>
        </w:rPr>
        <w:t xml:space="preserve"> </w:t>
      </w:r>
      <w:r w:rsidRPr="328E35CF">
        <w:rPr>
          <w:rFonts w:asciiTheme="minorHAnsi" w:eastAsia="Times New Roman" w:hAnsiTheme="minorHAnsi"/>
          <w:b w:val="0"/>
          <w:sz w:val="22"/>
          <w:szCs w:val="22"/>
          <w:lang w:val="en-GB"/>
        </w:rPr>
        <w:t xml:space="preserve">Coverage distribution of the 2417 identified proteins (bin size of 5%). Median coverage indicated by the black line (14.13 %). Coverage of FPR1 (69.3%) indicated by the red dotted line. </w:t>
      </w:r>
      <w:r w:rsidRPr="328E35CF">
        <w:rPr>
          <w:rFonts w:asciiTheme="minorHAnsi" w:eastAsia="Times New Roman" w:hAnsiTheme="minorHAnsi"/>
          <w:sz w:val="22"/>
          <w:szCs w:val="22"/>
          <w:lang w:val="en-GB"/>
        </w:rPr>
        <w:t xml:space="preserve">C </w:t>
      </w:r>
      <w:r w:rsidRPr="328E35CF">
        <w:rPr>
          <w:rFonts w:asciiTheme="minorHAnsi" w:eastAsia="Times New Roman" w:hAnsiTheme="minorHAnsi"/>
          <w:b w:val="0"/>
          <w:sz w:val="22"/>
          <w:szCs w:val="22"/>
          <w:lang w:val="en-GB"/>
        </w:rPr>
        <w:t xml:space="preserve">Volcano plot of rapamycin treated and untreated </w:t>
      </w:r>
      <w:r w:rsidRPr="328E35CF">
        <w:rPr>
          <w:rFonts w:asciiTheme="minorHAnsi" w:eastAsia="Times New Roman" w:hAnsiTheme="minorHAnsi"/>
          <w:b w:val="0"/>
          <w:i/>
          <w:sz w:val="22"/>
          <w:szCs w:val="22"/>
          <w:lang w:val="en-GB"/>
        </w:rPr>
        <w:t>S. cerevisiae</w:t>
      </w:r>
      <w:r w:rsidRPr="328E35CF">
        <w:rPr>
          <w:rFonts w:asciiTheme="minorHAnsi" w:eastAsia="Times New Roman" w:hAnsiTheme="minorHAnsi"/>
          <w:b w:val="0"/>
          <w:sz w:val="22"/>
          <w:szCs w:val="22"/>
          <w:lang w:val="en-GB"/>
        </w:rPr>
        <w:t xml:space="preserve"> cell extracts (non-significant in light grey, significant in orange, significant and FPR1 in red).</w:t>
      </w:r>
      <w:r w:rsidRPr="328E35CF">
        <w:rPr>
          <w:rFonts w:asciiTheme="minorHAnsi" w:eastAsia="Times New Roman" w:hAnsiTheme="minorHAnsi"/>
          <w:sz w:val="22"/>
          <w:szCs w:val="22"/>
          <w:lang w:val="en-GB"/>
        </w:rPr>
        <w:t xml:space="preserve"> D </w:t>
      </w:r>
      <w:r w:rsidRPr="328E35CF">
        <w:rPr>
          <w:rFonts w:asciiTheme="minorHAnsi" w:eastAsia="Times New Roman" w:hAnsiTheme="minorHAnsi"/>
          <w:b w:val="0"/>
          <w:sz w:val="22"/>
          <w:szCs w:val="22"/>
          <w:lang w:val="en-GB"/>
        </w:rPr>
        <w:t>Peptides and their corresponding scores (-log</w:t>
      </w:r>
      <w:r w:rsidRPr="328E35CF">
        <w:rPr>
          <w:rFonts w:asciiTheme="minorHAnsi" w:eastAsia="Times New Roman" w:hAnsiTheme="minorHAnsi"/>
          <w:b w:val="0"/>
          <w:sz w:val="22"/>
          <w:szCs w:val="22"/>
          <w:vertAlign w:val="subscript"/>
          <w:lang w:val="en-GB"/>
        </w:rPr>
        <w:t>10</w:t>
      </w:r>
      <w:r w:rsidRPr="328E35CF">
        <w:rPr>
          <w:rFonts w:asciiTheme="minorHAnsi" w:eastAsia="Times New Roman" w:hAnsiTheme="minorHAnsi"/>
          <w:b w:val="0"/>
          <w:sz w:val="22"/>
          <w:szCs w:val="22"/>
          <w:lang w:val="en-GB"/>
        </w:rPr>
        <w:t>(q-value) x absolute (log</w:t>
      </w:r>
      <w:r w:rsidRPr="328E35CF">
        <w:rPr>
          <w:rFonts w:asciiTheme="minorHAnsi" w:eastAsia="Times New Roman" w:hAnsiTheme="minorHAnsi"/>
          <w:b w:val="0"/>
          <w:sz w:val="22"/>
          <w:szCs w:val="22"/>
          <w:vertAlign w:val="subscript"/>
          <w:lang w:val="en-GB"/>
        </w:rPr>
        <w:t>2</w:t>
      </w:r>
      <w:r w:rsidRPr="328E35CF">
        <w:rPr>
          <w:rFonts w:asciiTheme="minorHAnsi" w:eastAsia="Times New Roman" w:hAnsiTheme="minorHAnsi"/>
          <w:b w:val="0"/>
          <w:sz w:val="22"/>
          <w:szCs w:val="22"/>
          <w:lang w:val="en-GB"/>
        </w:rPr>
        <w:t>(fold change)) mapped along the FPR1 sequence. Score values from grey to red.</w:t>
      </w:r>
      <w:r w:rsidRPr="328E35CF">
        <w:rPr>
          <w:rFonts w:asciiTheme="minorHAnsi" w:eastAsia="Times New Roman" w:hAnsiTheme="minorHAnsi"/>
          <w:sz w:val="22"/>
          <w:szCs w:val="22"/>
          <w:lang w:val="en-GB"/>
        </w:rPr>
        <w:t xml:space="preserve"> E </w:t>
      </w:r>
      <w:r w:rsidRPr="328E35CF">
        <w:rPr>
          <w:rFonts w:asciiTheme="minorHAnsi" w:eastAsia="Times New Roman" w:hAnsiTheme="minorHAnsi"/>
          <w:b w:val="0"/>
          <w:sz w:val="22"/>
          <w:szCs w:val="22"/>
          <w:lang w:val="en-GB"/>
        </w:rPr>
        <w:t xml:space="preserve">Peptide-centric analysis showing significant peptides mapped along the sequence of FPR1 and onto the FK-506 bound FPR1 structure (PDB: 1yat). FK-506 in cyan. </w:t>
      </w:r>
      <w:r w:rsidRPr="328E35CF">
        <w:rPr>
          <w:rFonts w:asciiTheme="minorHAnsi" w:eastAsia="Times New Roman" w:hAnsiTheme="minorHAnsi"/>
          <w:sz w:val="22"/>
          <w:szCs w:val="22"/>
          <w:lang w:val="en-GB"/>
        </w:rPr>
        <w:t xml:space="preserve">F </w:t>
      </w:r>
      <w:r w:rsidRPr="328E35CF">
        <w:rPr>
          <w:rFonts w:asciiTheme="minorHAnsi" w:eastAsia="Times New Roman" w:hAnsiTheme="minorHAnsi"/>
          <w:b w:val="0"/>
          <w:sz w:val="22"/>
          <w:szCs w:val="22"/>
          <w:lang w:val="en-GB"/>
        </w:rPr>
        <w:t>Fingerprint upon amino acid centric analysis mapped along the sequence of FK-506 bound FPR1 (</w:t>
      </w:r>
      <w:r w:rsidRPr="328E35CF">
        <w:rPr>
          <w:rFonts w:asciiTheme="minorHAnsi" w:hAnsiTheme="minorHAnsi"/>
          <w:b w:val="0"/>
          <w:sz w:val="22"/>
          <w:szCs w:val="22"/>
          <w:shd w:val="clear" w:color="auto" w:fill="FFFFFF"/>
          <w:lang w:val="en-GB"/>
        </w:rPr>
        <w:t>The scale indicates the score per amino acid. The significance threshold of -</w:t>
      </w:r>
      <w:r w:rsidRPr="328E35CF">
        <w:rPr>
          <w:rFonts w:asciiTheme="minorHAnsi" w:hAnsiTheme="minorHAnsi"/>
          <w:b w:val="0"/>
          <w:sz w:val="22"/>
          <w:szCs w:val="22"/>
          <w:shd w:val="clear" w:color="auto" w:fill="FFFFFF"/>
          <w:lang w:val="en-GB"/>
        </w:rPr>
        <w:lastRenderedPageBreak/>
        <w:t>log</w:t>
      </w:r>
      <w:r w:rsidRPr="328E35CF">
        <w:rPr>
          <w:rFonts w:asciiTheme="minorHAnsi" w:hAnsiTheme="minorHAnsi"/>
          <w:b w:val="0"/>
          <w:sz w:val="22"/>
          <w:szCs w:val="22"/>
          <w:shd w:val="clear" w:color="auto" w:fill="FFFFFF"/>
          <w:vertAlign w:val="subscript"/>
          <w:lang w:val="en-GB"/>
        </w:rPr>
        <w:t>10</w:t>
      </w:r>
      <w:r w:rsidRPr="328E35CF">
        <w:rPr>
          <w:rFonts w:asciiTheme="minorHAnsi" w:hAnsiTheme="minorHAnsi"/>
          <w:b w:val="0"/>
          <w:sz w:val="22"/>
          <w:szCs w:val="22"/>
          <w:shd w:val="clear" w:color="auto" w:fill="FFFFFF"/>
          <w:lang w:val="en-GB"/>
        </w:rPr>
        <w:t>(0.05) x log</w:t>
      </w:r>
      <w:r w:rsidRPr="328E35CF">
        <w:rPr>
          <w:rFonts w:asciiTheme="minorHAnsi" w:hAnsiTheme="minorHAnsi"/>
          <w:b w:val="0"/>
          <w:sz w:val="22"/>
          <w:szCs w:val="22"/>
          <w:shd w:val="clear" w:color="auto" w:fill="FFFFFF"/>
          <w:vertAlign w:val="subscript"/>
          <w:lang w:val="en-GB"/>
        </w:rPr>
        <w:t>2</w:t>
      </w:r>
      <w:r w:rsidRPr="328E35CF">
        <w:rPr>
          <w:rFonts w:asciiTheme="minorHAnsi" w:hAnsiTheme="minorHAnsi"/>
          <w:b w:val="0"/>
          <w:sz w:val="22"/>
          <w:szCs w:val="22"/>
          <w:shd w:val="clear" w:color="auto" w:fill="FFFFFF"/>
          <w:lang w:val="en-GB"/>
        </w:rPr>
        <w:t>(2) is shown in white, with red indicating higher scores. The more intense the red colour, the higher the score. Not significant in grey.</w:t>
      </w:r>
      <w:r w:rsidRPr="328E35CF">
        <w:rPr>
          <w:rFonts w:asciiTheme="minorHAnsi" w:eastAsia="Times New Roman" w:hAnsiTheme="minorHAnsi"/>
          <w:b w:val="0"/>
          <w:sz w:val="22"/>
          <w:szCs w:val="22"/>
          <w:lang w:val="en-GB"/>
        </w:rPr>
        <w:t>) and onto the FK-506 bound FPR1 structure (PDB: 1yat). FK-506 in cyan.</w:t>
      </w:r>
    </w:p>
    <w:p w14:paraId="6060C618" w14:textId="77777777" w:rsidR="00174B07" w:rsidRDefault="00174B07" w:rsidP="00174B07">
      <w:pPr>
        <w:tabs>
          <w:tab w:val="left" w:pos="468"/>
        </w:tabs>
        <w:contextualSpacing/>
        <w:rPr>
          <w:rFonts w:ascii="Calibri" w:hAnsi="Calibri" w:cs="Calibri"/>
          <w:lang w:val="en-GB"/>
        </w:rPr>
      </w:pPr>
    </w:p>
    <w:p w14:paraId="7B9C6B45" w14:textId="77777777" w:rsidR="00174B07" w:rsidRDefault="00174B07" w:rsidP="00174B07">
      <w:pPr>
        <w:keepNext/>
        <w:jc w:val="both"/>
      </w:pPr>
    </w:p>
    <w:p w14:paraId="3ACC2D21" w14:textId="77777777" w:rsidR="00174B07" w:rsidRDefault="00174B07" w:rsidP="00174B07">
      <w:pPr>
        <w:pStyle w:val="Caption"/>
        <w:jc w:val="both"/>
        <w:rPr>
          <w:rFonts w:asciiTheme="minorHAnsi" w:hAnsiTheme="minorHAnsi"/>
          <w:sz w:val="22"/>
          <w:szCs w:val="22"/>
          <w:lang w:val="en-GB"/>
        </w:rPr>
      </w:pPr>
      <w:bookmarkStart w:id="0" w:name="_Ref91446120"/>
    </w:p>
    <w:p w14:paraId="45EC1697" w14:textId="77777777" w:rsidR="00174B07" w:rsidRDefault="00174B07" w:rsidP="00174B07">
      <w:pPr>
        <w:pStyle w:val="Caption"/>
        <w:jc w:val="both"/>
        <w:rPr>
          <w:rFonts w:asciiTheme="minorHAnsi" w:hAnsiTheme="minorHAnsi"/>
          <w:sz w:val="22"/>
          <w:szCs w:val="22"/>
          <w:lang w:val="en-GB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6FBB82F9" wp14:editId="67B3A0F0">
            <wp:extent cx="5756912" cy="4842512"/>
            <wp:effectExtent l="0" t="0" r="0" b="0"/>
            <wp:docPr id="1" name="Grafik 1" descr="A collage of cel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A collage of cells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484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B8343" w14:textId="77777777" w:rsidR="00174B07" w:rsidRPr="009D1918" w:rsidRDefault="00174B07" w:rsidP="00174B07">
      <w:pPr>
        <w:pStyle w:val="Caption"/>
        <w:jc w:val="both"/>
        <w:rPr>
          <w:rFonts w:asciiTheme="minorHAnsi" w:hAnsiTheme="minorHAnsi"/>
          <w:b w:val="0"/>
          <w:sz w:val="22"/>
          <w:szCs w:val="22"/>
          <w:lang w:val="en-US"/>
        </w:rPr>
      </w:pPr>
      <w:r w:rsidRPr="328E35CF">
        <w:rPr>
          <w:rFonts w:asciiTheme="minorHAnsi" w:hAnsiTheme="minorHAnsi"/>
          <w:sz w:val="22"/>
          <w:szCs w:val="22"/>
          <w:lang w:val="en-GB"/>
        </w:rPr>
        <w:t xml:space="preserve">Supplementary figure </w:t>
      </w:r>
      <w:bookmarkEnd w:id="0"/>
      <w:r w:rsidRPr="328E35CF">
        <w:rPr>
          <w:rFonts w:asciiTheme="minorHAnsi" w:hAnsiTheme="minorHAnsi"/>
          <w:sz w:val="22"/>
          <w:szCs w:val="22"/>
          <w:lang w:val="en-GB"/>
        </w:rPr>
        <w:t>6</w:t>
      </w:r>
      <w:r w:rsidRPr="328E35CF">
        <w:rPr>
          <w:rFonts w:asciiTheme="minorHAnsi" w:hAnsiTheme="minorHAnsi"/>
          <w:sz w:val="22"/>
          <w:szCs w:val="22"/>
          <w:lang w:val="en-US"/>
        </w:rPr>
        <w:t xml:space="preserve">. Transmission electron microscopy images of structures formed in the presence of compounds or DMSO after 17 hours of incubation. A </w:t>
      </w:r>
      <w:r w:rsidRPr="328E35CF">
        <w:rPr>
          <w:rFonts w:asciiTheme="minorHAnsi" w:hAnsiTheme="minorHAnsi"/>
          <w:b w:val="0"/>
          <w:sz w:val="22"/>
          <w:szCs w:val="22"/>
          <w:lang w:val="en-US"/>
        </w:rPr>
        <w:t>DMSO control condition.</w:t>
      </w:r>
      <w:r w:rsidRPr="328E35CF">
        <w:rPr>
          <w:rFonts w:asciiTheme="minorHAnsi" w:hAnsiTheme="minorHAnsi"/>
          <w:sz w:val="22"/>
          <w:szCs w:val="22"/>
          <w:lang w:val="en-US"/>
        </w:rPr>
        <w:t xml:space="preserve"> B </w:t>
      </w:r>
      <w:r w:rsidRPr="328E35CF">
        <w:rPr>
          <w:rFonts w:asciiTheme="minorHAnsi" w:hAnsiTheme="minorHAnsi"/>
          <w:b w:val="0"/>
          <w:sz w:val="22"/>
          <w:szCs w:val="22"/>
          <w:lang w:val="en-US"/>
        </w:rPr>
        <w:t>Doxycycline.</w:t>
      </w:r>
      <w:r w:rsidRPr="328E35CF">
        <w:rPr>
          <w:rFonts w:asciiTheme="minorHAnsi" w:hAnsiTheme="minorHAnsi"/>
          <w:sz w:val="22"/>
          <w:szCs w:val="22"/>
          <w:lang w:val="en-US"/>
        </w:rPr>
        <w:t xml:space="preserve"> C </w:t>
      </w:r>
      <w:proofErr w:type="spellStart"/>
      <w:r w:rsidRPr="328E35CF">
        <w:rPr>
          <w:rFonts w:asciiTheme="minorHAnsi" w:hAnsiTheme="minorHAnsi"/>
          <w:b w:val="0"/>
          <w:sz w:val="22"/>
          <w:szCs w:val="22"/>
          <w:lang w:val="en-US"/>
        </w:rPr>
        <w:t>Fasudil</w:t>
      </w:r>
      <w:proofErr w:type="spellEnd"/>
      <w:r w:rsidRPr="328E35CF">
        <w:rPr>
          <w:rFonts w:asciiTheme="minorHAnsi" w:hAnsiTheme="minorHAnsi"/>
          <w:b w:val="0"/>
          <w:sz w:val="22"/>
          <w:szCs w:val="22"/>
          <w:lang w:val="en-US"/>
        </w:rPr>
        <w:t>.</w:t>
      </w:r>
      <w:r w:rsidRPr="328E35CF">
        <w:rPr>
          <w:rFonts w:asciiTheme="minorHAnsi" w:hAnsiTheme="minorHAnsi"/>
          <w:sz w:val="22"/>
          <w:szCs w:val="22"/>
          <w:lang w:val="en-US"/>
        </w:rPr>
        <w:t xml:space="preserve"> D </w:t>
      </w:r>
      <w:r w:rsidRPr="328E35CF">
        <w:rPr>
          <w:rFonts w:asciiTheme="minorHAnsi" w:hAnsiTheme="minorHAnsi"/>
          <w:b w:val="0"/>
          <w:sz w:val="22"/>
          <w:szCs w:val="22"/>
          <w:lang w:val="en-US"/>
        </w:rPr>
        <w:t>compound 1.</w:t>
      </w:r>
      <w:r w:rsidRPr="328E35CF">
        <w:rPr>
          <w:rFonts w:asciiTheme="minorHAnsi" w:hAnsiTheme="minorHAnsi"/>
          <w:sz w:val="22"/>
          <w:szCs w:val="22"/>
          <w:lang w:val="en-US"/>
        </w:rPr>
        <w:t xml:space="preserve"> E </w:t>
      </w:r>
      <w:r w:rsidRPr="328E35CF">
        <w:rPr>
          <w:rFonts w:asciiTheme="minorHAnsi" w:hAnsiTheme="minorHAnsi"/>
          <w:b w:val="0"/>
          <w:sz w:val="22"/>
          <w:szCs w:val="22"/>
          <w:lang w:val="en-US"/>
        </w:rPr>
        <w:t>compound 2.</w:t>
      </w:r>
      <w:r w:rsidRPr="328E35CF">
        <w:rPr>
          <w:rFonts w:asciiTheme="minorHAnsi" w:hAnsiTheme="minorHAnsi"/>
          <w:sz w:val="22"/>
          <w:szCs w:val="22"/>
          <w:lang w:val="en-US"/>
        </w:rPr>
        <w:t xml:space="preserve"> F </w:t>
      </w:r>
      <w:r w:rsidRPr="328E35CF">
        <w:rPr>
          <w:rFonts w:asciiTheme="minorHAnsi" w:hAnsiTheme="minorHAnsi"/>
          <w:b w:val="0"/>
          <w:sz w:val="22"/>
          <w:szCs w:val="22"/>
          <w:lang w:val="en-US"/>
        </w:rPr>
        <w:t>EGCG.</w:t>
      </w:r>
      <w:r w:rsidRPr="328E35CF">
        <w:rPr>
          <w:rFonts w:asciiTheme="minorHAnsi" w:hAnsiTheme="minorHAnsi"/>
          <w:sz w:val="22"/>
          <w:szCs w:val="22"/>
          <w:lang w:val="en-US"/>
        </w:rPr>
        <w:t xml:space="preserve"> G </w:t>
      </w:r>
      <w:r w:rsidRPr="328E35CF">
        <w:rPr>
          <w:rFonts w:asciiTheme="minorHAnsi" w:hAnsiTheme="minorHAnsi"/>
          <w:b w:val="0"/>
          <w:sz w:val="22"/>
          <w:szCs w:val="22"/>
          <w:lang w:val="en-US"/>
        </w:rPr>
        <w:t xml:space="preserve">Baicalein. </w:t>
      </w:r>
      <w:r w:rsidRPr="328E35CF">
        <w:rPr>
          <w:rFonts w:asciiTheme="minorHAnsi" w:hAnsiTheme="minorHAnsi"/>
          <w:sz w:val="22"/>
          <w:szCs w:val="22"/>
          <w:lang w:val="en-US"/>
        </w:rPr>
        <w:t xml:space="preserve">H </w:t>
      </w:r>
      <w:r w:rsidRPr="328E35CF">
        <w:rPr>
          <w:rFonts w:asciiTheme="minorHAnsi" w:hAnsiTheme="minorHAnsi"/>
          <w:b w:val="0"/>
          <w:sz w:val="22"/>
          <w:szCs w:val="22"/>
          <w:lang w:val="en-US"/>
        </w:rPr>
        <w:t>Native PAGE after 17 hours of incubation in the indicated conditions, compared to monomer at time point 0. Oligomeric and fibrillar forms are not resolved.</w:t>
      </w:r>
    </w:p>
    <w:p w14:paraId="5957641A" w14:textId="77777777" w:rsidR="00174B07" w:rsidRDefault="00174B07" w:rsidP="00174B07">
      <w:pPr>
        <w:tabs>
          <w:tab w:val="left" w:pos="468"/>
        </w:tabs>
        <w:contextualSpacing/>
        <w:rPr>
          <w:rFonts w:ascii="Calibri" w:hAnsi="Calibri" w:cs="Calibri"/>
          <w:lang w:val="en-GB"/>
        </w:rPr>
      </w:pPr>
    </w:p>
    <w:p w14:paraId="08A80D38" w14:textId="77777777" w:rsidR="00174B07" w:rsidRDefault="00174B07" w:rsidP="00174B07">
      <w:pPr>
        <w:keepNext/>
        <w:jc w:val="both"/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 wp14:anchorId="1713BA19" wp14:editId="6AD71783">
            <wp:extent cx="5760720" cy="2036445"/>
            <wp:effectExtent l="0" t="0" r="5080" b="0"/>
            <wp:docPr id="1280507091" name="Picture 7" descr="A graph of a number of different colored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507091" name="Picture 7" descr="A graph of a number of different colored bars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FD3AB" w14:textId="77777777" w:rsidR="00174B07" w:rsidRPr="00F8614A" w:rsidRDefault="00174B07" w:rsidP="00174B07">
      <w:pPr>
        <w:tabs>
          <w:tab w:val="left" w:pos="468"/>
        </w:tabs>
        <w:contextualSpacing/>
        <w:rPr>
          <w:rFonts w:ascii="Calibri" w:hAnsi="Calibri" w:cs="Calibri"/>
          <w:lang w:val="en-GB"/>
        </w:rPr>
      </w:pPr>
      <w:r w:rsidRPr="00F8614A">
        <w:rPr>
          <w:rFonts w:ascii="Calibri" w:hAnsi="Calibri" w:cs="Calibri"/>
          <w:b/>
          <w:bCs/>
          <w:lang w:val="en-GB"/>
        </w:rPr>
        <w:t xml:space="preserve">Supplementary figure </w:t>
      </w:r>
      <w:r w:rsidRPr="33B2FE21">
        <w:rPr>
          <w:rFonts w:ascii="Calibri" w:hAnsi="Calibri" w:cs="Calibri"/>
          <w:b/>
          <w:bCs/>
          <w:lang w:val="en-GB"/>
        </w:rPr>
        <w:t>7</w:t>
      </w:r>
      <w:r w:rsidRPr="00F8614A">
        <w:rPr>
          <w:rFonts w:ascii="Calibri" w:hAnsi="Calibri" w:cs="Calibri"/>
          <w:b/>
          <w:bCs/>
          <w:lang w:val="en-GB"/>
        </w:rPr>
        <w:t xml:space="preserve">. </w:t>
      </w:r>
      <w:r w:rsidRPr="00F8614A">
        <w:rPr>
          <w:rFonts w:cs="Times New Roman"/>
          <w:b/>
          <w:bCs/>
          <w:lang w:val="en-US"/>
        </w:rPr>
        <w:t>Quality controls α-Synuclein monomer and fibrils. A</w:t>
      </w:r>
      <w:r w:rsidRPr="00F8614A">
        <w:rPr>
          <w:rFonts w:cs="Times New Roman"/>
          <w:lang w:val="en-US"/>
        </w:rPr>
        <w:t xml:space="preserve"> SDS PAGE and Native PAGE of monomeric α-Synuclein. </w:t>
      </w:r>
      <w:r w:rsidRPr="00F8614A">
        <w:rPr>
          <w:rFonts w:cs="Times New Roman"/>
          <w:b/>
          <w:bCs/>
          <w:lang w:val="en-US"/>
        </w:rPr>
        <w:t>B</w:t>
      </w:r>
      <w:r w:rsidRPr="00F8614A">
        <w:rPr>
          <w:rFonts w:cs="Times New Roman"/>
          <w:lang w:val="en-US"/>
        </w:rPr>
        <w:t xml:space="preserve"> </w:t>
      </w:r>
      <w:proofErr w:type="spellStart"/>
      <w:r w:rsidRPr="00F8614A">
        <w:rPr>
          <w:rFonts w:cs="Times New Roman"/>
          <w:lang w:val="en-US"/>
        </w:rPr>
        <w:t>ThT</w:t>
      </w:r>
      <w:proofErr w:type="spellEnd"/>
      <w:r w:rsidRPr="00F8614A">
        <w:rPr>
          <w:rFonts w:cs="Times New Roman"/>
          <w:lang w:val="en-US"/>
        </w:rPr>
        <w:t xml:space="preserve"> intensity of Control, monomeric-and fibrillary α-Synuclein.</w:t>
      </w:r>
      <w:r w:rsidRPr="00F8614A">
        <w:rPr>
          <w:rFonts w:cs="Times New Roman"/>
          <w:b/>
          <w:bCs/>
          <w:lang w:val="en-US"/>
        </w:rPr>
        <w:t xml:space="preserve"> C</w:t>
      </w:r>
      <w:r w:rsidRPr="00F8614A">
        <w:rPr>
          <w:rFonts w:cs="Times New Roman"/>
          <w:lang w:val="en-US"/>
        </w:rPr>
        <w:t xml:space="preserve"> TEM image of the α-Synuclein fibrils used. </w:t>
      </w:r>
    </w:p>
    <w:p w14:paraId="2438150C" w14:textId="77777777" w:rsidR="00174B07" w:rsidRDefault="00174B07" w:rsidP="00174B07">
      <w:pPr>
        <w:tabs>
          <w:tab w:val="left" w:pos="468"/>
        </w:tabs>
        <w:contextualSpacing/>
        <w:rPr>
          <w:rFonts w:ascii="Calibri" w:hAnsi="Calibri" w:cs="Calibri"/>
          <w:lang w:val="en-GB"/>
        </w:rPr>
      </w:pPr>
    </w:p>
    <w:p w14:paraId="168C439B" w14:textId="77777777" w:rsidR="00174B07" w:rsidRDefault="00174B07" w:rsidP="00174B07">
      <w:pPr>
        <w:tabs>
          <w:tab w:val="left" w:pos="468"/>
        </w:tabs>
        <w:contextualSpacing/>
        <w:rPr>
          <w:rFonts w:ascii="Calibri" w:hAnsi="Calibri" w:cs="Calibri"/>
          <w:lang w:val="en-GB"/>
        </w:rPr>
      </w:pPr>
    </w:p>
    <w:p w14:paraId="1E0A4769" w14:textId="77777777" w:rsidR="00174B07" w:rsidRDefault="00174B07" w:rsidP="00174B07">
      <w:pPr>
        <w:keepNext/>
        <w:contextualSpacing/>
        <w:jc w:val="both"/>
      </w:pPr>
    </w:p>
    <w:p w14:paraId="0B62402B" w14:textId="77777777" w:rsidR="00174B07" w:rsidRDefault="00174B07" w:rsidP="00174B07">
      <w:pPr>
        <w:tabs>
          <w:tab w:val="left" w:pos="468"/>
        </w:tabs>
        <w:contextualSpacing/>
        <w:rPr>
          <w:rFonts w:ascii="Calibri" w:hAnsi="Calibri" w:cs="Calibri"/>
          <w:b/>
          <w:bCs/>
          <w:lang w:val="en-GB"/>
        </w:rPr>
      </w:pPr>
      <w:r>
        <w:rPr>
          <w:rFonts w:ascii="Calibri" w:hAnsi="Calibri" w:cs="Calibri"/>
          <w:b/>
          <w:bCs/>
          <w:noProof/>
          <w:lang w:val="en-GB"/>
        </w:rPr>
        <w:drawing>
          <wp:inline distT="0" distB="0" distL="0" distR="0" wp14:anchorId="58ADF2E7" wp14:editId="244C5A91">
            <wp:extent cx="5760720" cy="7708900"/>
            <wp:effectExtent l="0" t="0" r="5080" b="0"/>
            <wp:docPr id="456190577" name="Picture 16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190577" name="Picture 16" descr="A screenshot of a graph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46DDD" w14:textId="77777777" w:rsidR="00174B07" w:rsidRDefault="00174B07" w:rsidP="00174B07">
      <w:pPr>
        <w:tabs>
          <w:tab w:val="left" w:pos="468"/>
        </w:tabs>
        <w:contextualSpacing/>
        <w:rPr>
          <w:rFonts w:ascii="Calibri" w:hAnsi="Calibri" w:cs="Calibri"/>
          <w:b/>
          <w:bCs/>
          <w:lang w:val="en-GB"/>
        </w:rPr>
      </w:pPr>
    </w:p>
    <w:p w14:paraId="033792A0" w14:textId="77777777" w:rsidR="00174B07" w:rsidRPr="00F8614A" w:rsidRDefault="00174B07" w:rsidP="00174B07">
      <w:pPr>
        <w:tabs>
          <w:tab w:val="left" w:pos="468"/>
        </w:tabs>
        <w:contextualSpacing/>
        <w:rPr>
          <w:rFonts w:eastAsia="Times New Roman"/>
          <w:lang w:val="en-GB"/>
        </w:rPr>
      </w:pPr>
      <w:r w:rsidRPr="4174735B">
        <w:rPr>
          <w:rFonts w:ascii="Calibri" w:hAnsi="Calibri" w:cs="Calibri"/>
          <w:b/>
          <w:bCs/>
          <w:lang w:val="en-GB"/>
        </w:rPr>
        <w:t xml:space="preserve">Supplementary figure 8. </w:t>
      </w:r>
      <w:r w:rsidRPr="4174735B">
        <w:rPr>
          <w:rFonts w:cs="Times New Roman"/>
          <w:b/>
          <w:bCs/>
          <w:lang w:val="en-US"/>
        </w:rPr>
        <w:t xml:space="preserve">Compound interactions with </w:t>
      </w:r>
      <w:r w:rsidRPr="4174735B">
        <w:rPr>
          <w:b/>
          <w:bCs/>
          <w:lang w:val="en-US"/>
        </w:rPr>
        <w:t>α</w:t>
      </w:r>
      <w:r w:rsidRPr="4174735B">
        <w:rPr>
          <w:rFonts w:cs="Times New Roman"/>
          <w:b/>
          <w:bCs/>
          <w:lang w:val="en-US"/>
        </w:rPr>
        <w:t>-Synuclein monomer. A</w:t>
      </w:r>
      <w:r w:rsidRPr="328E35CF">
        <w:rPr>
          <w:rFonts w:cs="Times New Roman"/>
          <w:b/>
          <w:bCs/>
          <w:lang w:val="en-US"/>
        </w:rPr>
        <w:t>, B</w:t>
      </w:r>
      <w:r w:rsidRPr="328E35CF">
        <w:rPr>
          <w:rFonts w:cs="Times New Roman"/>
          <w:lang w:val="en-US"/>
        </w:rPr>
        <w:t xml:space="preserve"> LiP peptide fingerprints </w:t>
      </w:r>
      <w:r w:rsidRPr="328E35CF">
        <w:rPr>
          <w:rFonts w:eastAsia="Times New Roman"/>
          <w:lang w:val="en-GB"/>
        </w:rPr>
        <w:t>(non-significant in light grey, significant in red, not detected in yellow)</w:t>
      </w:r>
      <w:r w:rsidRPr="328E35CF">
        <w:rPr>
          <w:rFonts w:cs="Times New Roman"/>
          <w:lang w:val="en-US"/>
        </w:rPr>
        <w:t xml:space="preserve"> (</w:t>
      </w:r>
      <w:r w:rsidRPr="328E35CF">
        <w:rPr>
          <w:rFonts w:cs="Times New Roman"/>
          <w:b/>
          <w:bCs/>
          <w:lang w:val="en-US"/>
        </w:rPr>
        <w:t>A</w:t>
      </w:r>
      <w:r w:rsidRPr="328E35CF">
        <w:rPr>
          <w:rFonts w:cs="Times New Roman"/>
          <w:lang w:val="en-US"/>
        </w:rPr>
        <w:t xml:space="preserve">) and volcano plots of LiP peptide intensities (significant in red, non-significant in grey) </w:t>
      </w:r>
      <w:r w:rsidRPr="328E35CF">
        <w:rPr>
          <w:rFonts w:cs="Times New Roman"/>
          <w:b/>
          <w:bCs/>
          <w:lang w:val="en-US"/>
        </w:rPr>
        <w:t>(B</w:t>
      </w:r>
      <w:r w:rsidRPr="328E35CF">
        <w:rPr>
          <w:rFonts w:cs="Times New Roman"/>
          <w:lang w:val="en-US"/>
        </w:rPr>
        <w:t xml:space="preserve">) for </w:t>
      </w:r>
      <w:r w:rsidRPr="328E35CF">
        <w:rPr>
          <w:lang w:val="en-US"/>
        </w:rPr>
        <w:t>α</w:t>
      </w:r>
      <w:r w:rsidRPr="328E35CF">
        <w:rPr>
          <w:rFonts w:cs="Times New Roman"/>
          <w:lang w:val="en-US"/>
        </w:rPr>
        <w:t xml:space="preserve">-Synuclein monomer treated with compounds compared to treatment with the DMSO control.  </w:t>
      </w:r>
      <w:r w:rsidRPr="328E35CF">
        <w:rPr>
          <w:rFonts w:eastAsia="Times New Roman"/>
          <w:b/>
          <w:bCs/>
          <w:shd w:val="clear" w:color="auto" w:fill="E6E6E6"/>
          <w:lang w:val="en-GB"/>
        </w:rPr>
        <w:t xml:space="preserve">C </w:t>
      </w:r>
      <w:r w:rsidRPr="328E35CF">
        <w:rPr>
          <w:rFonts w:eastAsia="Times New Roman"/>
          <w:lang w:val="en-GB"/>
        </w:rPr>
        <w:lastRenderedPageBreak/>
        <w:t xml:space="preserve">Volcano plot comparing the control (i.e., trypsin-only) peptide intensities of compound-treated α-Synuclein monomer to DMSO-treated monomer; colours as in B. </w:t>
      </w:r>
      <w:r w:rsidRPr="328E35CF">
        <w:rPr>
          <w:rFonts w:eastAsia="Times New Roman"/>
          <w:b/>
          <w:bCs/>
          <w:shd w:val="clear" w:color="auto" w:fill="E6E6E6"/>
          <w:lang w:val="en-GB"/>
        </w:rPr>
        <w:t>D</w:t>
      </w:r>
      <w:r w:rsidRPr="328E35CF">
        <w:rPr>
          <w:rFonts w:eastAsia="Times New Roman"/>
          <w:lang w:val="en-GB"/>
        </w:rPr>
        <w:t xml:space="preserve"> LiP peptide </w:t>
      </w:r>
      <w:proofErr w:type="gramStart"/>
      <w:r w:rsidRPr="328E35CF">
        <w:rPr>
          <w:rFonts w:eastAsia="Times New Roman"/>
          <w:lang w:val="en-GB"/>
        </w:rPr>
        <w:t xml:space="preserve">fingerprints  </w:t>
      </w:r>
      <w:r w:rsidRPr="328E35CF">
        <w:rPr>
          <w:rFonts w:cs="Times New Roman"/>
          <w:lang w:val="en-US"/>
        </w:rPr>
        <w:t>of</w:t>
      </w:r>
      <w:proofErr w:type="gramEnd"/>
      <w:r w:rsidRPr="328E35CF">
        <w:rPr>
          <w:rFonts w:cs="Times New Roman"/>
          <w:lang w:val="en-US"/>
        </w:rPr>
        <w:t xml:space="preserve"> </w:t>
      </w:r>
      <w:r w:rsidRPr="328E35CF">
        <w:rPr>
          <w:lang w:val="en-US"/>
        </w:rPr>
        <w:t>α</w:t>
      </w:r>
      <w:r w:rsidRPr="328E35CF">
        <w:rPr>
          <w:rFonts w:cs="Times New Roman"/>
          <w:lang w:val="en-US"/>
        </w:rPr>
        <w:t>-Synuclein treated with compounds and normalized for</w:t>
      </w:r>
      <w:r w:rsidRPr="328E35CF">
        <w:rPr>
          <w:rFonts w:eastAsia="Times New Roman"/>
          <w:lang w:val="en-GB"/>
        </w:rPr>
        <w:t xml:space="preserve"> the trypsin-only control data (</w:t>
      </w:r>
      <w:r w:rsidRPr="328E35CF">
        <w:rPr>
          <w:lang w:val="en-GB"/>
        </w:rPr>
        <w:t>The scale indicates the score per peptide. The significance threshold of -log</w:t>
      </w:r>
      <w:r w:rsidRPr="328E35CF">
        <w:rPr>
          <w:vertAlign w:val="subscript"/>
          <w:lang w:val="en-GB"/>
        </w:rPr>
        <w:t>10</w:t>
      </w:r>
      <w:r w:rsidRPr="328E35CF">
        <w:rPr>
          <w:lang w:val="en-GB"/>
        </w:rPr>
        <w:t>(0.05) x log</w:t>
      </w:r>
      <w:r w:rsidRPr="328E35CF">
        <w:rPr>
          <w:vertAlign w:val="subscript"/>
          <w:lang w:val="en-GB"/>
        </w:rPr>
        <w:t>2</w:t>
      </w:r>
      <w:r w:rsidRPr="328E35CF">
        <w:rPr>
          <w:lang w:val="en-GB"/>
        </w:rPr>
        <w:t>(2) is shown in white, with red indicating higher scores. The more intense the red colour, the higher the score. Not significant in grey. Not detected in yellow</w:t>
      </w:r>
      <w:r w:rsidRPr="328E35CF">
        <w:rPr>
          <w:rFonts w:eastAsia="Times New Roman"/>
          <w:lang w:val="en-GB"/>
        </w:rPr>
        <w:t>).</w:t>
      </w:r>
    </w:p>
    <w:p w14:paraId="0600C7B7" w14:textId="77777777" w:rsidR="00174B07" w:rsidRDefault="00174B07" w:rsidP="00174B07">
      <w:pPr>
        <w:tabs>
          <w:tab w:val="left" w:pos="468"/>
        </w:tabs>
        <w:contextualSpacing/>
        <w:rPr>
          <w:rFonts w:cs="Times New Roman"/>
          <w:lang w:val="en-US"/>
        </w:rPr>
      </w:pPr>
    </w:p>
    <w:p w14:paraId="66FA64D0" w14:textId="77777777" w:rsidR="00174B07" w:rsidRDefault="00174B07" w:rsidP="00174B07">
      <w:pPr>
        <w:tabs>
          <w:tab w:val="left" w:pos="468"/>
        </w:tabs>
        <w:contextualSpacing/>
        <w:rPr>
          <w:rFonts w:cs="Times New Roman"/>
          <w:lang w:val="en-US"/>
        </w:rPr>
      </w:pPr>
    </w:p>
    <w:p w14:paraId="2EFA6C48" w14:textId="77777777" w:rsidR="00174B07" w:rsidRDefault="00174B07" w:rsidP="00174B07">
      <w:pPr>
        <w:tabs>
          <w:tab w:val="left" w:pos="468"/>
        </w:tabs>
        <w:contextualSpacing/>
        <w:rPr>
          <w:rFonts w:cs="Times New Roman"/>
          <w:lang w:val="en-US"/>
        </w:rPr>
      </w:pPr>
      <w:r>
        <w:rPr>
          <w:rFonts w:cs="Times New Roman"/>
          <w:noProof/>
          <w:lang w:val="en-US"/>
        </w:rPr>
        <w:drawing>
          <wp:inline distT="0" distB="0" distL="0" distR="0" wp14:anchorId="203B2D91" wp14:editId="194FD2B1">
            <wp:extent cx="5760720" cy="7078345"/>
            <wp:effectExtent l="0" t="0" r="5080" b="0"/>
            <wp:docPr id="1192556186" name="Picture 17" descr="A diagram of a dna tes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556186" name="Picture 17" descr="A diagram of a dna test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7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8C77E" w14:textId="77777777" w:rsidR="00174B07" w:rsidRDefault="00174B07" w:rsidP="00174B07">
      <w:pPr>
        <w:tabs>
          <w:tab w:val="left" w:pos="468"/>
        </w:tabs>
        <w:contextualSpacing/>
        <w:rPr>
          <w:rFonts w:cs="Times New Roman"/>
          <w:lang w:val="en-US"/>
        </w:rPr>
      </w:pPr>
    </w:p>
    <w:p w14:paraId="49AA1599" w14:textId="77777777" w:rsidR="00174B07" w:rsidRDefault="00174B07" w:rsidP="00174B07">
      <w:pPr>
        <w:tabs>
          <w:tab w:val="left" w:pos="468"/>
        </w:tabs>
        <w:contextualSpacing/>
        <w:rPr>
          <w:rFonts w:cs="Times New Roman"/>
          <w:lang w:val="en-US"/>
        </w:rPr>
      </w:pPr>
      <w:r w:rsidRPr="328E35CF">
        <w:rPr>
          <w:rFonts w:cs="Times New Roman"/>
          <w:b/>
          <w:bCs/>
          <w:lang w:val="en-US"/>
        </w:rPr>
        <w:lastRenderedPageBreak/>
        <w:t xml:space="preserve">Supplementary figure 9. Compound interactions with </w:t>
      </w:r>
      <w:r w:rsidRPr="328E35CF">
        <w:rPr>
          <w:b/>
          <w:bCs/>
          <w:lang w:val="en-US"/>
        </w:rPr>
        <w:t>α</w:t>
      </w:r>
      <w:r w:rsidRPr="328E35CF">
        <w:rPr>
          <w:rFonts w:cs="Times New Roman"/>
          <w:b/>
          <w:bCs/>
          <w:lang w:val="en-US"/>
        </w:rPr>
        <w:t>-Synuclein fibril. A</w:t>
      </w:r>
      <w:r w:rsidRPr="328E35CF">
        <w:rPr>
          <w:rFonts w:cs="Times New Roman"/>
          <w:lang w:val="en-US"/>
        </w:rPr>
        <w:t xml:space="preserve"> Peptide analysis fingerprints of </w:t>
      </w:r>
      <w:r w:rsidRPr="328E35CF">
        <w:rPr>
          <w:lang w:val="en-US"/>
        </w:rPr>
        <w:t>α</w:t>
      </w:r>
      <w:r w:rsidRPr="328E35CF">
        <w:rPr>
          <w:rFonts w:cs="Times New Roman"/>
          <w:lang w:val="en-US"/>
        </w:rPr>
        <w:t xml:space="preserve">-Synuclein treated with compounds </w:t>
      </w:r>
      <w:r w:rsidRPr="328E35CF">
        <w:rPr>
          <w:rFonts w:eastAsia="Times New Roman"/>
          <w:lang w:val="en-GB"/>
        </w:rPr>
        <w:t>(non-significant in light grey, significant in red, not detected in yellow)</w:t>
      </w:r>
      <w:r w:rsidRPr="328E35CF">
        <w:rPr>
          <w:rFonts w:cs="Times New Roman"/>
          <w:lang w:val="en-US"/>
        </w:rPr>
        <w:t xml:space="preserve">. </w:t>
      </w:r>
      <w:r w:rsidRPr="328E35CF">
        <w:rPr>
          <w:rFonts w:cs="Times New Roman"/>
          <w:b/>
          <w:bCs/>
          <w:lang w:val="en-US"/>
        </w:rPr>
        <w:t>B</w:t>
      </w:r>
      <w:r w:rsidRPr="328E35CF">
        <w:rPr>
          <w:rFonts w:cs="Times New Roman"/>
          <w:lang w:val="en-US"/>
        </w:rPr>
        <w:t xml:space="preserve"> </w:t>
      </w:r>
      <w:r w:rsidRPr="328E35CF">
        <w:rPr>
          <w:rFonts w:eastAsia="Times New Roman"/>
          <w:lang w:val="en-GB"/>
        </w:rPr>
        <w:t xml:space="preserve">Volcano plot of compound treated α-Synuclein fibril (non-significant in light grey, significant in red). </w:t>
      </w:r>
      <w:r w:rsidRPr="328E35CF">
        <w:rPr>
          <w:rFonts w:eastAsia="Times New Roman"/>
          <w:b/>
          <w:bCs/>
          <w:lang w:val="en-GB"/>
        </w:rPr>
        <w:t xml:space="preserve">C </w:t>
      </w:r>
      <w:r w:rsidRPr="328E35CF">
        <w:rPr>
          <w:rFonts w:eastAsia="Times New Roman"/>
          <w:lang w:val="en-GB"/>
        </w:rPr>
        <w:t xml:space="preserve">Volcano plot of the control intensities of compound treated α-Synuclein fibril (non-significant in light grey, significant in red). </w:t>
      </w:r>
      <w:r w:rsidRPr="328E35CF">
        <w:rPr>
          <w:rFonts w:eastAsia="Times New Roman"/>
          <w:b/>
          <w:bCs/>
          <w:lang w:val="en-GB"/>
        </w:rPr>
        <w:t>D</w:t>
      </w:r>
      <w:r w:rsidRPr="328E35CF">
        <w:rPr>
          <w:rFonts w:eastAsia="Times New Roman"/>
          <w:lang w:val="en-GB"/>
        </w:rPr>
        <w:t xml:space="preserve"> Peptide fingerprint of the tryptic control normalised data (</w:t>
      </w:r>
      <w:r w:rsidRPr="328E35CF">
        <w:rPr>
          <w:lang w:val="en-GB"/>
        </w:rPr>
        <w:t>The scale indicates the score per peptide. The significance threshold of -log</w:t>
      </w:r>
      <w:r w:rsidRPr="328E35CF">
        <w:rPr>
          <w:vertAlign w:val="subscript"/>
          <w:lang w:val="en-GB"/>
        </w:rPr>
        <w:t>10</w:t>
      </w:r>
      <w:r w:rsidRPr="328E35CF">
        <w:rPr>
          <w:lang w:val="en-GB"/>
        </w:rPr>
        <w:t>(0.05) x log</w:t>
      </w:r>
      <w:r w:rsidRPr="328E35CF">
        <w:rPr>
          <w:vertAlign w:val="subscript"/>
          <w:lang w:val="en-GB"/>
        </w:rPr>
        <w:t>2</w:t>
      </w:r>
      <w:r w:rsidRPr="328E35CF">
        <w:rPr>
          <w:lang w:val="en-GB"/>
        </w:rPr>
        <w:t>(2) is shown in white, with red indicating higher scores. The more intense the red colour, the higher the score. Not significant in grey. Not detected in yellow</w:t>
      </w:r>
      <w:r w:rsidRPr="328E35CF">
        <w:rPr>
          <w:rFonts w:eastAsia="Times New Roman"/>
          <w:lang w:val="en-GB"/>
        </w:rPr>
        <w:t>).</w:t>
      </w:r>
    </w:p>
    <w:p w14:paraId="1D0B6CD8" w14:textId="77777777" w:rsidR="00174B07" w:rsidRDefault="00174B07" w:rsidP="00174B07">
      <w:pPr>
        <w:tabs>
          <w:tab w:val="left" w:pos="468"/>
        </w:tabs>
        <w:contextualSpacing/>
        <w:rPr>
          <w:rFonts w:ascii="Calibri" w:hAnsi="Calibri" w:cs="Calibri"/>
          <w:lang w:val="en-US"/>
        </w:rPr>
      </w:pPr>
    </w:p>
    <w:p w14:paraId="5A5B6146" w14:textId="77777777" w:rsidR="00174B07" w:rsidRDefault="00174B07" w:rsidP="00174B07">
      <w:pPr>
        <w:tabs>
          <w:tab w:val="left" w:pos="468"/>
        </w:tabs>
        <w:contextualSpacing/>
        <w:rPr>
          <w:rFonts w:ascii="Calibri" w:hAnsi="Calibri" w:cs="Calibri"/>
          <w:b/>
          <w:bCs/>
          <w:lang w:val="en-GB"/>
        </w:rPr>
      </w:pPr>
    </w:p>
    <w:p w14:paraId="7EAFAD37" w14:textId="77777777" w:rsidR="00174B07" w:rsidRDefault="00174B07" w:rsidP="00174B07">
      <w:pPr>
        <w:tabs>
          <w:tab w:val="left" w:pos="468"/>
        </w:tabs>
        <w:contextualSpacing/>
      </w:pPr>
    </w:p>
    <w:p w14:paraId="349521AC" w14:textId="77777777" w:rsidR="00174B07" w:rsidRDefault="00174B07" w:rsidP="00174B07">
      <w:pPr>
        <w:tabs>
          <w:tab w:val="left" w:pos="468"/>
        </w:tabs>
        <w:contextualSpacing/>
      </w:pPr>
      <w:r>
        <w:rPr>
          <w:noProof/>
        </w:rPr>
        <w:drawing>
          <wp:inline distT="0" distB="0" distL="0" distR="0" wp14:anchorId="2652A0ED" wp14:editId="4AF468A8">
            <wp:extent cx="5760720" cy="6176645"/>
            <wp:effectExtent l="0" t="0" r="5080" b="0"/>
            <wp:docPr id="461788775" name="Picture 4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788775" name="Picture 4" descr="A screenshot of a graph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7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9A5B7" w14:textId="77777777" w:rsidR="00174B07" w:rsidRDefault="00174B07" w:rsidP="00174B07">
      <w:pPr>
        <w:tabs>
          <w:tab w:val="left" w:pos="468"/>
        </w:tabs>
        <w:contextualSpacing/>
        <w:rPr>
          <w:rFonts w:ascii="Calibri" w:hAnsi="Calibri" w:cs="Calibri"/>
          <w:b/>
          <w:bCs/>
          <w:lang w:val="en-GB"/>
        </w:rPr>
      </w:pPr>
    </w:p>
    <w:p w14:paraId="36973C57" w14:textId="77777777" w:rsidR="00174B07" w:rsidRDefault="00174B07" w:rsidP="00174B07">
      <w:pPr>
        <w:tabs>
          <w:tab w:val="left" w:pos="468"/>
        </w:tabs>
        <w:contextualSpacing/>
        <w:rPr>
          <w:rFonts w:ascii="Calibri" w:eastAsia="Calibri" w:hAnsi="Calibri" w:cs="Calibri"/>
          <w:lang w:val="en-GB"/>
        </w:rPr>
      </w:pPr>
      <w:r w:rsidRPr="146358E7">
        <w:rPr>
          <w:rFonts w:ascii="Calibri" w:hAnsi="Calibri" w:cs="Calibri"/>
          <w:b/>
          <w:bCs/>
          <w:lang w:val="en-GB"/>
        </w:rPr>
        <w:t xml:space="preserve">Supplementary figure 10. </w:t>
      </w:r>
      <w:r w:rsidRPr="146358E7">
        <w:rPr>
          <w:rFonts w:cs="Times New Roman"/>
          <w:b/>
          <w:bCs/>
          <w:lang w:val="en-US"/>
        </w:rPr>
        <w:t xml:space="preserve"> A. </w:t>
      </w:r>
      <w:r w:rsidRPr="146358E7">
        <w:rPr>
          <w:lang w:val="en-GB"/>
        </w:rPr>
        <w:t xml:space="preserve">Volcano plots showing peptides with altered </w:t>
      </w:r>
      <w:r w:rsidRPr="146358E7">
        <w:rPr>
          <w:rFonts w:ascii="Calibri" w:hAnsi="Calibri" w:cs="Calibri"/>
          <w:lang w:val="en-GB"/>
        </w:rPr>
        <w:t xml:space="preserve">abundance after spike-in of the indicated compounds into cell lysates. Number of significant hits and total number of </w:t>
      </w:r>
      <w:r w:rsidRPr="146358E7">
        <w:rPr>
          <w:rFonts w:ascii="Calibri" w:hAnsi="Calibri" w:cs="Calibri"/>
          <w:lang w:val="en-GB"/>
        </w:rPr>
        <w:lastRenderedPageBreak/>
        <w:t xml:space="preserve">detected peptides are indicated. </w:t>
      </w:r>
      <w:r w:rsidRPr="146358E7">
        <w:rPr>
          <w:rFonts w:cs="Times New Roman"/>
          <w:b/>
          <w:bCs/>
          <w:lang w:val="en-US"/>
        </w:rPr>
        <w:t xml:space="preserve">B, C </w:t>
      </w:r>
      <w:r w:rsidRPr="146358E7">
        <w:rPr>
          <w:rFonts w:cs="Times New Roman"/>
          <w:lang w:val="en-US"/>
        </w:rPr>
        <w:t xml:space="preserve">The plots show a </w:t>
      </w:r>
      <w:proofErr w:type="spellStart"/>
      <w:r w:rsidRPr="146358E7">
        <w:rPr>
          <w:rFonts w:cs="Times New Roman"/>
          <w:lang w:val="en-US"/>
        </w:rPr>
        <w:t>LiPQuant</w:t>
      </w:r>
      <w:proofErr w:type="spellEnd"/>
      <w:r w:rsidRPr="146358E7">
        <w:rPr>
          <w:rFonts w:cs="Times New Roman"/>
          <w:lang w:val="en-US"/>
        </w:rPr>
        <w:t xml:space="preserve"> analysis of alpha-synuclein in the presence of indicated compounds, with detected peptides colored according to the </w:t>
      </w:r>
      <w:proofErr w:type="spellStart"/>
      <w:r w:rsidRPr="146358E7">
        <w:rPr>
          <w:rFonts w:cs="Times New Roman"/>
          <w:lang w:val="en-US"/>
        </w:rPr>
        <w:t>LiPQuant</w:t>
      </w:r>
      <w:proofErr w:type="spellEnd"/>
      <w:r w:rsidRPr="146358E7">
        <w:rPr>
          <w:rFonts w:cs="Times New Roman"/>
          <w:lang w:val="en-US"/>
        </w:rPr>
        <w:t xml:space="preserve"> score. </w:t>
      </w:r>
      <w:r w:rsidRPr="146358E7">
        <w:rPr>
          <w:rFonts w:cs="Times New Roman"/>
          <w:lang w:val="en-GB"/>
        </w:rPr>
        <w:t>Red is significant. Grey is not significant.</w:t>
      </w:r>
      <w:r w:rsidRPr="146358E7">
        <w:rPr>
          <w:rFonts w:cs="Times New Roman"/>
          <w:lang w:val="en-US"/>
        </w:rPr>
        <w:t xml:space="preserve"> Note that A and B are scaled differently; </w:t>
      </w:r>
      <w:proofErr w:type="spellStart"/>
      <w:r w:rsidRPr="146358E7">
        <w:rPr>
          <w:rFonts w:cs="Times New Roman"/>
          <w:lang w:val="en-US"/>
        </w:rPr>
        <w:t>LiPQuant</w:t>
      </w:r>
      <w:proofErr w:type="spellEnd"/>
      <w:r w:rsidRPr="146358E7">
        <w:rPr>
          <w:rFonts w:cs="Times New Roman"/>
          <w:lang w:val="en-US"/>
        </w:rPr>
        <w:t xml:space="preserve"> scores are shown to a threshold of 2.0 (B) and 1.5 (C). </w:t>
      </w:r>
      <w:r w:rsidRPr="146358E7">
        <w:rPr>
          <w:rFonts w:ascii="Calibri" w:eastAsia="Calibri" w:hAnsi="Calibri" w:cs="Calibri"/>
          <w:b/>
          <w:bCs/>
          <w:lang w:val="en-GB"/>
        </w:rPr>
        <w:t>D</w:t>
      </w:r>
      <w:r w:rsidRPr="146358E7">
        <w:rPr>
          <w:rFonts w:ascii="Calibri" w:eastAsia="Calibri" w:hAnsi="Calibri" w:cs="Calibri"/>
          <w:lang w:val="en-GB"/>
        </w:rPr>
        <w:t xml:space="preserve"> </w:t>
      </w:r>
      <w:r w:rsidRPr="146358E7">
        <w:rPr>
          <w:rFonts w:cs="Times New Roman"/>
          <w:lang w:val="en-US"/>
        </w:rPr>
        <w:t>The table shows</w:t>
      </w:r>
      <w:r w:rsidRPr="146358E7">
        <w:rPr>
          <w:rFonts w:ascii="Calibri" w:eastAsia="Calibri" w:hAnsi="Calibri" w:cs="Calibri"/>
          <w:lang w:val="en-GB"/>
        </w:rPr>
        <w:t xml:space="preserve"> α-Synuclein peptides and their start and end position, ec50 value and </w:t>
      </w:r>
      <w:proofErr w:type="spellStart"/>
      <w:r w:rsidRPr="146358E7">
        <w:rPr>
          <w:rFonts w:ascii="Calibri" w:eastAsia="Calibri" w:hAnsi="Calibri" w:cs="Calibri"/>
          <w:lang w:val="en-GB"/>
        </w:rPr>
        <w:t>LiPQuant</w:t>
      </w:r>
      <w:proofErr w:type="spellEnd"/>
      <w:r w:rsidRPr="146358E7">
        <w:rPr>
          <w:rFonts w:ascii="Calibri" w:eastAsia="Calibri" w:hAnsi="Calibri" w:cs="Calibri"/>
          <w:lang w:val="en-GB"/>
        </w:rPr>
        <w:t xml:space="preserve"> score. The blue and yellow </w:t>
      </w:r>
      <w:proofErr w:type="spellStart"/>
      <w:r w:rsidRPr="146358E7">
        <w:rPr>
          <w:rFonts w:ascii="Calibri" w:eastAsia="Calibri" w:hAnsi="Calibri" w:cs="Calibri"/>
          <w:lang w:val="en-GB"/>
        </w:rPr>
        <w:t>colors</w:t>
      </w:r>
      <w:proofErr w:type="spellEnd"/>
      <w:r w:rsidRPr="146358E7">
        <w:rPr>
          <w:rFonts w:ascii="Calibri" w:eastAsia="Calibri" w:hAnsi="Calibri" w:cs="Calibri"/>
          <w:lang w:val="en-GB"/>
        </w:rPr>
        <w:t xml:space="preserve"> indicate the two α-Synuclein peptides with </w:t>
      </w:r>
      <w:proofErr w:type="spellStart"/>
      <w:r w:rsidRPr="146358E7">
        <w:rPr>
          <w:rFonts w:ascii="Calibri" w:eastAsia="Calibri" w:hAnsi="Calibri" w:cs="Calibri"/>
          <w:lang w:val="en-GB"/>
        </w:rPr>
        <w:t>LiPQuant</w:t>
      </w:r>
      <w:proofErr w:type="spellEnd"/>
      <w:r w:rsidRPr="146358E7">
        <w:rPr>
          <w:rFonts w:ascii="Calibri" w:eastAsia="Calibri" w:hAnsi="Calibri" w:cs="Calibri"/>
          <w:lang w:val="en-GB"/>
        </w:rPr>
        <w:t xml:space="preserve"> score &gt; 1.5 in the presence of </w:t>
      </w:r>
      <w:proofErr w:type="gramStart"/>
      <w:r w:rsidRPr="146358E7">
        <w:rPr>
          <w:rFonts w:ascii="Calibri" w:eastAsia="Calibri" w:hAnsi="Calibri" w:cs="Calibri"/>
          <w:lang w:val="en-GB"/>
        </w:rPr>
        <w:t>EGCG .</w:t>
      </w:r>
      <w:proofErr w:type="gramEnd"/>
      <w:r w:rsidRPr="146358E7">
        <w:rPr>
          <w:rFonts w:ascii="Calibri" w:eastAsia="Calibri" w:hAnsi="Calibri" w:cs="Calibri"/>
          <w:lang w:val="en-GB"/>
        </w:rPr>
        <w:t xml:space="preserve"> The plots show curve fits of peptide intensity versus EGCG concentration for the two α-Synuclein peptides with </w:t>
      </w:r>
      <w:proofErr w:type="spellStart"/>
      <w:r w:rsidRPr="146358E7">
        <w:rPr>
          <w:rFonts w:ascii="Calibri" w:eastAsia="Calibri" w:hAnsi="Calibri" w:cs="Calibri"/>
          <w:lang w:val="en-GB"/>
        </w:rPr>
        <w:t>LiPQuant</w:t>
      </w:r>
      <w:proofErr w:type="spellEnd"/>
      <w:r w:rsidRPr="146358E7">
        <w:rPr>
          <w:rFonts w:ascii="Calibri" w:eastAsia="Calibri" w:hAnsi="Calibri" w:cs="Calibri"/>
          <w:lang w:val="en-GB"/>
        </w:rPr>
        <w:t xml:space="preserve"> score &gt; 1.5 in the presence of EGCG. </w:t>
      </w:r>
      <w:r w:rsidRPr="146358E7">
        <w:rPr>
          <w:rFonts w:ascii="Calibri" w:eastAsia="Calibri" w:hAnsi="Calibri" w:cs="Calibri"/>
          <w:b/>
          <w:bCs/>
          <w:lang w:val="en-GB"/>
        </w:rPr>
        <w:t>E.</w:t>
      </w:r>
      <w:r w:rsidRPr="146358E7">
        <w:rPr>
          <w:rFonts w:ascii="Calibri" w:eastAsia="Calibri" w:hAnsi="Calibri" w:cs="Calibri"/>
          <w:lang w:val="en-GB"/>
        </w:rPr>
        <w:t xml:space="preserve"> Number of significant proteins in the presence of the indicated compounds, at </w:t>
      </w:r>
      <w:proofErr w:type="spellStart"/>
      <w:r w:rsidRPr="146358E7">
        <w:rPr>
          <w:rFonts w:ascii="Calibri" w:eastAsia="Calibri" w:hAnsi="Calibri" w:cs="Calibri"/>
          <w:lang w:val="en-GB"/>
        </w:rPr>
        <w:t>LiPQuant</w:t>
      </w:r>
      <w:proofErr w:type="spellEnd"/>
      <w:r w:rsidRPr="146358E7">
        <w:rPr>
          <w:rFonts w:ascii="Calibri" w:eastAsia="Calibri" w:hAnsi="Calibri" w:cs="Calibri"/>
          <w:lang w:val="en-GB"/>
        </w:rPr>
        <w:t xml:space="preserve"> score &gt; 1.5. </w:t>
      </w:r>
      <w:r w:rsidRPr="146358E7">
        <w:rPr>
          <w:rFonts w:ascii="Calibri" w:eastAsia="Calibri" w:hAnsi="Calibri" w:cs="Calibri"/>
          <w:b/>
          <w:bCs/>
          <w:lang w:val="en-GB"/>
        </w:rPr>
        <w:t>F</w:t>
      </w:r>
      <w:r w:rsidRPr="146358E7">
        <w:rPr>
          <w:rFonts w:ascii="Calibri" w:eastAsia="Calibri" w:hAnsi="Calibri" w:cs="Calibri"/>
          <w:lang w:val="en-GB"/>
        </w:rPr>
        <w:t>.</w:t>
      </w:r>
      <w:r w:rsidRPr="146358E7">
        <w:rPr>
          <w:rFonts w:cs="Times New Roman"/>
          <w:lang w:val="en-US"/>
        </w:rPr>
        <w:t xml:space="preserve"> </w:t>
      </w:r>
      <w:r w:rsidRPr="146358E7">
        <w:rPr>
          <w:rFonts w:ascii="Calibri" w:eastAsia="Calibri" w:hAnsi="Calibri" w:cs="Calibri"/>
          <w:lang w:val="en-GB"/>
        </w:rPr>
        <w:t>Fisher’s exact test of significant proteins (</w:t>
      </w:r>
      <w:proofErr w:type="spellStart"/>
      <w:r w:rsidRPr="146358E7">
        <w:rPr>
          <w:rFonts w:ascii="Calibri" w:eastAsia="Calibri" w:hAnsi="Calibri" w:cs="Calibri"/>
          <w:lang w:val="en-GB"/>
        </w:rPr>
        <w:t>LiPQuant</w:t>
      </w:r>
      <w:proofErr w:type="spellEnd"/>
      <w:r w:rsidRPr="146358E7">
        <w:rPr>
          <w:rFonts w:ascii="Calibri" w:eastAsia="Calibri" w:hAnsi="Calibri" w:cs="Calibri"/>
          <w:lang w:val="en-GB"/>
        </w:rPr>
        <w:t xml:space="preserve"> score &gt; 1.5) detected in the presence of Doxycycline and in the Doxycycline pulldown experiment compared to not significant background. </w:t>
      </w:r>
    </w:p>
    <w:p w14:paraId="62F2ADCB" w14:textId="77777777" w:rsidR="00174B07" w:rsidRDefault="00174B07" w:rsidP="00174B07">
      <w:pPr>
        <w:tabs>
          <w:tab w:val="left" w:pos="468"/>
        </w:tabs>
        <w:rPr>
          <w:rFonts w:ascii="Calibri" w:eastAsia="Calibri" w:hAnsi="Calibri" w:cs="Calibri"/>
          <w:lang w:val="en-GB"/>
        </w:rPr>
      </w:pPr>
    </w:p>
    <w:p w14:paraId="13023CEF" w14:textId="77777777" w:rsidR="00174B07" w:rsidRPr="00303B9F" w:rsidRDefault="00174B07" w:rsidP="00174B07">
      <w:pPr>
        <w:keepNext/>
        <w:tabs>
          <w:tab w:val="left" w:pos="468"/>
        </w:tabs>
        <w:rPr>
          <w:rFonts w:cs="Times New Roman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1D5FD697" wp14:editId="00B8255E">
            <wp:extent cx="5760720" cy="5570218"/>
            <wp:effectExtent l="0" t="0" r="0" b="0"/>
            <wp:docPr id="18" name="Grafik 18" descr="Ein Bild, das Kart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70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85DC9" w14:textId="77777777" w:rsidR="00174B07" w:rsidRPr="00EE759F" w:rsidRDefault="00174B07" w:rsidP="00174B07">
      <w:pPr>
        <w:pStyle w:val="Caption"/>
        <w:jc w:val="both"/>
        <w:rPr>
          <w:rFonts w:asciiTheme="minorHAnsi" w:hAnsiTheme="minorHAnsi"/>
          <w:b w:val="0"/>
          <w:sz w:val="20"/>
          <w:szCs w:val="20"/>
          <w:lang w:val="en-GB"/>
        </w:rPr>
      </w:pPr>
      <w:bookmarkStart w:id="1" w:name="_Ref91448969"/>
      <w:r w:rsidRPr="4174735B">
        <w:rPr>
          <w:rFonts w:asciiTheme="minorHAnsi" w:hAnsiTheme="minorHAnsi"/>
          <w:sz w:val="20"/>
          <w:szCs w:val="20"/>
          <w:lang w:val="en-GB"/>
        </w:rPr>
        <w:t xml:space="preserve">Supplementary figure </w:t>
      </w:r>
      <w:bookmarkEnd w:id="1"/>
      <w:r w:rsidRPr="4174735B">
        <w:rPr>
          <w:rFonts w:asciiTheme="minorHAnsi" w:hAnsiTheme="minorHAnsi"/>
          <w:sz w:val="20"/>
          <w:szCs w:val="20"/>
          <w:lang w:val="en-US"/>
        </w:rPr>
        <w:t xml:space="preserve">11. Significant hits with ATP/ADP/C2R bound </w:t>
      </w:r>
      <w:proofErr w:type="spellStart"/>
      <w:r w:rsidRPr="4174735B">
        <w:rPr>
          <w:rFonts w:asciiTheme="minorHAnsi" w:hAnsiTheme="minorHAnsi"/>
          <w:sz w:val="20"/>
          <w:szCs w:val="20"/>
          <w:lang w:val="en-US"/>
        </w:rPr>
        <w:t>pdb</w:t>
      </w:r>
      <w:proofErr w:type="spellEnd"/>
      <w:r w:rsidRPr="4174735B">
        <w:rPr>
          <w:rFonts w:asciiTheme="minorHAnsi" w:hAnsiTheme="minorHAnsi"/>
          <w:sz w:val="20"/>
          <w:szCs w:val="20"/>
          <w:lang w:val="en-US"/>
        </w:rPr>
        <w:t xml:space="preserve"> structures. A </w:t>
      </w:r>
      <w:r w:rsidRPr="4174735B">
        <w:rPr>
          <w:rFonts w:asciiTheme="minorHAnsi" w:hAnsiTheme="minorHAnsi"/>
          <w:b w:val="0"/>
          <w:sz w:val="20"/>
          <w:szCs w:val="20"/>
          <w:lang w:val="en-US"/>
        </w:rPr>
        <w:t>ACTR (</w:t>
      </w:r>
      <w:proofErr w:type="spellStart"/>
      <w:r w:rsidRPr="4174735B">
        <w:rPr>
          <w:rFonts w:asciiTheme="minorHAnsi" w:hAnsiTheme="minorHAnsi"/>
          <w:b w:val="0"/>
          <w:sz w:val="20"/>
          <w:szCs w:val="20"/>
          <w:lang w:val="en-US"/>
        </w:rPr>
        <w:t>pdb</w:t>
      </w:r>
      <w:proofErr w:type="spellEnd"/>
      <w:r w:rsidRPr="4174735B">
        <w:rPr>
          <w:rFonts w:asciiTheme="minorHAnsi" w:hAnsiTheme="minorHAnsi"/>
          <w:b w:val="0"/>
          <w:sz w:val="20"/>
          <w:szCs w:val="20"/>
          <w:lang w:val="en-US"/>
        </w:rPr>
        <w:t>: 6uhc). Significant hits in red, ATP in cyan.</w:t>
      </w:r>
      <w:r w:rsidRPr="4174735B">
        <w:rPr>
          <w:rFonts w:asciiTheme="minorHAnsi" w:hAnsiTheme="minorHAnsi"/>
          <w:sz w:val="20"/>
          <w:szCs w:val="20"/>
          <w:lang w:val="en-US"/>
        </w:rPr>
        <w:t xml:space="preserve"> B </w:t>
      </w:r>
      <w:r w:rsidRPr="4174735B">
        <w:rPr>
          <w:rFonts w:asciiTheme="minorHAnsi" w:hAnsiTheme="minorHAnsi"/>
          <w:b w:val="0"/>
          <w:sz w:val="20"/>
          <w:szCs w:val="20"/>
          <w:lang w:val="en-US"/>
        </w:rPr>
        <w:t>HK1 (</w:t>
      </w:r>
      <w:proofErr w:type="spellStart"/>
      <w:r w:rsidRPr="4174735B">
        <w:rPr>
          <w:rFonts w:asciiTheme="minorHAnsi" w:hAnsiTheme="minorHAnsi"/>
          <w:b w:val="0"/>
          <w:sz w:val="20"/>
          <w:szCs w:val="20"/>
          <w:lang w:val="en-US"/>
        </w:rPr>
        <w:t>pdb</w:t>
      </w:r>
      <w:proofErr w:type="spellEnd"/>
      <w:r w:rsidRPr="4174735B">
        <w:rPr>
          <w:rFonts w:asciiTheme="minorHAnsi" w:hAnsiTheme="minorHAnsi"/>
          <w:b w:val="0"/>
          <w:sz w:val="20"/>
          <w:szCs w:val="20"/>
          <w:lang w:val="en-US"/>
        </w:rPr>
        <w:t>: 1dgk). Significant hit in red, ADP in blue.</w:t>
      </w:r>
      <w:r w:rsidRPr="4174735B">
        <w:rPr>
          <w:rFonts w:asciiTheme="minorHAnsi" w:hAnsiTheme="minorHAnsi"/>
          <w:sz w:val="20"/>
          <w:szCs w:val="20"/>
          <w:lang w:val="en-US"/>
        </w:rPr>
        <w:t xml:space="preserve"> C </w:t>
      </w:r>
      <w:r w:rsidRPr="4174735B">
        <w:rPr>
          <w:rFonts w:asciiTheme="minorHAnsi" w:hAnsiTheme="minorHAnsi"/>
          <w:b w:val="0"/>
          <w:sz w:val="20"/>
          <w:szCs w:val="20"/>
          <w:lang w:val="en-US"/>
        </w:rPr>
        <w:t>MYH10 (</w:t>
      </w:r>
      <w:proofErr w:type="spellStart"/>
      <w:r w:rsidRPr="4174735B">
        <w:rPr>
          <w:rFonts w:asciiTheme="minorHAnsi" w:hAnsiTheme="minorHAnsi"/>
          <w:b w:val="0"/>
          <w:sz w:val="20"/>
          <w:szCs w:val="20"/>
          <w:lang w:val="en-US"/>
        </w:rPr>
        <w:t>pdb</w:t>
      </w:r>
      <w:proofErr w:type="spellEnd"/>
      <w:r w:rsidRPr="4174735B">
        <w:rPr>
          <w:rFonts w:asciiTheme="minorHAnsi" w:hAnsiTheme="minorHAnsi"/>
          <w:b w:val="0"/>
          <w:sz w:val="20"/>
          <w:szCs w:val="20"/>
          <w:lang w:val="en-US"/>
        </w:rPr>
        <w:t xml:space="preserve">: 4pd3). Significant hit in red. ATP binding site from “uniprot.org” in cyan. </w:t>
      </w:r>
      <w:r w:rsidRPr="4174735B">
        <w:rPr>
          <w:rFonts w:asciiTheme="minorHAnsi" w:hAnsiTheme="minorHAnsi"/>
          <w:sz w:val="20"/>
          <w:szCs w:val="20"/>
          <w:lang w:val="en-US"/>
        </w:rPr>
        <w:t xml:space="preserve">D </w:t>
      </w:r>
      <w:r w:rsidRPr="4174735B">
        <w:rPr>
          <w:rFonts w:asciiTheme="minorHAnsi" w:hAnsiTheme="minorHAnsi"/>
          <w:b w:val="0"/>
          <w:sz w:val="20"/>
          <w:szCs w:val="20"/>
          <w:lang w:val="en-US"/>
        </w:rPr>
        <w:t>PAICS (</w:t>
      </w:r>
      <w:proofErr w:type="spellStart"/>
      <w:r w:rsidRPr="4174735B">
        <w:rPr>
          <w:rFonts w:asciiTheme="minorHAnsi" w:hAnsiTheme="minorHAnsi"/>
          <w:b w:val="0"/>
          <w:sz w:val="20"/>
          <w:szCs w:val="20"/>
          <w:lang w:val="en-US"/>
        </w:rPr>
        <w:t>pdb</w:t>
      </w:r>
      <w:proofErr w:type="spellEnd"/>
      <w:r w:rsidRPr="4174735B">
        <w:rPr>
          <w:rFonts w:asciiTheme="minorHAnsi" w:hAnsiTheme="minorHAnsi"/>
          <w:b w:val="0"/>
          <w:sz w:val="20"/>
          <w:szCs w:val="20"/>
          <w:lang w:val="en-US"/>
        </w:rPr>
        <w:t>: 6yb8). Significant hit in red, C2R in cyan.</w:t>
      </w:r>
      <w:r w:rsidRPr="4174735B">
        <w:rPr>
          <w:rFonts w:asciiTheme="minorHAnsi" w:hAnsiTheme="minorHAnsi"/>
          <w:sz w:val="20"/>
          <w:szCs w:val="20"/>
          <w:lang w:val="en-US"/>
        </w:rPr>
        <w:t xml:space="preserve"> E </w:t>
      </w:r>
      <w:r w:rsidRPr="4174735B">
        <w:rPr>
          <w:rFonts w:asciiTheme="minorHAnsi" w:hAnsiTheme="minorHAnsi"/>
          <w:b w:val="0"/>
          <w:sz w:val="20"/>
          <w:szCs w:val="20"/>
          <w:lang w:val="en-US"/>
        </w:rPr>
        <w:t>ACTB (</w:t>
      </w:r>
      <w:proofErr w:type="spellStart"/>
      <w:r w:rsidRPr="4174735B">
        <w:rPr>
          <w:rFonts w:asciiTheme="minorHAnsi" w:hAnsiTheme="minorHAnsi"/>
          <w:b w:val="0"/>
          <w:sz w:val="20"/>
          <w:szCs w:val="20"/>
          <w:lang w:val="en-US"/>
        </w:rPr>
        <w:t>pdb</w:t>
      </w:r>
      <w:proofErr w:type="spellEnd"/>
      <w:r w:rsidRPr="4174735B">
        <w:rPr>
          <w:rFonts w:asciiTheme="minorHAnsi" w:hAnsiTheme="minorHAnsi"/>
          <w:b w:val="0"/>
          <w:sz w:val="20"/>
          <w:szCs w:val="20"/>
          <w:lang w:val="en-US"/>
        </w:rPr>
        <w:t>: 3j82). Significant hit in red, ADP in cyan.</w:t>
      </w:r>
    </w:p>
    <w:p w14:paraId="0862D45F" w14:textId="77777777" w:rsidR="00174B07" w:rsidRPr="00303B9F" w:rsidRDefault="00174B07" w:rsidP="00174B07">
      <w:pPr>
        <w:jc w:val="both"/>
        <w:rPr>
          <w:rFonts w:cs="Times New Roman"/>
          <w:lang w:val="en-US"/>
        </w:rPr>
      </w:pPr>
    </w:p>
    <w:p w14:paraId="5279E6A6" w14:textId="77777777" w:rsidR="00174B07" w:rsidRPr="00303B9F" w:rsidRDefault="00174B07" w:rsidP="00174B07">
      <w:pPr>
        <w:jc w:val="both"/>
        <w:rPr>
          <w:rFonts w:cs="Times New Roman"/>
          <w:bCs/>
          <w:lang w:val="en-US"/>
        </w:rPr>
      </w:pPr>
    </w:p>
    <w:p w14:paraId="2992599B" w14:textId="77777777" w:rsidR="00174B07" w:rsidRPr="00303B9F" w:rsidRDefault="00174B07" w:rsidP="00174B07">
      <w:pPr>
        <w:keepNext/>
        <w:jc w:val="both"/>
        <w:rPr>
          <w:rFonts w:cs="Times New Roman"/>
          <w:lang w:val="en-GB"/>
        </w:rPr>
      </w:pPr>
    </w:p>
    <w:p w14:paraId="6E8446FA" w14:textId="77777777" w:rsidR="00174B07" w:rsidRPr="00303B9F" w:rsidRDefault="00174B07" w:rsidP="00174B07">
      <w:pPr>
        <w:keepNext/>
        <w:jc w:val="both"/>
        <w:rPr>
          <w:rFonts w:cs="Times New Roman"/>
        </w:rPr>
      </w:pPr>
      <w:r w:rsidRPr="00303B9F">
        <w:rPr>
          <w:rFonts w:cs="Times New Roman"/>
          <w:b/>
          <w:bCs/>
          <w:noProof/>
          <w:color w:val="2B579A"/>
          <w:shd w:val="clear" w:color="auto" w:fill="E6E6E6"/>
          <w:lang w:eastAsia="de-CH"/>
        </w:rPr>
        <w:drawing>
          <wp:inline distT="0" distB="0" distL="0" distR="0" wp14:anchorId="337E37B4" wp14:editId="34B03A26">
            <wp:extent cx="5760720" cy="2961005"/>
            <wp:effectExtent l="0" t="0" r="0" b="0"/>
            <wp:docPr id="12" name="Grafik 12" descr="A group of white and red objec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 descr="A group of white and red objec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3E373" w14:textId="77777777" w:rsidR="00174B07" w:rsidRPr="00EE759F" w:rsidRDefault="00174B07" w:rsidP="00174B07">
      <w:pPr>
        <w:pStyle w:val="Caption"/>
        <w:jc w:val="both"/>
        <w:rPr>
          <w:rFonts w:asciiTheme="minorHAnsi" w:hAnsiTheme="minorHAnsi"/>
          <w:b w:val="0"/>
          <w:sz w:val="22"/>
          <w:szCs w:val="22"/>
          <w:lang w:val="en-US"/>
        </w:rPr>
      </w:pPr>
      <w:bookmarkStart w:id="2" w:name="_Ref91448992"/>
      <w:r w:rsidRPr="4174735B">
        <w:rPr>
          <w:rFonts w:asciiTheme="minorHAnsi" w:hAnsiTheme="minorHAnsi"/>
          <w:sz w:val="22"/>
          <w:szCs w:val="22"/>
          <w:lang w:val="en-GB"/>
        </w:rPr>
        <w:t xml:space="preserve">Supplementary figure </w:t>
      </w:r>
      <w:bookmarkEnd w:id="2"/>
      <w:r w:rsidRPr="4174735B">
        <w:rPr>
          <w:rFonts w:asciiTheme="minorHAnsi" w:hAnsiTheme="minorHAnsi"/>
          <w:sz w:val="22"/>
          <w:szCs w:val="22"/>
          <w:lang w:val="en-US"/>
        </w:rPr>
        <w:t xml:space="preserve">12. Significant hits with NAD/NDP bound </w:t>
      </w:r>
      <w:proofErr w:type="spellStart"/>
      <w:r w:rsidRPr="4174735B">
        <w:rPr>
          <w:rFonts w:asciiTheme="minorHAnsi" w:hAnsiTheme="minorHAnsi"/>
          <w:sz w:val="22"/>
          <w:szCs w:val="22"/>
          <w:lang w:val="en-US"/>
        </w:rPr>
        <w:t>pdb</w:t>
      </w:r>
      <w:proofErr w:type="spellEnd"/>
      <w:r w:rsidRPr="4174735B">
        <w:rPr>
          <w:rFonts w:asciiTheme="minorHAnsi" w:hAnsiTheme="minorHAnsi"/>
          <w:sz w:val="22"/>
          <w:szCs w:val="22"/>
          <w:lang w:val="en-US"/>
        </w:rPr>
        <w:t xml:space="preserve"> structures. A </w:t>
      </w:r>
      <w:r w:rsidRPr="4174735B">
        <w:rPr>
          <w:rFonts w:asciiTheme="minorHAnsi" w:hAnsiTheme="minorHAnsi"/>
          <w:b w:val="0"/>
          <w:sz w:val="22"/>
          <w:szCs w:val="22"/>
          <w:lang w:val="en-US"/>
        </w:rPr>
        <w:t>ADH5 (</w:t>
      </w:r>
      <w:proofErr w:type="spellStart"/>
      <w:r w:rsidRPr="4174735B">
        <w:rPr>
          <w:rFonts w:asciiTheme="minorHAnsi" w:hAnsiTheme="minorHAnsi"/>
          <w:b w:val="0"/>
          <w:sz w:val="22"/>
          <w:szCs w:val="22"/>
          <w:lang w:val="en-US"/>
        </w:rPr>
        <w:t>pdb</w:t>
      </w:r>
      <w:proofErr w:type="spellEnd"/>
      <w:r w:rsidRPr="4174735B">
        <w:rPr>
          <w:rFonts w:asciiTheme="minorHAnsi" w:hAnsiTheme="minorHAnsi"/>
          <w:b w:val="0"/>
          <w:sz w:val="22"/>
          <w:szCs w:val="22"/>
          <w:lang w:val="en-US"/>
        </w:rPr>
        <w:t>: 1mc5). Significant hit in red, NAD and AHE in cyan.</w:t>
      </w:r>
      <w:r w:rsidRPr="4174735B">
        <w:rPr>
          <w:rFonts w:asciiTheme="minorHAnsi" w:hAnsiTheme="minorHAnsi"/>
          <w:sz w:val="22"/>
          <w:szCs w:val="22"/>
          <w:lang w:val="en-US"/>
        </w:rPr>
        <w:t xml:space="preserve"> B </w:t>
      </w:r>
      <w:r w:rsidRPr="4174735B">
        <w:rPr>
          <w:rFonts w:asciiTheme="minorHAnsi" w:hAnsiTheme="minorHAnsi"/>
          <w:b w:val="0"/>
          <w:sz w:val="22"/>
          <w:szCs w:val="22"/>
          <w:lang w:val="en-US"/>
        </w:rPr>
        <w:t>IDH2 (</w:t>
      </w:r>
      <w:proofErr w:type="spellStart"/>
      <w:r w:rsidRPr="4174735B">
        <w:rPr>
          <w:rFonts w:asciiTheme="minorHAnsi" w:hAnsiTheme="minorHAnsi"/>
          <w:b w:val="0"/>
          <w:sz w:val="22"/>
          <w:szCs w:val="22"/>
          <w:lang w:val="en-US"/>
        </w:rPr>
        <w:t>pdb</w:t>
      </w:r>
      <w:proofErr w:type="spellEnd"/>
      <w:r w:rsidRPr="4174735B">
        <w:rPr>
          <w:rFonts w:asciiTheme="minorHAnsi" w:hAnsiTheme="minorHAnsi"/>
          <w:b w:val="0"/>
          <w:sz w:val="22"/>
          <w:szCs w:val="22"/>
          <w:lang w:val="en-US"/>
        </w:rPr>
        <w:t>: 4ja8). Significant hit in red, NDP in cyan.</w:t>
      </w:r>
      <w:r w:rsidRPr="4174735B">
        <w:rPr>
          <w:rFonts w:asciiTheme="minorHAnsi" w:hAnsiTheme="minorHAnsi"/>
          <w:sz w:val="22"/>
          <w:szCs w:val="22"/>
          <w:lang w:val="en-US"/>
        </w:rPr>
        <w:t xml:space="preserve"> C </w:t>
      </w:r>
      <w:r w:rsidRPr="4174735B">
        <w:rPr>
          <w:rFonts w:asciiTheme="minorHAnsi" w:hAnsiTheme="minorHAnsi"/>
          <w:b w:val="0"/>
          <w:sz w:val="22"/>
          <w:szCs w:val="22"/>
          <w:lang w:val="en-US"/>
        </w:rPr>
        <w:t>HSD17B10 (</w:t>
      </w:r>
      <w:proofErr w:type="spellStart"/>
      <w:r w:rsidRPr="4174735B">
        <w:rPr>
          <w:rFonts w:asciiTheme="minorHAnsi" w:hAnsiTheme="minorHAnsi"/>
          <w:b w:val="0"/>
          <w:sz w:val="22"/>
          <w:szCs w:val="22"/>
          <w:lang w:val="en-US"/>
        </w:rPr>
        <w:t>pdb</w:t>
      </w:r>
      <w:proofErr w:type="spellEnd"/>
      <w:r w:rsidRPr="4174735B">
        <w:rPr>
          <w:rFonts w:asciiTheme="minorHAnsi" w:hAnsiTheme="minorHAnsi"/>
          <w:b w:val="0"/>
          <w:sz w:val="22"/>
          <w:szCs w:val="22"/>
          <w:lang w:val="en-US"/>
        </w:rPr>
        <w:t>: 2o23). Significant hit in red, NAD in cyan.</w:t>
      </w:r>
      <w:r w:rsidRPr="4174735B">
        <w:rPr>
          <w:rFonts w:asciiTheme="minorHAnsi" w:hAnsiTheme="minorHAnsi"/>
          <w:sz w:val="22"/>
          <w:szCs w:val="22"/>
          <w:lang w:val="en-US"/>
        </w:rPr>
        <w:t xml:space="preserve"> D </w:t>
      </w:r>
      <w:r w:rsidRPr="4174735B">
        <w:rPr>
          <w:rFonts w:asciiTheme="minorHAnsi" w:hAnsiTheme="minorHAnsi"/>
          <w:b w:val="0"/>
          <w:sz w:val="22"/>
          <w:szCs w:val="22"/>
          <w:lang w:val="en-US"/>
        </w:rPr>
        <w:t>MDH2 (</w:t>
      </w:r>
      <w:proofErr w:type="spellStart"/>
      <w:r w:rsidRPr="4174735B">
        <w:rPr>
          <w:rFonts w:asciiTheme="minorHAnsi" w:hAnsiTheme="minorHAnsi"/>
          <w:b w:val="0"/>
          <w:sz w:val="22"/>
          <w:szCs w:val="22"/>
          <w:lang w:val="en-US"/>
        </w:rPr>
        <w:t>pdb</w:t>
      </w:r>
      <w:proofErr w:type="spellEnd"/>
      <w:r w:rsidRPr="4174735B">
        <w:rPr>
          <w:rFonts w:asciiTheme="minorHAnsi" w:hAnsiTheme="minorHAnsi"/>
          <w:b w:val="0"/>
          <w:sz w:val="22"/>
          <w:szCs w:val="22"/>
          <w:lang w:val="en-US"/>
        </w:rPr>
        <w:t>: 2dfd). Significant hit in red, NAD in cyan.</w:t>
      </w:r>
    </w:p>
    <w:p w14:paraId="0B293AFE" w14:textId="77777777" w:rsidR="00831961" w:rsidRDefault="00831961">
      <w:pPr>
        <w:rPr>
          <w:lang w:val="en-US"/>
        </w:rPr>
      </w:pPr>
    </w:p>
    <w:p w14:paraId="2CC5F70E" w14:textId="77777777" w:rsidR="00530018" w:rsidRPr="00382DB3" w:rsidRDefault="00530018" w:rsidP="00530018">
      <w:pPr>
        <w:pStyle w:val="ListParagraph"/>
        <w:shd w:val="clear" w:color="auto" w:fill="FFFFFF"/>
        <w:ind w:left="0"/>
        <w:jc w:val="center"/>
        <w:rPr>
          <w:bCs/>
          <w:i/>
          <w:iCs/>
          <w:color w:val="0432FF"/>
        </w:rPr>
      </w:pPr>
      <w:r>
        <w:rPr>
          <w:bCs/>
          <w:i/>
          <w:iCs/>
          <w:noProof/>
          <w:color w:val="0432FF"/>
        </w:rPr>
        <w:drawing>
          <wp:inline distT="0" distB="0" distL="0" distR="0" wp14:anchorId="029B45EA" wp14:editId="19D5E4B2">
            <wp:extent cx="5577840" cy="3304076"/>
            <wp:effectExtent l="0" t="0" r="3810" b="0"/>
            <wp:docPr id="17264644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3304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D0473">
        <w:rPr>
          <w:bCs/>
        </w:rPr>
        <w:br/>
      </w:r>
    </w:p>
    <w:p w14:paraId="08CFC909" w14:textId="74EB0EED" w:rsidR="00591E59" w:rsidRPr="002E7473" w:rsidRDefault="00591E59" w:rsidP="002E7473">
      <w:pPr>
        <w:pStyle w:val="ListParagraph"/>
        <w:shd w:val="clear" w:color="auto" w:fill="FFFFFF"/>
        <w:ind w:left="0"/>
        <w:jc w:val="both"/>
        <w:rPr>
          <w:rFonts w:ascii="Aptos" w:eastAsia="Calibri" w:hAnsi="Aptos"/>
          <w:color w:val="000000" w:themeColor="text1"/>
          <w:sz w:val="22"/>
          <w:szCs w:val="22"/>
          <w:lang w:val="en-GB"/>
        </w:rPr>
      </w:pPr>
      <w:r w:rsidRPr="002E7473">
        <w:rPr>
          <w:rFonts w:ascii="Aptos" w:hAnsi="Aptos"/>
          <w:b/>
          <w:color w:val="000000" w:themeColor="text1"/>
          <w:sz w:val="22"/>
          <w:szCs w:val="22"/>
          <w:highlight w:val="cyan"/>
        </w:rPr>
        <w:t xml:space="preserve">Supplementary </w:t>
      </w:r>
      <w:r w:rsidR="002E7473" w:rsidRPr="002E7473">
        <w:rPr>
          <w:rFonts w:ascii="Aptos" w:hAnsi="Aptos"/>
          <w:b/>
          <w:color w:val="000000" w:themeColor="text1"/>
          <w:sz w:val="22"/>
          <w:szCs w:val="22"/>
          <w:highlight w:val="cyan"/>
        </w:rPr>
        <w:t>f</w:t>
      </w:r>
      <w:r w:rsidRPr="002E7473">
        <w:rPr>
          <w:rFonts w:ascii="Aptos" w:hAnsi="Aptos"/>
          <w:b/>
          <w:color w:val="000000" w:themeColor="text1"/>
          <w:sz w:val="22"/>
          <w:szCs w:val="22"/>
          <w:highlight w:val="cyan"/>
        </w:rPr>
        <w:t>igure 13.</w:t>
      </w:r>
      <w:r w:rsidRPr="002E7473">
        <w:rPr>
          <w:rFonts w:ascii="Aptos" w:hAnsi="Aptos"/>
          <w:bCs/>
          <w:color w:val="000000" w:themeColor="text1"/>
          <w:sz w:val="22"/>
          <w:szCs w:val="22"/>
          <w:highlight w:val="cyan"/>
        </w:rPr>
        <w:t xml:space="preserve"> Fluorescence microscopy images of primary rat neurons treated with </w:t>
      </w:r>
      <w:r w:rsidRPr="002E7473">
        <w:rPr>
          <w:rFonts w:ascii="Aptos" w:eastAsia="Calibri" w:hAnsi="Aptos"/>
          <w:color w:val="000000" w:themeColor="text1"/>
          <w:sz w:val="22"/>
          <w:szCs w:val="22"/>
          <w:highlight w:val="cyan"/>
          <w:lang w:val="en-GB"/>
        </w:rPr>
        <w:t>α-Synuclein PFFs. (A, B) pS129 was visualized in PFF-treated (A) and untreated (B) neurons by staining with anti pS129 α-Synuclein antibodies (</w:t>
      </w:r>
      <w:r w:rsidRPr="002E7473">
        <w:rPr>
          <w:rFonts w:ascii="Aptos" w:eastAsia="Calibri" w:hAnsi="Aptos"/>
          <w:color w:val="000000" w:themeColor="text1"/>
          <w:sz w:val="22"/>
          <w:szCs w:val="22"/>
          <w:highlight w:val="cyan"/>
        </w:rPr>
        <w:t>1/300 dilution, ab51253)</w:t>
      </w:r>
      <w:r w:rsidRPr="002E7473">
        <w:rPr>
          <w:rFonts w:ascii="Aptos" w:eastAsia="Calibri" w:hAnsi="Aptos"/>
          <w:color w:val="000000" w:themeColor="text1"/>
          <w:sz w:val="22"/>
          <w:szCs w:val="22"/>
          <w:highlight w:val="cyan"/>
          <w:lang w:val="en-GB"/>
        </w:rPr>
        <w:t>. (C, D) MAP2 staining of PFF-treated (C) and untreated (D) neurons using anti-MAP2 antibodies (</w:t>
      </w:r>
      <w:r w:rsidRPr="002E7473">
        <w:rPr>
          <w:rFonts w:ascii="Aptos" w:eastAsia="Calibri" w:hAnsi="Aptos"/>
          <w:color w:val="000000" w:themeColor="text1"/>
          <w:sz w:val="22"/>
          <w:szCs w:val="22"/>
          <w:highlight w:val="cyan"/>
        </w:rPr>
        <w:t xml:space="preserve">1/2200 dilution, </w:t>
      </w:r>
      <w:r w:rsidRPr="002E7473">
        <w:rPr>
          <w:rFonts w:ascii="Aptos" w:eastAsia="Calibri" w:hAnsi="Aptos"/>
          <w:color w:val="000000" w:themeColor="text1"/>
          <w:sz w:val="22"/>
          <w:szCs w:val="22"/>
          <w:highlight w:val="cyan"/>
        </w:rPr>
        <w:lastRenderedPageBreak/>
        <w:t>ab5392)</w:t>
      </w:r>
      <w:r w:rsidRPr="002E7473">
        <w:rPr>
          <w:rFonts w:ascii="Aptos" w:eastAsia="Calibri" w:hAnsi="Aptos"/>
          <w:color w:val="000000" w:themeColor="text1"/>
          <w:sz w:val="22"/>
          <w:szCs w:val="22"/>
          <w:highlight w:val="cyan"/>
          <w:lang w:val="en-GB"/>
        </w:rPr>
        <w:t>. (E, F) merged view of pS129 and MAP2 channels of PFF treated (E) and untreated (F) neurons; inserts show higher magnification of area in dashed-line boxes.</w:t>
      </w:r>
      <w:r w:rsidRPr="002E7473">
        <w:rPr>
          <w:rFonts w:ascii="Aptos" w:eastAsia="Calibri" w:hAnsi="Aptos"/>
          <w:color w:val="000000" w:themeColor="text1"/>
          <w:sz w:val="22"/>
          <w:szCs w:val="22"/>
          <w:lang w:val="en-GB"/>
        </w:rPr>
        <w:t xml:space="preserve"> </w:t>
      </w:r>
    </w:p>
    <w:p w14:paraId="5233EADD" w14:textId="77777777" w:rsidR="00530018" w:rsidRDefault="00530018">
      <w:pPr>
        <w:rPr>
          <w:lang w:val="en-GB"/>
        </w:rPr>
      </w:pPr>
    </w:p>
    <w:p w14:paraId="2B8CF021" w14:textId="77777777" w:rsidR="00530018" w:rsidRPr="002E7473" w:rsidRDefault="00530018" w:rsidP="00530018">
      <w:pPr>
        <w:pStyle w:val="ListParagraph"/>
        <w:shd w:val="clear" w:color="auto" w:fill="FFFFFF"/>
        <w:ind w:left="0"/>
        <w:rPr>
          <w:rFonts w:asciiTheme="minorHAnsi" w:hAnsiTheme="minorHAnsi"/>
          <w:bCs/>
          <w:sz w:val="22"/>
          <w:szCs w:val="22"/>
        </w:rPr>
      </w:pPr>
      <w:r w:rsidRPr="002E7473">
        <w:rPr>
          <w:rFonts w:asciiTheme="minorHAnsi" w:hAnsiTheme="minorHAnsi"/>
          <w:bCs/>
          <w:noProof/>
          <w:sz w:val="22"/>
          <w:szCs w:val="22"/>
          <w14:ligatures w14:val="standardContextual"/>
        </w:rPr>
        <w:drawing>
          <wp:inline distT="0" distB="0" distL="0" distR="0" wp14:anchorId="5F48379B" wp14:editId="708A2087">
            <wp:extent cx="5832000" cy="1957387"/>
            <wp:effectExtent l="0" t="0" r="0" b="0"/>
            <wp:docPr id="85442210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422105" name="Picture 854422105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5" t="15233" r="33378" b="46425"/>
                    <a:stretch/>
                  </pic:blipFill>
                  <pic:spPr bwMode="auto">
                    <a:xfrm>
                      <a:off x="0" y="0"/>
                      <a:ext cx="5832000" cy="1957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30DC8D" w14:textId="1B5BE94D" w:rsidR="00591E59" w:rsidRPr="002E7473" w:rsidRDefault="00591E59" w:rsidP="002E7473">
      <w:pPr>
        <w:pStyle w:val="ListParagraph"/>
        <w:ind w:left="0"/>
        <w:jc w:val="both"/>
        <w:rPr>
          <w:rFonts w:asciiTheme="minorHAnsi" w:eastAsia="Calibri" w:hAnsiTheme="minorHAnsi"/>
          <w:color w:val="000000" w:themeColor="text1"/>
          <w:sz w:val="22"/>
          <w:szCs w:val="22"/>
        </w:rPr>
      </w:pPr>
      <w:r w:rsidRPr="002E7473">
        <w:rPr>
          <w:rFonts w:asciiTheme="minorHAnsi" w:hAnsiTheme="minorHAnsi"/>
          <w:b/>
          <w:color w:val="000000" w:themeColor="text1"/>
          <w:sz w:val="22"/>
          <w:szCs w:val="22"/>
          <w:highlight w:val="cyan"/>
        </w:rPr>
        <w:t xml:space="preserve">Supplementary </w:t>
      </w:r>
      <w:r w:rsidR="002E7473">
        <w:rPr>
          <w:rFonts w:asciiTheme="minorHAnsi" w:hAnsiTheme="minorHAnsi"/>
          <w:b/>
          <w:color w:val="000000" w:themeColor="text1"/>
          <w:sz w:val="22"/>
          <w:szCs w:val="22"/>
          <w:highlight w:val="cyan"/>
        </w:rPr>
        <w:t>f</w:t>
      </w:r>
      <w:r w:rsidRPr="002E7473">
        <w:rPr>
          <w:rFonts w:asciiTheme="minorHAnsi" w:hAnsiTheme="minorHAnsi"/>
          <w:b/>
          <w:color w:val="000000" w:themeColor="text1"/>
          <w:sz w:val="22"/>
          <w:szCs w:val="22"/>
          <w:highlight w:val="cyan"/>
        </w:rPr>
        <w:t>igure 14</w:t>
      </w:r>
      <w:r w:rsidRPr="002E7473">
        <w:rPr>
          <w:rFonts w:asciiTheme="minorHAnsi" w:hAnsiTheme="minorHAnsi"/>
          <w:bCs/>
          <w:color w:val="000000" w:themeColor="text1"/>
          <w:sz w:val="22"/>
          <w:szCs w:val="22"/>
          <w:highlight w:val="cyan"/>
        </w:rPr>
        <w:t xml:space="preserve">. Fluorescence microscopy images of primary rat neurons stained with antibodies for tyrosine hydroxylase (TH) in green and </w:t>
      </w:r>
      <w:r w:rsidRPr="002E7473">
        <w:rPr>
          <w:rFonts w:asciiTheme="minorHAnsi" w:hAnsiTheme="minorHAnsi"/>
          <w:bCs/>
          <w:color w:val="000000" w:themeColor="text1"/>
          <w:sz w:val="22"/>
          <w:szCs w:val="22"/>
          <w:highlight w:val="cyan"/>
          <w:lang w:val="el-GR"/>
        </w:rPr>
        <w:t>α</w:t>
      </w:r>
      <w:r w:rsidRPr="002E7473">
        <w:rPr>
          <w:rFonts w:asciiTheme="minorHAnsi" w:hAnsiTheme="minorHAnsi"/>
          <w:bCs/>
          <w:color w:val="000000" w:themeColor="text1"/>
          <w:sz w:val="22"/>
          <w:szCs w:val="22"/>
          <w:highlight w:val="cyan"/>
        </w:rPr>
        <w:t xml:space="preserve">-Synuclein in red; nuclei are visualized by DAPI in blue. (A) Control, untreated neurons. (B) Neurons exposed to </w:t>
      </w:r>
      <w:r w:rsidRPr="002E7473">
        <w:rPr>
          <w:rFonts w:asciiTheme="minorHAnsi" w:eastAsia="Calibri" w:hAnsiTheme="minorHAnsi"/>
          <w:color w:val="000000" w:themeColor="text1"/>
          <w:sz w:val="22"/>
          <w:szCs w:val="22"/>
          <w:highlight w:val="cyan"/>
          <w:lang w:val="en-GB"/>
        </w:rPr>
        <w:t xml:space="preserve">α-Synuclein PFFs. The arrow indicates a cell with co-localized </w:t>
      </w:r>
      <w:r w:rsidRPr="002E7473">
        <w:rPr>
          <w:rFonts w:asciiTheme="minorHAnsi" w:eastAsia="Calibri" w:hAnsiTheme="minorHAnsi"/>
          <w:color w:val="000000" w:themeColor="text1"/>
          <w:sz w:val="22"/>
          <w:szCs w:val="22"/>
          <w:highlight w:val="cyan"/>
          <w:lang w:val="el-GR"/>
        </w:rPr>
        <w:t>α</w:t>
      </w:r>
      <w:r w:rsidRPr="002E7473">
        <w:rPr>
          <w:rFonts w:asciiTheme="minorHAnsi" w:eastAsia="Calibri" w:hAnsiTheme="minorHAnsi"/>
          <w:color w:val="000000" w:themeColor="text1"/>
          <w:sz w:val="22"/>
          <w:szCs w:val="22"/>
          <w:highlight w:val="cyan"/>
        </w:rPr>
        <w:t>-Synuclein and TH</w:t>
      </w:r>
      <w:r w:rsidRPr="002E7473">
        <w:rPr>
          <w:rFonts w:asciiTheme="minorHAnsi" w:eastAsia="Calibri" w:hAnsiTheme="minorHAnsi"/>
          <w:color w:val="000000" w:themeColor="text1"/>
          <w:sz w:val="22"/>
          <w:szCs w:val="22"/>
          <w:highlight w:val="cyan"/>
          <w:lang w:val="en-GB"/>
        </w:rPr>
        <w:t>. (C) Neurons exposed to α-Synuclein PFFs and treated with 2.5</w:t>
      </w:r>
      <w:r w:rsidRPr="002E7473">
        <w:rPr>
          <w:rFonts w:asciiTheme="minorHAnsi" w:eastAsia="Calibri" w:hAnsiTheme="minorHAnsi"/>
          <w:color w:val="000000" w:themeColor="text1"/>
          <w:sz w:val="22"/>
          <w:szCs w:val="22"/>
          <w:highlight w:val="cyan"/>
          <w:lang w:val="el-GR"/>
        </w:rPr>
        <w:t>μ</w:t>
      </w:r>
      <w:r w:rsidRPr="002E7473">
        <w:rPr>
          <w:rFonts w:asciiTheme="minorHAnsi" w:eastAsia="Calibri" w:hAnsiTheme="minorHAnsi"/>
          <w:color w:val="000000" w:themeColor="text1"/>
          <w:sz w:val="22"/>
          <w:szCs w:val="22"/>
          <w:highlight w:val="cyan"/>
        </w:rPr>
        <w:t>M Compound 2.</w:t>
      </w:r>
    </w:p>
    <w:p w14:paraId="667B843C" w14:textId="77777777" w:rsidR="00530018" w:rsidRPr="00530018" w:rsidRDefault="00530018">
      <w:pPr>
        <w:rPr>
          <w:lang w:val="en-US"/>
        </w:rPr>
      </w:pPr>
    </w:p>
    <w:p w14:paraId="06E83CAA" w14:textId="77777777" w:rsidR="00530018" w:rsidRDefault="00530018" w:rsidP="00530018">
      <w:pPr>
        <w:pStyle w:val="ListParagraph"/>
        <w:shd w:val="clear" w:color="auto" w:fill="FFFFFF"/>
        <w:ind w:left="0"/>
        <w:rPr>
          <w:bCs/>
        </w:rPr>
      </w:pPr>
      <w:r>
        <w:rPr>
          <w:bCs/>
          <w:noProof/>
          <w14:ligatures w14:val="standardContextual"/>
        </w:rPr>
        <w:drawing>
          <wp:inline distT="0" distB="0" distL="0" distR="0" wp14:anchorId="317BD36D" wp14:editId="766AD2E9">
            <wp:extent cx="5832000" cy="2023513"/>
            <wp:effectExtent l="0" t="0" r="0" b="0"/>
            <wp:docPr id="90484980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849804" name="Picture 904849804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8" t="14709" r="37643" b="47738"/>
                    <a:stretch/>
                  </pic:blipFill>
                  <pic:spPr bwMode="auto">
                    <a:xfrm>
                      <a:off x="0" y="0"/>
                      <a:ext cx="5832000" cy="2023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6C0287" w14:textId="77777777" w:rsidR="00530018" w:rsidRDefault="00530018" w:rsidP="00530018">
      <w:pPr>
        <w:pStyle w:val="ListParagraph"/>
        <w:shd w:val="clear" w:color="auto" w:fill="FFFFFF"/>
        <w:ind w:left="0"/>
        <w:rPr>
          <w:bCs/>
        </w:rPr>
      </w:pPr>
    </w:p>
    <w:p w14:paraId="4EC1E6F0" w14:textId="2506460D" w:rsidR="00591E59" w:rsidRPr="002E7473" w:rsidRDefault="00591E59" w:rsidP="002E7473">
      <w:pPr>
        <w:pStyle w:val="ListParagraph"/>
        <w:shd w:val="clear" w:color="auto" w:fill="FFFFFF"/>
        <w:ind w:left="0"/>
        <w:jc w:val="both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2E7473">
        <w:rPr>
          <w:rFonts w:asciiTheme="minorHAnsi" w:hAnsiTheme="minorHAnsi"/>
          <w:b/>
          <w:color w:val="000000" w:themeColor="text1"/>
          <w:sz w:val="22"/>
          <w:szCs w:val="22"/>
          <w:highlight w:val="cyan"/>
        </w:rPr>
        <w:t xml:space="preserve">Supplementary </w:t>
      </w:r>
      <w:r w:rsidR="002E7473">
        <w:rPr>
          <w:rFonts w:asciiTheme="minorHAnsi" w:hAnsiTheme="minorHAnsi"/>
          <w:b/>
          <w:color w:val="000000" w:themeColor="text1"/>
          <w:sz w:val="22"/>
          <w:szCs w:val="22"/>
          <w:highlight w:val="cyan"/>
        </w:rPr>
        <w:t>f</w:t>
      </w:r>
      <w:r w:rsidRPr="002E7473">
        <w:rPr>
          <w:rFonts w:asciiTheme="minorHAnsi" w:hAnsiTheme="minorHAnsi"/>
          <w:b/>
          <w:color w:val="000000" w:themeColor="text1"/>
          <w:sz w:val="22"/>
          <w:szCs w:val="22"/>
          <w:highlight w:val="cyan"/>
        </w:rPr>
        <w:t>igure 15.</w:t>
      </w:r>
      <w:r w:rsidRPr="002E7473">
        <w:rPr>
          <w:rFonts w:asciiTheme="minorHAnsi" w:hAnsiTheme="minorHAnsi"/>
          <w:bCs/>
          <w:color w:val="000000" w:themeColor="text1"/>
          <w:sz w:val="22"/>
          <w:szCs w:val="22"/>
          <w:highlight w:val="cyan"/>
        </w:rPr>
        <w:t xml:space="preserve"> Fluorescence microscopy images of primary rat neurons stained with antibodies for tyrosine hydroxylase (TH) in green and </w:t>
      </w:r>
      <w:proofErr w:type="spellStart"/>
      <w:r w:rsidRPr="002E7473">
        <w:rPr>
          <w:rFonts w:asciiTheme="minorHAnsi" w:hAnsiTheme="minorHAnsi"/>
          <w:bCs/>
          <w:color w:val="000000" w:themeColor="text1"/>
          <w:sz w:val="22"/>
          <w:szCs w:val="22"/>
          <w:highlight w:val="cyan"/>
        </w:rPr>
        <w:t>NeuN</w:t>
      </w:r>
      <w:proofErr w:type="spellEnd"/>
      <w:r w:rsidRPr="002E7473">
        <w:rPr>
          <w:rFonts w:asciiTheme="minorHAnsi" w:hAnsiTheme="minorHAnsi"/>
          <w:bCs/>
          <w:color w:val="000000" w:themeColor="text1"/>
          <w:sz w:val="22"/>
          <w:szCs w:val="22"/>
          <w:highlight w:val="cyan"/>
        </w:rPr>
        <w:t xml:space="preserve"> in red; nuclei are visualized by DAPI in blue. (A) Control, untreated neurons. (B) Neurons exposed to </w:t>
      </w:r>
      <w:r w:rsidRPr="002E7473">
        <w:rPr>
          <w:rFonts w:asciiTheme="minorHAnsi" w:eastAsia="Calibri" w:hAnsiTheme="minorHAnsi"/>
          <w:color w:val="000000" w:themeColor="text1"/>
          <w:sz w:val="22"/>
          <w:szCs w:val="22"/>
          <w:highlight w:val="cyan"/>
          <w:lang w:val="en-GB"/>
        </w:rPr>
        <w:t>α-Synuclein PFFs. (C) Neurons exposed to α-Synuclein PFFs and treated with 2.5</w:t>
      </w:r>
      <w:r w:rsidRPr="002E7473">
        <w:rPr>
          <w:rFonts w:asciiTheme="minorHAnsi" w:eastAsia="Calibri" w:hAnsiTheme="minorHAnsi"/>
          <w:color w:val="000000" w:themeColor="text1"/>
          <w:sz w:val="22"/>
          <w:szCs w:val="22"/>
          <w:highlight w:val="cyan"/>
          <w:lang w:val="el-GR"/>
        </w:rPr>
        <w:t>μ</w:t>
      </w:r>
      <w:r w:rsidRPr="002E7473">
        <w:rPr>
          <w:rFonts w:asciiTheme="minorHAnsi" w:eastAsia="Calibri" w:hAnsiTheme="minorHAnsi"/>
          <w:color w:val="000000" w:themeColor="text1"/>
          <w:sz w:val="22"/>
          <w:szCs w:val="22"/>
          <w:highlight w:val="cyan"/>
        </w:rPr>
        <w:t>M Compound 2.</w:t>
      </w:r>
    </w:p>
    <w:p w14:paraId="377365A2" w14:textId="77777777" w:rsidR="00530018" w:rsidRPr="007E4C3B" w:rsidRDefault="00530018">
      <w:pPr>
        <w:rPr>
          <w:lang w:val="en-US"/>
        </w:rPr>
      </w:pPr>
    </w:p>
    <w:sectPr w:rsidR="00530018" w:rsidRPr="007E4C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B07"/>
    <w:rsid w:val="00033BB4"/>
    <w:rsid w:val="0008332E"/>
    <w:rsid w:val="000D3317"/>
    <w:rsid w:val="000F3EBB"/>
    <w:rsid w:val="00155412"/>
    <w:rsid w:val="00161047"/>
    <w:rsid w:val="00174B07"/>
    <w:rsid w:val="00196F5C"/>
    <w:rsid w:val="0021604A"/>
    <w:rsid w:val="00235EC6"/>
    <w:rsid w:val="002E14A2"/>
    <w:rsid w:val="002E7473"/>
    <w:rsid w:val="002F00B6"/>
    <w:rsid w:val="00305A85"/>
    <w:rsid w:val="00330E5D"/>
    <w:rsid w:val="00362226"/>
    <w:rsid w:val="003753E4"/>
    <w:rsid w:val="00430CD7"/>
    <w:rsid w:val="004569BE"/>
    <w:rsid w:val="00465E2C"/>
    <w:rsid w:val="004A0BF6"/>
    <w:rsid w:val="004A48C2"/>
    <w:rsid w:val="00505459"/>
    <w:rsid w:val="00530018"/>
    <w:rsid w:val="00563C29"/>
    <w:rsid w:val="0058036A"/>
    <w:rsid w:val="00591E59"/>
    <w:rsid w:val="006837CB"/>
    <w:rsid w:val="00693563"/>
    <w:rsid w:val="006E6DB1"/>
    <w:rsid w:val="00786115"/>
    <w:rsid w:val="007B615D"/>
    <w:rsid w:val="007D717D"/>
    <w:rsid w:val="007D7C9D"/>
    <w:rsid w:val="007E4C3B"/>
    <w:rsid w:val="00831961"/>
    <w:rsid w:val="008474E4"/>
    <w:rsid w:val="00857175"/>
    <w:rsid w:val="00863981"/>
    <w:rsid w:val="009050FD"/>
    <w:rsid w:val="00933DAC"/>
    <w:rsid w:val="00934E06"/>
    <w:rsid w:val="009479D2"/>
    <w:rsid w:val="009C4E68"/>
    <w:rsid w:val="009D398C"/>
    <w:rsid w:val="00A92BAA"/>
    <w:rsid w:val="00B07B89"/>
    <w:rsid w:val="00B37F7C"/>
    <w:rsid w:val="00B87934"/>
    <w:rsid w:val="00BB323E"/>
    <w:rsid w:val="00BC4178"/>
    <w:rsid w:val="00BD28BD"/>
    <w:rsid w:val="00BD4CCA"/>
    <w:rsid w:val="00BD7255"/>
    <w:rsid w:val="00C04AF8"/>
    <w:rsid w:val="00C1329F"/>
    <w:rsid w:val="00C77207"/>
    <w:rsid w:val="00D04163"/>
    <w:rsid w:val="00D43FDB"/>
    <w:rsid w:val="00D47611"/>
    <w:rsid w:val="00D558D4"/>
    <w:rsid w:val="00D60669"/>
    <w:rsid w:val="00D7027F"/>
    <w:rsid w:val="00D77AE0"/>
    <w:rsid w:val="00DC02AB"/>
    <w:rsid w:val="00DC2582"/>
    <w:rsid w:val="00DD55CE"/>
    <w:rsid w:val="00E543AE"/>
    <w:rsid w:val="00E655D2"/>
    <w:rsid w:val="00EB20CA"/>
    <w:rsid w:val="00F31F41"/>
    <w:rsid w:val="00F85BD1"/>
    <w:rsid w:val="00F932FE"/>
    <w:rsid w:val="00FF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36E1D6"/>
  <w15:chartTrackingRefBased/>
  <w15:docId w15:val="{CE01B7D3-6464-9B49-8044-A45988201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B07"/>
    <w:pPr>
      <w:spacing w:after="160" w:line="259" w:lineRule="auto"/>
    </w:pPr>
    <w:rPr>
      <w:kern w:val="0"/>
      <w:sz w:val="22"/>
      <w:szCs w:val="22"/>
      <w:lang w:val="de-CH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74B07"/>
    <w:pPr>
      <w:spacing w:after="0" w:line="240" w:lineRule="auto"/>
      <w:contextualSpacing/>
    </w:pPr>
    <w:rPr>
      <w:rFonts w:ascii="Times New Roman" w:hAnsi="Times New Roman"/>
      <w:b/>
      <w:iCs/>
      <w:sz w:val="24"/>
      <w:szCs w:val="18"/>
    </w:rPr>
  </w:style>
  <w:style w:type="paragraph" w:styleId="ListParagraph">
    <w:name w:val="List Paragraph"/>
    <w:basedOn w:val="Normal"/>
    <w:uiPriority w:val="34"/>
    <w:qFormat/>
    <w:rsid w:val="005300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476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76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7611"/>
    <w:rPr>
      <w:kern w:val="0"/>
      <w:sz w:val="20"/>
      <w:szCs w:val="20"/>
      <w:lang w:val="de-CH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6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611"/>
    <w:rPr>
      <w:b/>
      <w:bCs/>
      <w:kern w:val="0"/>
      <w:sz w:val="20"/>
      <w:szCs w:val="20"/>
      <w:lang w:val="de-C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1661</Words>
  <Characters>9900</Characters>
  <Application>Microsoft Office Word</Application>
  <DocSecurity>0</DocSecurity>
  <Lines>120</Lines>
  <Paragraphs>28</Paragraphs>
  <ScaleCrop>false</ScaleCrop>
  <Company/>
  <LinksUpToDate>false</LinksUpToDate>
  <CharactersWithSpaces>11533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Serdiuk  Tetiana</dc:creator>
  <cp:keywords/>
  <dc:description/>
  <cp:lastModifiedBy>Serdiuk  Tetiana</cp:lastModifiedBy>
  <cp:revision>3</cp:revision>
  <cp:lastPrinted>2024-09-23T21:45:00Z</cp:lastPrinted>
  <dcterms:created xsi:type="dcterms:W3CDTF">2025-01-16T17:43:00Z</dcterms:created>
  <dcterms:modified xsi:type="dcterms:W3CDTF">2025-01-17T00:17:00Z</dcterms:modified>
</cp:coreProperties>
</file>