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F7" w:rsidRPr="009F0A51" w:rsidRDefault="008F06BB" w:rsidP="000C6FF7">
      <w:pPr>
        <w:pStyle w:val="Caption"/>
        <w:spacing w:line="480" w:lineRule="auto"/>
        <w:ind w:right="-374"/>
        <w:rPr>
          <w:b w:val="0"/>
          <w:lang w:val="en-GB"/>
        </w:rPr>
      </w:pPr>
      <w:proofErr w:type="gramStart"/>
      <w:r w:rsidRPr="008F06BB">
        <w:rPr>
          <w:lang w:val="en-GB"/>
        </w:rPr>
        <w:t xml:space="preserve">Supplementary </w:t>
      </w:r>
      <w:r w:rsidR="00EE3C57">
        <w:rPr>
          <w:lang w:val="en-GB"/>
        </w:rPr>
        <w:t>T</w:t>
      </w:r>
      <w:r w:rsidR="000C6FF7" w:rsidRPr="009F0A51">
        <w:rPr>
          <w:lang w:val="en-GB"/>
        </w:rPr>
        <w:t xml:space="preserve">able </w:t>
      </w:r>
      <w:r w:rsidR="000C6FF7">
        <w:rPr>
          <w:lang w:val="en-GB"/>
        </w:rPr>
        <w:t>4.</w:t>
      </w:r>
      <w:proofErr w:type="gramEnd"/>
      <w:r w:rsidR="000C6FF7" w:rsidRPr="009F0A51">
        <w:rPr>
          <w:lang w:val="en-GB"/>
        </w:rPr>
        <w:t xml:space="preserve"> </w:t>
      </w:r>
      <w:r w:rsidR="000C6FF7" w:rsidRPr="009F0A51">
        <w:rPr>
          <w:b w:val="0"/>
          <w:lang w:val="en-GB"/>
        </w:rPr>
        <w:t>Negative binomial regression models for use of healthcare resources (a) and work productivity and activity impairment (b) within the sample of UK adults treated with ICS</w:t>
      </w:r>
      <w:r w:rsidR="000C6FF7">
        <w:rPr>
          <w:b w:val="0"/>
          <w:lang w:val="en-GB"/>
        </w:rPr>
        <w:t>+</w:t>
      </w:r>
      <w:r w:rsidR="000C6FF7" w:rsidRPr="009F0A51">
        <w:rPr>
          <w:b w:val="0"/>
          <w:lang w:val="en-GB"/>
        </w:rPr>
        <w:t>LABA</w:t>
      </w:r>
    </w:p>
    <w:tbl>
      <w:tblPr>
        <w:tblStyle w:val="LightShading"/>
        <w:tblW w:w="5000" w:type="pct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1109"/>
        <w:gridCol w:w="1564"/>
        <w:gridCol w:w="806"/>
        <w:gridCol w:w="941"/>
        <w:gridCol w:w="696"/>
        <w:gridCol w:w="1059"/>
        <w:gridCol w:w="1101"/>
        <w:gridCol w:w="932"/>
        <w:gridCol w:w="932"/>
      </w:tblGrid>
      <w:tr w:rsidR="000C6FF7" w:rsidRPr="009F0A51" w:rsidTr="00F61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 w:val="0"/>
                <w:bCs w:val="0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216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Cs w:val="0"/>
                <w:color w:val="auto"/>
                <w:sz w:val="18"/>
                <w:szCs w:val="18"/>
                <w:lang w:val="en-GB" w:eastAsia="en-GB"/>
              </w:rPr>
            </w:pPr>
            <w:r w:rsidRPr="0008409D">
              <w:rPr>
                <w:rFonts w:cs="Arial"/>
                <w:sz w:val="18"/>
                <w:szCs w:val="18"/>
                <w:lang w:val="en-GB" w:eastAsia="en-GB"/>
              </w:rPr>
              <w:t>a. Use of healthcare resources, past 6 months</w:t>
            </w:r>
          </w:p>
        </w:tc>
        <w:tc>
          <w:tcPr>
            <w:tcW w:w="19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Cs w:val="0"/>
                <w:color w:val="auto"/>
                <w:sz w:val="18"/>
                <w:szCs w:val="18"/>
                <w:lang w:val="en-GB" w:eastAsia="en-GB"/>
              </w:rPr>
            </w:pPr>
            <w:r w:rsidRPr="0008409D">
              <w:rPr>
                <w:rFonts w:cs="Arial"/>
                <w:sz w:val="18"/>
                <w:szCs w:val="18"/>
                <w:lang w:val="en-GB" w:eastAsia="en-GB"/>
              </w:rPr>
              <w:t>b. Work productivity loss (WPAI)</w:t>
            </w:r>
          </w:p>
        </w:tc>
      </w:tr>
      <w:tr w:rsidR="001475F9" w:rsidRPr="0008409D" w:rsidTr="00F61C2D">
        <w:trPr>
          <w:trHeight w:val="680"/>
        </w:trPr>
        <w:tc>
          <w:tcPr>
            <w:tcW w:w="854" w:type="pct"/>
            <w:tcBorders>
              <w:top w:val="nil"/>
              <w:bottom w:val="single" w:sz="4" w:space="0" w:color="auto"/>
            </w:tcBorders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Number of GP visits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Number of specialist visits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 xml:space="preserve">Number of A&amp;E </w:t>
            </w:r>
            <w:r w:rsidR="008D7861">
              <w:rPr>
                <w:rFonts w:cs="Arial"/>
                <w:b/>
                <w:sz w:val="18"/>
                <w:szCs w:val="18"/>
                <w:lang w:val="en-GB" w:eastAsia="en-GB"/>
              </w:rPr>
              <w:t xml:space="preserve">department </w:t>
            </w:r>
            <w:r w:rsidRPr="00AC2128">
              <w:rPr>
                <w:rFonts w:cs="Arial"/>
                <w:b/>
                <w:sz w:val="18"/>
                <w:szCs w:val="18"/>
                <w:lang w:val="en-GB" w:eastAsia="en-GB"/>
              </w:rPr>
              <w:t>v</w:t>
            </w: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isits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Number of hospital visits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Absenteeism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proofErr w:type="spellStart"/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Presenteeism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Overall work impairment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sz w:val="18"/>
                <w:szCs w:val="18"/>
                <w:lang w:val="en-GB" w:eastAsia="en-GB"/>
              </w:rPr>
              <w:t>Activity impairment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8F06BB" w:rsidRDefault="000C6FF7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Well-controlled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−0.4***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−0.4*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B45A3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B45A3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7270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−0.5***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8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(0.09)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(0.09)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08409D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8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08409D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(0.14)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(0.13)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08409D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0840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(0.12)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0840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−0.2**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−0.3*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−0.4**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−0.3*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(0.09)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(0.09)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(0.13)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Age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Income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0.0*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0.0*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8F06BB" w:rsidRDefault="008D7861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BMI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9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2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3D3E7B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 xml:space="preserve">Normal </w:t>
            </w:r>
            <w:r>
              <w:rPr>
                <w:rFonts w:cs="Arial"/>
                <w:sz w:val="18"/>
                <w:szCs w:val="18"/>
                <w:lang w:val="en-GB" w:eastAsia="en-GB"/>
              </w:rPr>
              <w:t>range</w:t>
            </w:r>
          </w:p>
        </w:tc>
        <w:tc>
          <w:tcPr>
            <w:tcW w:w="668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8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7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9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8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7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7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  <w:tc>
          <w:tcPr>
            <w:tcW w:w="492" w:type="pct"/>
            <w:noWrap/>
          </w:tcPr>
          <w:p w:rsidR="000C6FF7" w:rsidRPr="003D3E7B" w:rsidRDefault="000C6FF7" w:rsidP="00F61C2D">
            <w:pPr>
              <w:spacing w:before="120" w:after="120" w:line="480" w:lineRule="auto"/>
              <w:rPr>
                <w:color w:val="auto"/>
                <w:sz w:val="18"/>
                <w:szCs w:val="18"/>
                <w:lang w:val="en-GB"/>
              </w:rPr>
            </w:pPr>
            <w:r w:rsidRPr="003D3E7B">
              <w:rPr>
                <w:rFonts w:cs="Arial"/>
                <w:sz w:val="18"/>
                <w:szCs w:val="18"/>
                <w:lang w:val="en-GB" w:eastAsia="en-GB"/>
              </w:rPr>
              <w:t>(ref.)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Underweight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1.0**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0.9*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242810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auto"/>
                <w:sz w:val="18"/>
                <w:szCs w:val="18"/>
                <w:lang w:val="en-GB" w:eastAsia="en-GB"/>
              </w:rPr>
              <w:t>1.0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−0.6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−0.2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−0.3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(0.37)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(0.71)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(0.61)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(0.54)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Overweight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−0.3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−0.4*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bottom w:val="nil"/>
            </w:tcBorders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(0.12)</w:t>
            </w:r>
          </w:p>
        </w:tc>
        <w:tc>
          <w:tcPr>
            <w:tcW w:w="498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(0.21)</w:t>
            </w:r>
          </w:p>
        </w:tc>
        <w:tc>
          <w:tcPr>
            <w:tcW w:w="499" w:type="pct"/>
            <w:tcBorders>
              <w:bottom w:val="nil"/>
            </w:tcBorders>
            <w:noWrap/>
            <w:hideMark/>
          </w:tcPr>
          <w:p w:rsidR="000C6FF7" w:rsidRPr="009F0A51" w:rsidRDefault="000C6FF7" w:rsidP="0014164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14164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tcBorders>
              <w:bottom w:val="nil"/>
            </w:tcBorders>
            <w:noWrap/>
            <w:hideMark/>
          </w:tcPr>
          <w:p w:rsidR="000C6FF7" w:rsidRPr="009F0A51" w:rsidRDefault="000C6FF7" w:rsidP="0014164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14164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(0.16)</w:t>
            </w:r>
          </w:p>
        </w:tc>
        <w:tc>
          <w:tcPr>
            <w:tcW w:w="497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(0.16)</w:t>
            </w:r>
          </w:p>
        </w:tc>
        <w:tc>
          <w:tcPr>
            <w:tcW w:w="492" w:type="pct"/>
            <w:tcBorders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(0.15)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top w:val="nil"/>
              <w:bottom w:val="nil"/>
            </w:tcBorders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Obese</w:t>
            </w:r>
          </w:p>
        </w:tc>
        <w:tc>
          <w:tcPr>
            <w:tcW w:w="66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0.2*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−0.7***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2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top w:val="nil"/>
            </w:tcBorders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tcBorders>
              <w:top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(0.12)</w:t>
            </w:r>
          </w:p>
        </w:tc>
        <w:tc>
          <w:tcPr>
            <w:tcW w:w="498" w:type="pct"/>
            <w:tcBorders>
              <w:top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D614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BD614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tcBorders>
              <w:top w:val="nil"/>
            </w:tcBorders>
            <w:noWrap/>
            <w:hideMark/>
          </w:tcPr>
          <w:p w:rsidR="000C6FF7" w:rsidRPr="009F0A51" w:rsidRDefault="000C6FF7" w:rsidP="00BD614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(0.20)</w:t>
            </w:r>
          </w:p>
        </w:tc>
        <w:tc>
          <w:tcPr>
            <w:tcW w:w="499" w:type="pct"/>
            <w:tcBorders>
              <w:top w:val="nil"/>
            </w:tcBorders>
            <w:noWrap/>
            <w:hideMark/>
          </w:tcPr>
          <w:p w:rsidR="000C6FF7" w:rsidRPr="009F0A51" w:rsidRDefault="000C6FF7" w:rsidP="00CA4DC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CA4DC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tcBorders>
              <w:top w:val="nil"/>
            </w:tcBorders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0228D8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tcBorders>
              <w:top w:val="nil"/>
            </w:tcBorders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0228D8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tcBorders>
              <w:top w:val="nil"/>
            </w:tcBorders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(0.16)</w:t>
            </w:r>
          </w:p>
        </w:tc>
        <w:tc>
          <w:tcPr>
            <w:tcW w:w="492" w:type="pct"/>
            <w:tcBorders>
              <w:top w:val="nil"/>
            </w:tcBorders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(0.15)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ind w:left="170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No answer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0.5*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−0.3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−1.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0.2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0228D8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0228D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−0.2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(0.41)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(0.48)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(0.30)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6F0C22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6F0C22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Time since diagnosis (years)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Smoking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0.3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0.0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203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203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9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760080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760080">
              <w:rPr>
                <w:rFonts w:cs="Arial"/>
                <w:color w:val="auto"/>
                <w:sz w:val="18"/>
                <w:szCs w:val="18"/>
                <w:lang w:val="en-GB" w:eastAsia="en-GB"/>
              </w:rPr>
              <w:t>8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760080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(0.17)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proofErr w:type="spellStart"/>
            <w:r w:rsidRPr="008F06BB">
              <w:rPr>
                <w:rFonts w:cs="Arial"/>
                <w:b/>
                <w:bCs/>
                <w:color w:val="000000"/>
                <w:sz w:val="18"/>
                <w:szCs w:val="18"/>
                <w:lang w:val="en-GB" w:eastAsia="en-GB"/>
              </w:rPr>
              <w:t>Charlson</w:t>
            </w:r>
            <w:proofErr w:type="spellEnd"/>
            <w:r w:rsidRPr="008F06BB">
              <w:rPr>
                <w:rFonts w:cs="Arial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Comorbidity Index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0.24***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0.32**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−0.01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2039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B2039D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−0.00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(0.06)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(0.09)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(0.15)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926289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926289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10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(0.10)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8F06BB" w:rsidRDefault="000C6FF7" w:rsidP="00F61C2D">
            <w:pPr>
              <w:spacing w:before="120" w:after="120" w:line="480" w:lineRule="auto"/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</w:pPr>
            <w:r w:rsidRPr="008F06BB">
              <w:rPr>
                <w:rFonts w:cs="Arial"/>
                <w:b/>
                <w:color w:val="auto"/>
                <w:sz w:val="18"/>
                <w:szCs w:val="18"/>
                <w:lang w:val="en-GB" w:eastAsia="en-GB"/>
              </w:rPr>
              <w:t>MMAS-4 score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−0.2**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0.2***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(0.04)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(0.07)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(0.10)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(0.05)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821135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Constant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821135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1.</w:t>
            </w:r>
            <w:r w:rsidR="00821135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−0.1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−2.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***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3.3***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66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(0.20)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(0.34)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(0.51)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</w:t>
            </w:r>
            <w:r w:rsidR="00B02196"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5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(0.30)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(0.28)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Observations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697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697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697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697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298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281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298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318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Deviance ratio</w:t>
            </w:r>
          </w:p>
        </w:tc>
        <w:tc>
          <w:tcPr>
            <w:tcW w:w="66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0.8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99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0.5</w:t>
            </w:r>
          </w:p>
        </w:tc>
        <w:tc>
          <w:tcPr>
            <w:tcW w:w="498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6A788B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3.0</w:t>
            </w:r>
          </w:p>
        </w:tc>
        <w:tc>
          <w:tcPr>
            <w:tcW w:w="497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2" w:type="pct"/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9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sz w:val="18"/>
                <w:szCs w:val="18"/>
                <w:lang w:val="en-GB" w:eastAsia="en-GB"/>
              </w:rPr>
              <w:t>Models</w:t>
            </w:r>
          </w:p>
        </w:tc>
        <w:tc>
          <w:tcPr>
            <w:tcW w:w="2162" w:type="pct"/>
            <w:gridSpan w:val="4"/>
            <w:noWrap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sz w:val="18"/>
                <w:szCs w:val="18"/>
                <w:lang w:val="en-GB" w:eastAsia="en-GB"/>
              </w:rPr>
              <w:t>Negative binomial regressions</w:t>
            </w:r>
          </w:p>
        </w:tc>
        <w:tc>
          <w:tcPr>
            <w:tcW w:w="1984" w:type="pct"/>
            <w:gridSpan w:val="4"/>
            <w:noWrap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sz w:val="18"/>
                <w:szCs w:val="18"/>
                <w:lang w:val="en-GB" w:eastAsia="en-GB"/>
              </w:rPr>
              <w:t>Negative binomial regressions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top w:val="single" w:sz="4" w:space="0" w:color="auto"/>
              <w:bottom w:val="nil"/>
            </w:tcBorders>
            <w:hideMark/>
          </w:tcPr>
          <w:p w:rsidR="000C6FF7" w:rsidRPr="00915931" w:rsidRDefault="000C6FF7" w:rsidP="00F61C2D">
            <w:pPr>
              <w:spacing w:before="120" w:after="120" w:line="480" w:lineRule="auto"/>
              <w:rPr>
                <w:rFonts w:cs="Arial"/>
                <w:b/>
                <w:bCs/>
                <w:color w:val="auto"/>
                <w:sz w:val="18"/>
                <w:szCs w:val="18"/>
                <w:lang w:val="en-GB" w:eastAsia="en-GB"/>
              </w:rPr>
            </w:pPr>
            <w:r w:rsidRPr="00915931">
              <w:rPr>
                <w:rFonts w:cs="Arial"/>
                <w:b/>
                <w:bCs/>
                <w:sz w:val="18"/>
                <w:szCs w:val="18"/>
                <w:lang w:val="en-GB" w:eastAsia="en-GB"/>
              </w:rPr>
              <w:t>Adjusted means</w:t>
            </w:r>
          </w:p>
        </w:tc>
        <w:tc>
          <w:tcPr>
            <w:tcW w:w="668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noWrap/>
            <w:hideMark/>
          </w:tcPr>
          <w:p w:rsidR="000C6FF7" w:rsidRPr="009F0A51" w:rsidRDefault="000C6FF7" w:rsidP="00F61C2D">
            <w:pPr>
              <w:spacing w:before="120" w:after="120" w:line="480" w:lineRule="auto"/>
              <w:rPr>
                <w:rFonts w:cs="Arial"/>
                <w:bCs/>
                <w:color w:val="auto"/>
                <w:sz w:val="18"/>
                <w:szCs w:val="18"/>
                <w:lang w:val="en-GB" w:eastAsia="en-GB"/>
              </w:rPr>
            </w:pP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top w:val="nil"/>
              <w:bottom w:val="nil"/>
            </w:tcBorders>
            <w:hideMark/>
          </w:tcPr>
          <w:p w:rsidR="000C6FF7" w:rsidRPr="009F0A51" w:rsidRDefault="000C6FF7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Not well</w:t>
            </w:r>
            <w:r>
              <w:rPr>
                <w:rFonts w:cs="Arial"/>
                <w:color w:val="auto"/>
                <w:sz w:val="18"/>
                <w:szCs w:val="18"/>
                <w:lang w:val="en-GB" w:eastAsia="en-GB"/>
              </w:rPr>
              <w:t>-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 xml:space="preserve"> controlled</w:t>
            </w:r>
          </w:p>
        </w:tc>
        <w:tc>
          <w:tcPr>
            <w:tcW w:w="66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3.5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4.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0.4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23.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1D0446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auto"/>
                <w:sz w:val="18"/>
                <w:szCs w:val="18"/>
                <w:lang w:val="en-GB" w:eastAsia="en-GB"/>
              </w:rPr>
              <w:t>30.0</w:t>
            </w:r>
            <w:bookmarkStart w:id="0" w:name="_GoBack"/>
            <w:bookmarkEnd w:id="0"/>
          </w:p>
        </w:tc>
        <w:tc>
          <w:tcPr>
            <w:tcW w:w="492" w:type="pct"/>
            <w:tcBorders>
              <w:top w:val="nil"/>
              <w:bottom w:val="nil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32.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</w:t>
            </w:r>
          </w:p>
        </w:tc>
      </w:tr>
      <w:tr w:rsidR="000C6FF7" w:rsidRPr="009F0A51" w:rsidTr="00F61C2D">
        <w:trPr>
          <w:trHeight w:val="227"/>
        </w:trPr>
        <w:tc>
          <w:tcPr>
            <w:tcW w:w="854" w:type="pct"/>
            <w:tcBorders>
              <w:top w:val="nil"/>
              <w:bottom w:val="single" w:sz="4" w:space="0" w:color="auto"/>
            </w:tcBorders>
            <w:hideMark/>
          </w:tcPr>
          <w:p w:rsidR="000C6FF7" w:rsidRPr="009F0A51" w:rsidRDefault="000C6FF7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Well</w:t>
            </w:r>
            <w:r>
              <w:rPr>
                <w:rFonts w:cs="Arial"/>
                <w:color w:val="auto"/>
                <w:sz w:val="18"/>
                <w:szCs w:val="18"/>
                <w:lang w:val="en-GB" w:eastAsia="en-GB"/>
              </w:rPr>
              <w:t>-</w:t>
            </w: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controlled</w:t>
            </w:r>
          </w:p>
        </w:tc>
        <w:tc>
          <w:tcPr>
            <w:tcW w:w="668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2.3</w:t>
            </w:r>
          </w:p>
        </w:tc>
        <w:tc>
          <w:tcPr>
            <w:tcW w:w="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2.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0.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772708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6.1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11.0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16.</w:t>
            </w:r>
            <w:r w:rsidR="00B02196">
              <w:rPr>
                <w:rFonts w:cs="Arial"/>
                <w:color w:val="auto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92" w:type="pct"/>
            <w:tcBorders>
              <w:top w:val="nil"/>
              <w:bottom w:val="single" w:sz="4" w:space="0" w:color="auto"/>
            </w:tcBorders>
            <w:noWrap/>
            <w:hideMark/>
          </w:tcPr>
          <w:p w:rsidR="000C6FF7" w:rsidRPr="009F0A51" w:rsidRDefault="000C6FF7" w:rsidP="00B02196">
            <w:pPr>
              <w:spacing w:before="120" w:after="120" w:line="480" w:lineRule="auto"/>
              <w:rPr>
                <w:rFonts w:cs="Arial"/>
                <w:color w:val="auto"/>
                <w:sz w:val="18"/>
                <w:szCs w:val="18"/>
                <w:lang w:val="en-GB" w:eastAsia="en-GB"/>
              </w:rPr>
            </w:pPr>
            <w:r w:rsidRPr="009F0A51">
              <w:rPr>
                <w:rFonts w:cs="Arial"/>
                <w:color w:val="auto"/>
                <w:sz w:val="18"/>
                <w:szCs w:val="18"/>
                <w:lang w:val="en-GB" w:eastAsia="en-GB"/>
              </w:rPr>
              <w:t>16.7</w:t>
            </w:r>
          </w:p>
        </w:tc>
      </w:tr>
    </w:tbl>
    <w:p w:rsidR="000F65A5" w:rsidRDefault="000C6FF7" w:rsidP="000C6FF7">
      <w:pPr>
        <w:pStyle w:val="Heading2"/>
        <w:spacing w:before="0"/>
        <w:rPr>
          <w:sz w:val="18"/>
          <w:u w:val="none"/>
        </w:rPr>
      </w:pPr>
      <w:r w:rsidRPr="009F0A51">
        <w:rPr>
          <w:sz w:val="18"/>
          <w:szCs w:val="18"/>
          <w:u w:val="none"/>
          <w:lang w:eastAsia="en-GB"/>
        </w:rPr>
        <w:t>Source: National Health and Wellness Survey combined 2010 and 2011</w:t>
      </w:r>
      <w:r w:rsidRPr="009F0A51">
        <w:rPr>
          <w:sz w:val="18"/>
          <w:szCs w:val="18"/>
          <w:u w:val="none"/>
          <w:lang w:eastAsia="en-GB"/>
        </w:rPr>
        <w:br/>
        <w:t>Robust standard errors in parentheses</w:t>
      </w:r>
      <w:r w:rsidRPr="009F0A51">
        <w:rPr>
          <w:sz w:val="18"/>
          <w:szCs w:val="18"/>
          <w:u w:val="none"/>
          <w:lang w:eastAsia="en-GB"/>
        </w:rPr>
        <w:br/>
      </w:r>
      <w:r w:rsidRPr="009F0A51">
        <w:rPr>
          <w:sz w:val="18"/>
          <w:u w:val="none"/>
        </w:rPr>
        <w:t>*</w:t>
      </w:r>
      <w:r>
        <w:rPr>
          <w:i/>
          <w:sz w:val="18"/>
          <w:u w:val="none"/>
        </w:rPr>
        <w:t>P</w:t>
      </w:r>
      <w:r w:rsidRPr="009F0A51">
        <w:rPr>
          <w:sz w:val="18"/>
          <w:u w:val="none"/>
        </w:rPr>
        <w:t>&lt;0.05; **</w:t>
      </w:r>
      <w:r>
        <w:rPr>
          <w:i/>
          <w:sz w:val="18"/>
          <w:u w:val="none"/>
        </w:rPr>
        <w:t>P</w:t>
      </w:r>
      <w:r w:rsidRPr="009F0A51">
        <w:rPr>
          <w:sz w:val="18"/>
          <w:u w:val="none"/>
        </w:rPr>
        <w:t>&lt;0.01; ***</w:t>
      </w:r>
      <w:r>
        <w:rPr>
          <w:i/>
          <w:sz w:val="18"/>
          <w:u w:val="none"/>
        </w:rPr>
        <w:t>P</w:t>
      </w:r>
      <w:r w:rsidRPr="009F0A51">
        <w:rPr>
          <w:sz w:val="18"/>
          <w:u w:val="none"/>
        </w:rPr>
        <w:t>&lt;0.001</w:t>
      </w:r>
      <w:r w:rsidRPr="009F0A51">
        <w:rPr>
          <w:sz w:val="18"/>
        </w:rPr>
        <w:br/>
      </w:r>
      <w:r w:rsidR="000F65A5">
        <w:rPr>
          <w:sz w:val="18"/>
          <w:u w:val="none"/>
        </w:rPr>
        <w:t>B</w:t>
      </w:r>
      <w:r w:rsidR="000F65A5" w:rsidRPr="003D3E7B">
        <w:rPr>
          <w:sz w:val="18"/>
          <w:u w:val="none"/>
        </w:rPr>
        <w:t>MI</w:t>
      </w:r>
      <w:r w:rsidR="00AC2128">
        <w:rPr>
          <w:sz w:val="18"/>
          <w:u w:val="none"/>
        </w:rPr>
        <w:t xml:space="preserve"> kg/m</w:t>
      </w:r>
      <w:r w:rsidR="00AC2128" w:rsidRPr="00AC2128">
        <w:rPr>
          <w:sz w:val="18"/>
          <w:u w:val="none"/>
          <w:vertAlign w:val="superscript"/>
        </w:rPr>
        <w:t>2</w:t>
      </w:r>
      <w:r w:rsidR="000F65A5">
        <w:rPr>
          <w:sz w:val="18"/>
          <w:u w:val="none"/>
        </w:rPr>
        <w:t xml:space="preserve">: </w:t>
      </w:r>
      <w:r w:rsidR="000F65A5" w:rsidRPr="003D3E7B">
        <w:rPr>
          <w:sz w:val="18"/>
          <w:u w:val="none"/>
        </w:rPr>
        <w:t>Underweight (BMI &lt; 18.5)</w:t>
      </w:r>
      <w:r w:rsidR="000F65A5">
        <w:rPr>
          <w:sz w:val="18"/>
          <w:u w:val="none"/>
        </w:rPr>
        <w:t xml:space="preserve">; </w:t>
      </w:r>
      <w:r w:rsidR="000F65A5" w:rsidRPr="003D3E7B">
        <w:rPr>
          <w:sz w:val="18"/>
          <w:u w:val="none"/>
        </w:rPr>
        <w:t>Normal range (18.5 ≤ BMI &lt; 25)</w:t>
      </w:r>
      <w:r w:rsidR="000F65A5">
        <w:rPr>
          <w:sz w:val="18"/>
          <w:u w:val="none"/>
        </w:rPr>
        <w:t xml:space="preserve">; </w:t>
      </w:r>
      <w:r w:rsidR="000F65A5" w:rsidRPr="003D3E7B">
        <w:rPr>
          <w:sz w:val="18"/>
          <w:u w:val="none"/>
        </w:rPr>
        <w:t>Overweight (25 ≤ BMI &lt; 30)</w:t>
      </w:r>
      <w:r w:rsidR="000F65A5">
        <w:rPr>
          <w:sz w:val="18"/>
          <w:u w:val="none"/>
        </w:rPr>
        <w:t xml:space="preserve">; </w:t>
      </w:r>
      <w:r w:rsidR="000F65A5" w:rsidRPr="003D3E7B">
        <w:rPr>
          <w:sz w:val="18"/>
          <w:u w:val="none"/>
        </w:rPr>
        <w:t>Obese (BMI ≥ 30)</w:t>
      </w:r>
    </w:p>
    <w:p w:rsidR="000C6FF7" w:rsidRPr="009F0A51" w:rsidRDefault="000C6FF7" w:rsidP="000C6FF7">
      <w:pPr>
        <w:pStyle w:val="Heading2"/>
        <w:spacing w:before="0"/>
        <w:rPr>
          <w:sz w:val="18"/>
        </w:rPr>
      </w:pPr>
      <w:r w:rsidRPr="009F0A51">
        <w:rPr>
          <w:rFonts w:eastAsia="MS Mincho"/>
          <w:sz w:val="18"/>
          <w:u w:val="none"/>
          <w:lang w:eastAsia="ja-JP"/>
        </w:rPr>
        <w:t xml:space="preserve">A&amp;E, </w:t>
      </w:r>
      <w:r w:rsidR="000F65A5">
        <w:rPr>
          <w:rFonts w:eastAsia="MS Mincho"/>
          <w:sz w:val="18"/>
          <w:u w:val="none"/>
          <w:lang w:eastAsia="ja-JP"/>
        </w:rPr>
        <w:t>a</w:t>
      </w:r>
      <w:r w:rsidRPr="009F0A51">
        <w:rPr>
          <w:rFonts w:eastAsia="MS Mincho"/>
          <w:sz w:val="18"/>
          <w:u w:val="none"/>
          <w:lang w:eastAsia="ja-JP"/>
        </w:rPr>
        <w:t xml:space="preserve">ccident &amp; </w:t>
      </w:r>
      <w:r w:rsidR="000F65A5">
        <w:rPr>
          <w:rFonts w:eastAsia="MS Mincho"/>
          <w:sz w:val="18"/>
          <w:u w:val="none"/>
          <w:lang w:eastAsia="ja-JP"/>
        </w:rPr>
        <w:t>e</w:t>
      </w:r>
      <w:r w:rsidRPr="009F0A51">
        <w:rPr>
          <w:rFonts w:eastAsia="MS Mincho"/>
          <w:sz w:val="18"/>
          <w:u w:val="none"/>
          <w:lang w:eastAsia="ja-JP"/>
        </w:rPr>
        <w:t xml:space="preserve">mergency; </w:t>
      </w:r>
      <w:r>
        <w:rPr>
          <w:rFonts w:eastAsia="MS Mincho"/>
          <w:sz w:val="18"/>
          <w:u w:val="none"/>
          <w:lang w:eastAsia="ja-JP"/>
        </w:rPr>
        <w:t xml:space="preserve">BMI, body mass index; </w:t>
      </w:r>
      <w:r w:rsidRPr="009F0A51">
        <w:rPr>
          <w:rFonts w:eastAsia="MS Mincho"/>
          <w:sz w:val="18"/>
          <w:u w:val="none"/>
          <w:lang w:eastAsia="ja-JP"/>
        </w:rPr>
        <w:t>GP, general practitioner; ICS, inhaled corticosteroids; LABA, long-acting β</w:t>
      </w:r>
      <w:r w:rsidRPr="009F0A51">
        <w:rPr>
          <w:rFonts w:eastAsia="MS Mincho"/>
          <w:sz w:val="18"/>
          <w:u w:val="none"/>
          <w:vertAlign w:val="subscript"/>
          <w:lang w:eastAsia="ja-JP"/>
        </w:rPr>
        <w:t>2</w:t>
      </w:r>
      <w:r w:rsidRPr="009F0A51">
        <w:rPr>
          <w:rFonts w:eastAsia="MS Mincho"/>
          <w:sz w:val="18"/>
          <w:u w:val="none"/>
          <w:lang w:eastAsia="ja-JP"/>
        </w:rPr>
        <w:t xml:space="preserve">-agonist; MMAS-4, four-item </w:t>
      </w:r>
      <w:r w:rsidRPr="009F0A51">
        <w:rPr>
          <w:sz w:val="18"/>
          <w:u w:val="none"/>
        </w:rPr>
        <w:t xml:space="preserve">Morisky Medication Adherence Scale; WPAI, </w:t>
      </w:r>
      <w:r w:rsidRPr="009F0A51">
        <w:rPr>
          <w:sz w:val="18"/>
          <w:szCs w:val="18"/>
          <w:u w:val="none"/>
        </w:rPr>
        <w:t>Work Productivity and Activity Impairment</w:t>
      </w:r>
    </w:p>
    <w:p w:rsidR="00B00D76" w:rsidRDefault="00B00D76"/>
    <w:sectPr w:rsidR="00B00D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F7"/>
    <w:rsid w:val="000228D8"/>
    <w:rsid w:val="0008409D"/>
    <w:rsid w:val="000C6FF7"/>
    <w:rsid w:val="000F65A5"/>
    <w:rsid w:val="0014164D"/>
    <w:rsid w:val="001475F9"/>
    <w:rsid w:val="001D0446"/>
    <w:rsid w:val="00242810"/>
    <w:rsid w:val="006A788B"/>
    <w:rsid w:val="006F0C22"/>
    <w:rsid w:val="006F4527"/>
    <w:rsid w:val="00760080"/>
    <w:rsid w:val="00772708"/>
    <w:rsid w:val="00821135"/>
    <w:rsid w:val="008D7861"/>
    <w:rsid w:val="008F06BB"/>
    <w:rsid w:val="00915931"/>
    <w:rsid w:val="00926289"/>
    <w:rsid w:val="00AC2128"/>
    <w:rsid w:val="00B00D76"/>
    <w:rsid w:val="00B02196"/>
    <w:rsid w:val="00B15FF9"/>
    <w:rsid w:val="00B2039D"/>
    <w:rsid w:val="00BB45A3"/>
    <w:rsid w:val="00BD6140"/>
    <w:rsid w:val="00CA4DC6"/>
    <w:rsid w:val="00EE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FF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C6FF7"/>
    <w:pPr>
      <w:spacing w:before="480" w:after="240" w:line="480" w:lineRule="auto"/>
      <w:outlineLvl w:val="1"/>
    </w:pPr>
    <w:rPr>
      <w:rFonts w:cs="Arial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6FF7"/>
    <w:rPr>
      <w:rFonts w:ascii="Arial" w:eastAsia="Times New Roman" w:hAnsi="Arial" w:cs="Arial"/>
      <w:sz w:val="24"/>
      <w:szCs w:val="24"/>
      <w:u w:val="single"/>
    </w:rPr>
  </w:style>
  <w:style w:type="paragraph" w:styleId="Caption">
    <w:name w:val="caption"/>
    <w:basedOn w:val="Normal"/>
    <w:uiPriority w:val="99"/>
    <w:qFormat/>
    <w:rsid w:val="000C6FF7"/>
    <w:pPr>
      <w:spacing w:after="240"/>
    </w:pPr>
    <w:rPr>
      <w:rFonts w:cs="Arial"/>
      <w:b/>
      <w:bCs/>
      <w:szCs w:val="24"/>
    </w:rPr>
  </w:style>
  <w:style w:type="table" w:styleId="LightShading">
    <w:name w:val="Light Shading"/>
    <w:basedOn w:val="TableNormal"/>
    <w:uiPriority w:val="60"/>
    <w:rsid w:val="000C6FF7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4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09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FF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C6FF7"/>
    <w:pPr>
      <w:spacing w:before="480" w:after="240" w:line="480" w:lineRule="auto"/>
      <w:outlineLvl w:val="1"/>
    </w:pPr>
    <w:rPr>
      <w:rFonts w:cs="Arial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6FF7"/>
    <w:rPr>
      <w:rFonts w:ascii="Arial" w:eastAsia="Times New Roman" w:hAnsi="Arial" w:cs="Arial"/>
      <w:sz w:val="24"/>
      <w:szCs w:val="24"/>
      <w:u w:val="single"/>
    </w:rPr>
  </w:style>
  <w:style w:type="paragraph" w:styleId="Caption">
    <w:name w:val="caption"/>
    <w:basedOn w:val="Normal"/>
    <w:uiPriority w:val="99"/>
    <w:qFormat/>
    <w:rsid w:val="000C6FF7"/>
    <w:pPr>
      <w:spacing w:after="240"/>
    </w:pPr>
    <w:rPr>
      <w:rFonts w:cs="Arial"/>
      <w:b/>
      <w:bCs/>
      <w:szCs w:val="24"/>
    </w:rPr>
  </w:style>
  <w:style w:type="table" w:styleId="LightShading">
    <w:name w:val="Light Shading"/>
    <w:basedOn w:val="TableNormal"/>
    <w:uiPriority w:val="60"/>
    <w:rsid w:val="000C6FF7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4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09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CCPL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Cactus-</dc:creator>
  <cp:lastModifiedBy>Medical Writer-</cp:lastModifiedBy>
  <cp:revision>12</cp:revision>
  <dcterms:created xsi:type="dcterms:W3CDTF">2016-09-12T06:03:00Z</dcterms:created>
  <dcterms:modified xsi:type="dcterms:W3CDTF">2016-09-12T06:51:00Z</dcterms:modified>
</cp:coreProperties>
</file>