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933" w:rsidRDefault="00E53933" w:rsidP="00E53933">
      <w:pPr>
        <w:jc w:val="both"/>
        <w:rPr>
          <w:b/>
          <w:lang w:val="en-GB"/>
        </w:rPr>
      </w:pPr>
      <w:r>
        <w:rPr>
          <w:b/>
          <w:lang w:val="en-GB"/>
        </w:rPr>
        <w:t xml:space="preserve">Supplementary material </w:t>
      </w:r>
    </w:p>
    <w:p w:rsidR="00E53933" w:rsidRDefault="00E53933" w:rsidP="00E53933">
      <w:pPr>
        <w:jc w:val="both"/>
        <w:rPr>
          <w:rFonts w:cs="Calibri"/>
          <w:szCs w:val="18"/>
          <w:lang w:val="en-GB"/>
        </w:rPr>
      </w:pPr>
      <w:r>
        <w:rPr>
          <w:rFonts w:cs="Calibri"/>
          <w:b/>
          <w:szCs w:val="18"/>
          <w:lang w:val="en-GB"/>
        </w:rPr>
        <w:t xml:space="preserve">Figure 1 </w:t>
      </w:r>
      <w:r>
        <w:rPr>
          <w:rFonts w:cs="Calibri"/>
          <w:szCs w:val="18"/>
          <w:lang w:val="en-GB"/>
        </w:rPr>
        <w:t>GP- and time period-specific prevalence and d</w:t>
      </w:r>
      <w:r w:rsidRPr="00B3793A">
        <w:rPr>
          <w:rFonts w:cs="Calibri"/>
          <w:szCs w:val="18"/>
          <w:lang w:val="en-GB"/>
        </w:rPr>
        <w:t>iagnostic process indicators</w:t>
      </w:r>
    </w:p>
    <w:p w:rsidR="009A7FEA" w:rsidRDefault="00E53933">
      <w:pPr>
        <w:rPr>
          <w:lang w:val="en-GB"/>
        </w:rPr>
      </w:pPr>
      <w:r w:rsidRPr="00E53933">
        <w:rPr>
          <w:noProof/>
          <w:lang w:eastAsia="it-IT"/>
        </w:rPr>
        <w:drawing>
          <wp:inline distT="0" distB="0" distL="0" distR="0">
            <wp:extent cx="6055245" cy="5040000"/>
            <wp:effectExtent l="19050" t="0" r="2655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 1a.tif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245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F1E" w:rsidRDefault="00C74F1E">
      <w:pPr>
        <w:rPr>
          <w:lang w:val="en-GB"/>
        </w:rPr>
      </w:pPr>
    </w:p>
    <w:p w:rsidR="00C74F1E" w:rsidRDefault="00C74F1E">
      <w:pPr>
        <w:rPr>
          <w:lang w:val="en-GB"/>
        </w:rPr>
      </w:pPr>
    </w:p>
    <w:p w:rsidR="00C74F1E" w:rsidRDefault="00C74F1E">
      <w:pPr>
        <w:rPr>
          <w:lang w:val="en-GB"/>
        </w:rPr>
      </w:pPr>
    </w:p>
    <w:p w:rsidR="00C74F1E" w:rsidRDefault="00C74F1E">
      <w:pPr>
        <w:rPr>
          <w:lang w:val="en-GB"/>
        </w:rPr>
      </w:pPr>
    </w:p>
    <w:p w:rsidR="00C74F1E" w:rsidRDefault="00C74F1E">
      <w:pPr>
        <w:rPr>
          <w:lang w:val="en-GB"/>
        </w:rPr>
      </w:pPr>
    </w:p>
    <w:p w:rsidR="00C74F1E" w:rsidRDefault="00C74F1E">
      <w:pPr>
        <w:rPr>
          <w:lang w:val="en-GB"/>
        </w:rPr>
      </w:pPr>
    </w:p>
    <w:p w:rsidR="00C74F1E" w:rsidRDefault="00C74F1E">
      <w:pPr>
        <w:rPr>
          <w:lang w:val="en-GB"/>
        </w:rPr>
      </w:pPr>
    </w:p>
    <w:p w:rsidR="00C74F1E" w:rsidRDefault="00C74F1E">
      <w:pPr>
        <w:rPr>
          <w:lang w:val="en-GB"/>
        </w:rPr>
      </w:pPr>
    </w:p>
    <w:p w:rsidR="00C74F1E" w:rsidRDefault="00C74F1E">
      <w:pPr>
        <w:rPr>
          <w:lang w:val="en-GB"/>
        </w:rPr>
      </w:pPr>
    </w:p>
    <w:p w:rsidR="00C74F1E" w:rsidRPr="00C74F1E" w:rsidRDefault="00C74F1E" w:rsidP="00C74F1E">
      <w:pPr>
        <w:rPr>
          <w:lang w:val="en-GB"/>
        </w:rPr>
      </w:pPr>
      <w:r>
        <w:rPr>
          <w:lang w:val="en-GB"/>
        </w:rPr>
        <w:br w:type="page"/>
      </w:r>
      <w:r>
        <w:rPr>
          <w:rFonts w:cs="Calibri"/>
          <w:b/>
          <w:szCs w:val="18"/>
          <w:lang w:val="en-GB"/>
        </w:rPr>
        <w:lastRenderedPageBreak/>
        <w:t>Figure</w:t>
      </w:r>
      <w:r w:rsidRPr="001C12B9">
        <w:rPr>
          <w:rFonts w:cs="Calibri"/>
          <w:b/>
          <w:szCs w:val="18"/>
          <w:lang w:val="en-GB"/>
        </w:rPr>
        <w:t xml:space="preserve"> 2.</w:t>
      </w:r>
      <w:r w:rsidRPr="00B3793A">
        <w:rPr>
          <w:sz w:val="28"/>
          <w:lang w:val="en-US"/>
        </w:rPr>
        <w:t xml:space="preserve"> </w:t>
      </w:r>
      <w:r>
        <w:rPr>
          <w:rFonts w:cs="Calibri"/>
          <w:szCs w:val="18"/>
          <w:lang w:val="en-GB"/>
        </w:rPr>
        <w:t>GP- and time period-specific p</w:t>
      </w:r>
      <w:r w:rsidRPr="00B3793A">
        <w:rPr>
          <w:rFonts w:cs="Calibri"/>
          <w:szCs w:val="18"/>
          <w:lang w:val="en-GB"/>
        </w:rPr>
        <w:t>reventive measures indicators</w:t>
      </w:r>
    </w:p>
    <w:p w:rsidR="00C74F1E" w:rsidRDefault="00C74F1E">
      <w:pPr>
        <w:rPr>
          <w:lang w:val="en-GB"/>
        </w:rPr>
      </w:pPr>
    </w:p>
    <w:p w:rsidR="00C74F1E" w:rsidRDefault="00C74F1E">
      <w:pPr>
        <w:rPr>
          <w:lang w:val="en-GB"/>
        </w:rPr>
      </w:pPr>
      <w:r w:rsidRPr="00C74F1E">
        <w:rPr>
          <w:noProof/>
          <w:lang w:eastAsia="it-IT"/>
        </w:rPr>
        <w:drawing>
          <wp:inline distT="0" distB="0" distL="0" distR="0">
            <wp:extent cx="6026036" cy="5004000"/>
            <wp:effectExtent l="1905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 1b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6036" cy="50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4F1E" w:rsidRDefault="00C74F1E">
      <w:pPr>
        <w:rPr>
          <w:lang w:val="en-GB"/>
        </w:rPr>
      </w:pPr>
    </w:p>
    <w:p w:rsidR="00C74F1E" w:rsidRDefault="00C74F1E">
      <w:pPr>
        <w:rPr>
          <w:lang w:val="en-GB"/>
        </w:rPr>
      </w:pPr>
    </w:p>
    <w:p w:rsidR="00C74F1E" w:rsidRDefault="00C74F1E">
      <w:pPr>
        <w:rPr>
          <w:lang w:val="en-GB"/>
        </w:rPr>
      </w:pPr>
    </w:p>
    <w:p w:rsidR="00C74F1E" w:rsidRDefault="00C74F1E" w:rsidP="00C74F1E">
      <w:pPr>
        <w:rPr>
          <w:rFonts w:cs="Calibri"/>
          <w:b/>
          <w:szCs w:val="18"/>
          <w:lang w:val="en-GB"/>
        </w:rPr>
      </w:pPr>
      <w:r>
        <w:rPr>
          <w:rFonts w:cs="Calibri"/>
          <w:b/>
          <w:szCs w:val="18"/>
          <w:lang w:val="en-GB"/>
        </w:rPr>
        <w:br w:type="page"/>
      </w:r>
    </w:p>
    <w:p w:rsidR="00C74F1E" w:rsidRPr="00FA1F9C" w:rsidRDefault="00C74F1E" w:rsidP="00C74F1E">
      <w:pPr>
        <w:rPr>
          <w:lang w:val="en-GB"/>
        </w:rPr>
      </w:pPr>
      <w:r>
        <w:rPr>
          <w:rFonts w:cs="Calibri"/>
          <w:b/>
          <w:szCs w:val="18"/>
          <w:lang w:val="en-GB"/>
        </w:rPr>
        <w:lastRenderedPageBreak/>
        <w:t xml:space="preserve">Figure </w:t>
      </w:r>
      <w:r w:rsidRPr="001C12B9">
        <w:rPr>
          <w:rFonts w:cs="Calibri"/>
          <w:b/>
          <w:szCs w:val="18"/>
          <w:lang w:val="en-GB"/>
        </w:rPr>
        <w:t>3.</w:t>
      </w:r>
      <w:r w:rsidRPr="00B3793A">
        <w:rPr>
          <w:sz w:val="28"/>
          <w:lang w:val="en-GB"/>
        </w:rPr>
        <w:t xml:space="preserve"> </w:t>
      </w:r>
      <w:r>
        <w:rPr>
          <w:rFonts w:cs="Calibri"/>
          <w:szCs w:val="18"/>
          <w:lang w:val="en-GB"/>
        </w:rPr>
        <w:t>GP- and time period-specific t</w:t>
      </w:r>
      <w:r w:rsidRPr="00B3793A">
        <w:rPr>
          <w:rFonts w:cs="Calibri"/>
          <w:szCs w:val="18"/>
          <w:lang w:val="en-GB"/>
        </w:rPr>
        <w:t>herapeutic process indicators</w:t>
      </w:r>
    </w:p>
    <w:p w:rsidR="00C74F1E" w:rsidRDefault="00C74F1E">
      <w:pPr>
        <w:rPr>
          <w:lang w:val="en-GB"/>
        </w:rPr>
      </w:pPr>
    </w:p>
    <w:p w:rsidR="00C74F1E" w:rsidRDefault="00C74F1E">
      <w:pPr>
        <w:rPr>
          <w:lang w:val="en-GB"/>
        </w:rPr>
      </w:pPr>
      <w:r w:rsidRPr="00C74F1E">
        <w:rPr>
          <w:noProof/>
          <w:lang w:eastAsia="it-IT"/>
        </w:rPr>
        <w:drawing>
          <wp:inline distT="0" distB="0" distL="0" distR="0">
            <wp:extent cx="6058215" cy="5040000"/>
            <wp:effectExtent l="1905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 Fig 1c.tif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8215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7095" w:rsidRDefault="006A7095">
      <w:pPr>
        <w:rPr>
          <w:lang w:val="en-GB"/>
        </w:rPr>
      </w:pPr>
    </w:p>
    <w:p w:rsidR="006A7095" w:rsidRDefault="006A7095">
      <w:pPr>
        <w:rPr>
          <w:lang w:val="en-GB"/>
        </w:rPr>
      </w:pPr>
    </w:p>
    <w:p w:rsidR="006A7095" w:rsidRDefault="006A7095">
      <w:pPr>
        <w:rPr>
          <w:lang w:val="en-GB"/>
        </w:rPr>
      </w:pPr>
    </w:p>
    <w:p w:rsidR="006A7095" w:rsidRDefault="006A7095">
      <w:pPr>
        <w:rPr>
          <w:lang w:val="en-GB"/>
        </w:rPr>
        <w:sectPr w:rsidR="006A7095" w:rsidSect="009A7FEA"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:rsidR="006A7095" w:rsidRDefault="006A7095">
      <w:pPr>
        <w:rPr>
          <w:lang w:val="en-GB"/>
        </w:rPr>
      </w:pPr>
      <w:r>
        <w:rPr>
          <w:b/>
          <w:lang w:val="en-US"/>
        </w:rPr>
        <w:lastRenderedPageBreak/>
        <w:t xml:space="preserve">Figure 4. </w:t>
      </w:r>
      <w:r w:rsidRPr="006A7095">
        <w:rPr>
          <w:lang w:val="en-US"/>
        </w:rPr>
        <w:t>Distribution of indicators with negative, neutral and positive behavior (%) for each GP at the three time points</w:t>
      </w:r>
      <w:r w:rsidRPr="006A7095">
        <w:rPr>
          <w:lang w:val="en-GB"/>
        </w:rPr>
        <w:t xml:space="preserve"> </w:t>
      </w:r>
      <w:r w:rsidRPr="006A7095">
        <w:rPr>
          <w:lang w:val="en-GB"/>
        </w:rPr>
        <w:drawing>
          <wp:inline distT="0" distB="0" distL="0" distR="0">
            <wp:extent cx="6787266" cy="4241389"/>
            <wp:effectExtent l="19050" t="0" r="0" b="0"/>
            <wp:docPr id="2" name="Immagine 17" descr="C:\ANDREA\WORKS\EXTRA\MESSINA_TRIFIRO\VALENTINA\BPCO\R PLOTS\Figure 2 (31-05-2017)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ANDREA\WORKS\EXTRA\MESSINA_TRIFIRO\VALENTINA\BPCO\R PLOTS\Figure 2 (31-05-2017).tif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23" cy="424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7095" w:rsidRDefault="006A7095">
      <w:pPr>
        <w:rPr>
          <w:lang w:val="en-GB"/>
        </w:rPr>
      </w:pPr>
    </w:p>
    <w:p w:rsidR="006A7095" w:rsidRDefault="006A7095">
      <w:pPr>
        <w:rPr>
          <w:lang w:val="en-GB"/>
        </w:rPr>
      </w:pPr>
      <w:r>
        <w:rPr>
          <w:lang w:val="en-GB"/>
        </w:rPr>
        <w:br w:type="page"/>
      </w:r>
    </w:p>
    <w:p w:rsidR="006A7095" w:rsidRPr="00E53933" w:rsidRDefault="006A7095">
      <w:pPr>
        <w:rPr>
          <w:lang w:val="en-GB"/>
        </w:rPr>
      </w:pPr>
    </w:p>
    <w:sectPr w:rsidR="006A7095" w:rsidRPr="00E53933" w:rsidSect="006A7095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457" w:rsidRDefault="00861457" w:rsidP="006A7095">
      <w:pPr>
        <w:spacing w:after="0" w:line="240" w:lineRule="auto"/>
      </w:pPr>
      <w:r>
        <w:separator/>
      </w:r>
    </w:p>
  </w:endnote>
  <w:endnote w:type="continuationSeparator" w:id="0">
    <w:p w:rsidR="00861457" w:rsidRDefault="00861457" w:rsidP="006A70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457" w:rsidRDefault="00861457" w:rsidP="006A7095">
      <w:pPr>
        <w:spacing w:after="0" w:line="240" w:lineRule="auto"/>
      </w:pPr>
      <w:r>
        <w:separator/>
      </w:r>
    </w:p>
  </w:footnote>
  <w:footnote w:type="continuationSeparator" w:id="0">
    <w:p w:rsidR="00861457" w:rsidRDefault="00861457" w:rsidP="006A709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3933"/>
    <w:rsid w:val="006A7095"/>
    <w:rsid w:val="00765292"/>
    <w:rsid w:val="00861457"/>
    <w:rsid w:val="00885FFE"/>
    <w:rsid w:val="009A7FEA"/>
    <w:rsid w:val="00C74F1E"/>
    <w:rsid w:val="00DF04E3"/>
    <w:rsid w:val="00E53933"/>
    <w:rsid w:val="00F0019F"/>
    <w:rsid w:val="00F733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53933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53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53933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6A70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A7095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6A709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6A7095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60</Words>
  <Characters>343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Rosarita Ferrara</dc:creator>
  <cp:keywords/>
  <dc:description/>
  <cp:lastModifiedBy>Rosarita Ferrara</cp:lastModifiedBy>
  <cp:revision>9</cp:revision>
  <dcterms:created xsi:type="dcterms:W3CDTF">2017-08-04T10:58:00Z</dcterms:created>
  <dcterms:modified xsi:type="dcterms:W3CDTF">2017-08-09T16:56:00Z</dcterms:modified>
</cp:coreProperties>
</file>