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1D" w:rsidRPr="00C86961" w:rsidRDefault="002A64CF" w:rsidP="00402F1D">
      <w:pPr>
        <w:rPr>
          <w:rFonts w:asciiTheme="minorHAnsi" w:hAnsiTheme="minorHAnsi"/>
          <w:lang w:val="en-GB"/>
        </w:rPr>
      </w:pPr>
      <w:bookmarkStart w:id="0" w:name="_Hlk500955103"/>
      <w:r>
        <w:rPr>
          <w:rFonts w:asciiTheme="minorHAnsi" w:hAnsiTheme="minorHAnsi"/>
          <w:b/>
          <w:lang w:val="en-GB"/>
        </w:rPr>
        <w:t>Supplementary Table 2</w:t>
      </w:r>
      <w:r w:rsidR="00402F1D" w:rsidRPr="00C86961">
        <w:rPr>
          <w:rFonts w:asciiTheme="minorHAnsi" w:hAnsiTheme="minorHAnsi"/>
          <w:b/>
          <w:lang w:val="en-GB"/>
        </w:rPr>
        <w:t>.</w:t>
      </w:r>
      <w:r w:rsidR="00402F1D" w:rsidRPr="00C86961">
        <w:rPr>
          <w:rFonts w:asciiTheme="minorHAnsi" w:hAnsiTheme="minorHAnsi"/>
          <w:lang w:val="en-GB"/>
        </w:rPr>
        <w:t xml:space="preserve"> Key findings of studie</w:t>
      </w:r>
      <w:r>
        <w:rPr>
          <w:rFonts w:asciiTheme="minorHAnsi" w:hAnsiTheme="minorHAnsi"/>
          <w:lang w:val="en-GB"/>
        </w:rPr>
        <w:t>s including patients with asthma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13"/>
        <w:gridCol w:w="1134"/>
        <w:gridCol w:w="4961"/>
        <w:gridCol w:w="3119"/>
        <w:gridCol w:w="4252"/>
      </w:tblGrid>
      <w:tr w:rsidR="00402F1D" w:rsidRPr="00C86961" w:rsidTr="007D3B57">
        <w:tc>
          <w:tcPr>
            <w:tcW w:w="1413" w:type="dxa"/>
            <w:vMerge w:val="restart"/>
          </w:tcPr>
          <w:bookmarkEnd w:id="0"/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Ref</w:t>
            </w:r>
          </w:p>
        </w:tc>
        <w:tc>
          <w:tcPr>
            <w:tcW w:w="1134" w:type="dxa"/>
            <w:vMerge w:val="restart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 xml:space="preserve">Patients, </w:t>
            </w:r>
            <w:r w:rsidRPr="00C86961">
              <w:rPr>
                <w:rFonts w:asciiTheme="minorHAnsi" w:hAnsiTheme="minorHAnsi"/>
                <w:b/>
                <w:i/>
                <w:sz w:val="20"/>
                <w:szCs w:val="20"/>
                <w:lang w:val="en-GB"/>
              </w:rPr>
              <w:t>n</w:t>
            </w:r>
          </w:p>
        </w:tc>
        <w:tc>
          <w:tcPr>
            <w:tcW w:w="12332" w:type="dxa"/>
            <w:gridSpan w:val="3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Key conclusions</w:t>
            </w:r>
          </w:p>
        </w:tc>
      </w:tr>
      <w:tr w:rsidR="00402F1D" w:rsidRPr="00C86961" w:rsidTr="007D3B57">
        <w:tc>
          <w:tcPr>
            <w:tcW w:w="1413" w:type="dxa"/>
            <w:vMerge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vMerge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4961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Clinical outcomes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QoL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HRU outcomes</w:t>
            </w:r>
          </w:p>
        </w:tc>
      </w:tr>
      <w:tr w:rsidR="00402F1D" w:rsidRPr="00C86961" w:rsidTr="007D3B57">
        <w:tc>
          <w:tcPr>
            <w:tcW w:w="14879" w:type="dxa"/>
            <w:gridSpan w:val="5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Clinical cross-sectional studies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Giraud &amp; Roche 2002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4078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Asthma was less stable in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pMDI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misusers (patients with ≥1 error) than in good users (AIS 3.93 vs. 2.86;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0.001). Among misusers, asthma was less stable in poor coordinators (AIS 4.38 vs. 3.56 in good coordinators;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0.001)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There were significant differences in AIS according to the presence or absence of each single error or omission in inhalation technique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0.03 for cap removal and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0.00001 for all others)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Linear regression analysis showed that the number of errors in inhalation technique correlated to the AIS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r=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0.3;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0.0001)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In misusers as compared with good users, more frequent β</w:t>
            </w:r>
            <w:r w:rsidRPr="00C86961">
              <w:rPr>
                <w:rFonts w:asciiTheme="minorHAnsi" w:hAnsiTheme="minorHAnsi"/>
                <w:sz w:val="20"/>
                <w:szCs w:val="20"/>
                <w:vertAlign w:val="subscript"/>
                <w:lang w:val="en-GB"/>
              </w:rPr>
              <w:t>2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-agonist use, recent worsening of asthma and occurrence of serious exacerbations (all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0.01) were reported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ER visits were more frequent in misusers with poor coordination (≥1 error between actuation and inhalation) than in misusers without poor coordination or good users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0.00001)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Molimard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&amp; Le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Gros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2008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4362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&gt;20% of patients were using their inhaler device incorrectly (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Turbuhaler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37.1%; MDI 28.1%;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Diskus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21.3%;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Aerolizer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7.4%) and this was associated with a 0.84-point increase in ACS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Mean ACS was 2.95 (95% CI 2.88, 3.02) and asthma control was unsatisfactory (i.e. ACS ≥4) in 41.1% of patients, with higher proportions in smokers, non-compliant patients, and those misusing their device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Asthma control (study-specific questionnaire) was inadequate in 53.3% of patients committing a critical error, compared with 37.3% of those who were using their inhaler correctly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 xml:space="preserve">Giraud,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Allaert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Magnan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2011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6512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5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The proportions of patients with suboptimal technique rose as the ACQ score rose from 732/1512 (48.4%) of patients with ACQ score of 0−1 to 174/265 (65.7%) of patients with ACQ score ≥4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Melani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l. 2011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8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703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There was an association between ACT score and risk of critical error both overall (asthma, COPD, and ‘other’ patients [n=1664], OR 1.53 ± 0.14;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0.0001) and in patients with a primary diagnosis of asthma (OR 1.73 ± 0.26;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0.0001)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Critical errors in inhalation technique were significantly associated with increased risk of hospitalisation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=0.001), ER visits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&lt;0.001), use of antibiotics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&lt;0.001) and courses of oral corticosteroids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&lt;0.001)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Natsir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 xml:space="preserve">et al. 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2013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60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6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Improper use of asthma inhaler devices was observed in 36 (60%) patients and was associated with level of formal education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0.016), irregular clinic follow-ups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0.01) and uncontrolled asthma (ACT score &lt;15;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0.04)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6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Improper use of asthma inhaler devices was associated with ER visits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0.00)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Al-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Jahdali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. 2013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450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Improper use of asthma inhaler devices was observed in 45% of the patients and was associated with irregular clinic follow-ups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0.0001), lack of asthma education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0.0009), uncontrolled asthma (ACT score ≤15)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0.001) and duration of asthma of &lt;52 weeks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0.005)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Improper use of asthma inhaler devices was associated with </w:t>
            </w:r>
            <w:r w:rsidRPr="00C86961">
              <w:rPr>
                <w:rFonts w:asciiTheme="minorHAnsi" w:hAnsiTheme="minorHAnsi" w:cstheme="majorHAnsi"/>
                <w:sz w:val="20"/>
                <w:szCs w:val="20"/>
                <w:lang w:val="en-GB"/>
              </w:rPr>
              <w:t>≥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3 ER visits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0.0497).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Baddar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. 2014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7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218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Patients with poor inhaler techniques demonstrated poor control according to ACT score (OR 5.3; 95% CI 2.05–14.8;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="00B31A00">
              <w:rPr>
                <w:rFonts w:asciiTheme="minorHAnsi" w:hAnsiTheme="minorHAnsi"/>
                <w:sz w:val="20"/>
                <w:szCs w:val="20"/>
                <w:lang w:val="en-GB"/>
              </w:rPr>
              <w:t>0.001)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In patients with good asthma control, 38% (35) displayed good inhaler technique as well as compliance and 41.3% (38) had a good technique and partial compliance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de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Tarso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Roth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Dalcin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. 2014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8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268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Incorrect inhaler technique was associated with poor GINA-derived asthma control. The proportion of patients with uncontrolled asthma was significantly higher among those with incorrect inhaler technique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0.007)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>FVC, FEV</w:t>
            </w:r>
            <w:r w:rsidRPr="00C86961">
              <w:rPr>
                <w:rFonts w:asciiTheme="minorHAnsi" w:hAnsiTheme="minorHAnsi"/>
                <w:sz w:val="20"/>
                <w:szCs w:val="20"/>
                <w:vertAlign w:val="subscript"/>
                <w:lang w:val="en-GB"/>
              </w:rPr>
              <w:t>1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and FVC/FEV</w:t>
            </w:r>
            <w:r w:rsidRPr="00C86961">
              <w:rPr>
                <w:rFonts w:asciiTheme="minorHAnsi" w:hAnsiTheme="minorHAnsi"/>
                <w:sz w:val="20"/>
                <w:szCs w:val="20"/>
                <w:vertAlign w:val="subscript"/>
                <w:lang w:val="en-GB"/>
              </w:rPr>
              <w:t>1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were lower in patients with correct versus incorrect technique, but there was no significance difference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Maricoto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l. 2015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35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There was an association between lower number of errors and better clinical control, either by the ACT becoming significant from 3 errors committed with a mean difference of 7.5 (± 3.5) points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0.032, ANOVA), or by CARAT becoming significant at 4 errors with an average difference of 8.5 (± 3) points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0.008, ANOVA)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Roggeri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Micheletto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Roggeri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2016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35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200</w:t>
            </w:r>
          </w:p>
        </w:tc>
        <w:tc>
          <w:tcPr>
            <w:tcW w:w="4961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Among asthma patients with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n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=100) vs without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n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=100) ≥1 critical </w:t>
            </w:r>
            <w:proofErr w:type="gram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errors</w:t>
            </w:r>
            <w:proofErr w:type="gram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, critical errors were associated with an excess of hospitalisation (19 more), ER visits (26.5 more), antimicrobial courses (4.5 more) and courses of corticosteroids (21.5 more)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These differences in resource consumption were associated with a yearly incremental healthcare cost for 100 patients, due to inhalation errors, of €44,104</w:t>
            </w:r>
          </w:p>
        </w:tc>
      </w:tr>
      <w:tr w:rsidR="00402F1D" w:rsidRPr="00C86961" w:rsidTr="007D3B57">
        <w:tc>
          <w:tcPr>
            <w:tcW w:w="14879" w:type="dxa"/>
            <w:gridSpan w:val="5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Prospective clinical studies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Giraud,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Allaert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&amp; Roche 2011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29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727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At 1 month, mean (SD) ACQ score had improved from a baseline score of 1.8 (1.2) to 1.4 (1.1)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0.001). Importantly, greater change was observed in patients with improved inhaler technique vs. those without. Similar results were observed for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Morisky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score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Yildiz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al.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2014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0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572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8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ACT asthma control (overall 61.5% at baseline, and increased to 87.3% during follow-up) was better, with significant improvement in technique and decrease in basic errors to the range 0–1, regardless of inhaler type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>Harnett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et al. 2014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40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At the initial assessment, 63% of the patients were classified as incorrectly using their inhaler which decreased to 20% at follow-up, indicating an overall significant improvement in inhaler usage post-training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0.003). ACQ scores improved significantly from median [IQR] 2.70 [1.66] to 2.00 [1.90]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0.002)</w:t>
            </w:r>
          </w:p>
        </w:tc>
        <w:tc>
          <w:tcPr>
            <w:tcW w:w="3119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Correlation between improved AQLQ scores and improved inhaler technique at follow-up did not reach statistical significance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r=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0.37;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0.3)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Patients’ AQLQ score strongly correlated with ACQ score (r=0.8), with poorer AQLQ coinciding with decreasing asthma control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0.001)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879" w:type="dxa"/>
            <w:gridSpan w:val="5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Database studies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B31A00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Levy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al.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2013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  <w:r w:rsidR="00B31A00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3981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Incorrect inhaler use was found in 4× as many patients with uncontrolled asthma according to GINA criteria and &gt;2× as many patients with partly controlled asthma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0.0001)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Significantly more patients who had ≥1 asthma exacerbation (68%) failed their first inhaler technique test (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p=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0.03)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67% of those prescribed a short course of prednisolone in the 3 months prior (OR 0.50–0.89;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0.05) failed their first AIM inhaler technique test when attending the clinic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Patients using spacers with their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pMDIs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had better control of their asthma than those not using spacers (68% vs. 51%;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&lt;0.0001)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13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Price </w:t>
            </w:r>
            <w:r w:rsidRPr="00C86961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al.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2017</w:t>
            </w:r>
            <w:r w:rsidRPr="00C86961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19</w:t>
            </w:r>
          </w:p>
        </w:tc>
        <w:tc>
          <w:tcPr>
            <w:tcW w:w="1134" w:type="dxa"/>
          </w:tcPr>
          <w:p w:rsidR="00402F1D" w:rsidRPr="00C86961" w:rsidRDefault="00402F1D" w:rsidP="007D3B57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3660</w:t>
            </w:r>
          </w:p>
        </w:tc>
        <w:tc>
          <w:tcPr>
            <w:tcW w:w="4961" w:type="dxa"/>
          </w:tcPr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Insufficient inspiratory effort was common (32−38% of DPI users) and was associated with uncontrolled asthma (study-specific questionnaire) with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Turbuhaler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(adjusted OR 1.30; 95% CI 1.08–1.57) and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Diskus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devices (adjusted OR 1.56; 95% CI 1.17, 2.07) and increased exacerbation rate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>In MDI users, actuation before inhalation (24.9% of patients) was associated with uncontrolled asthma (OR 1.55; 95 CI 1.11–2.16)</w:t>
            </w:r>
          </w:p>
          <w:p w:rsidR="00402F1D" w:rsidRPr="00C86961" w:rsidRDefault="00402F1D" w:rsidP="00402F1D">
            <w:pPr>
              <w:pStyle w:val="ListParagraph"/>
              <w:numPr>
                <w:ilvl w:val="0"/>
                <w:numId w:val="4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Several more generic and device-specific errors were also identified as critical</w:t>
            </w:r>
          </w:p>
        </w:tc>
        <w:tc>
          <w:tcPr>
            <w:tcW w:w="3119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4252" w:type="dxa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402F1D" w:rsidRPr="00C86961" w:rsidTr="007D3B57">
        <w:tc>
          <w:tcPr>
            <w:tcW w:w="14879" w:type="dxa"/>
            <w:gridSpan w:val="5"/>
          </w:tcPr>
          <w:p w:rsidR="00402F1D" w:rsidRPr="00C86961" w:rsidRDefault="00402F1D" w:rsidP="007D3B57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ACQ, Asthma Control Questionnaire; ACS, Asthma Control Score; ACT, Asthma Control Test; AIM, Aerosol Inhalation Monitor; AIS, Asthma Instability Score; ANOVA, analysis of variance; AQLQ, Asthma Quality of Life Questionnaire; CARAT, Control of Allergic Rhinitis and Asthma Test; CI, confidence interval; COPD, chronic obstructive pulmonary disease; DPI, dry powder inhaler; ER, emergency room; FEV</w:t>
            </w:r>
            <w:r w:rsidRPr="00C86961">
              <w:rPr>
                <w:rFonts w:asciiTheme="minorHAnsi" w:hAnsiTheme="minorHAnsi"/>
                <w:sz w:val="20"/>
                <w:szCs w:val="20"/>
                <w:vertAlign w:val="subscript"/>
                <w:lang w:val="en-GB"/>
              </w:rPr>
              <w:t>1</w:t>
            </w:r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, Forced expiratory volume in 1 s; FVC, forced vital capacity; GINA, Global Initiative for Asthma; HRU, healthcare resource utilisation; IQR, interquartile range; MDI, metered-dose inhaler; NR, not reported; OR, odds ratio; </w:t>
            </w:r>
            <w:proofErr w:type="spellStart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pMDI</w:t>
            </w:r>
            <w:proofErr w:type="spellEnd"/>
            <w:r w:rsidRPr="00C86961">
              <w:rPr>
                <w:rFonts w:asciiTheme="minorHAnsi" w:hAnsiTheme="minorHAnsi"/>
                <w:sz w:val="20"/>
                <w:szCs w:val="20"/>
                <w:lang w:val="en-GB"/>
              </w:rPr>
              <w:t>, pressurised metered-dose inhaler; QoL, quality of life; RR, rate ratio; SD, standard deviation</w:t>
            </w:r>
          </w:p>
        </w:tc>
      </w:tr>
    </w:tbl>
    <w:p w:rsidR="00F353B8" w:rsidRDefault="00F353B8" w:rsidP="002A64CF">
      <w:pPr>
        <w:rPr>
          <w:rFonts w:asciiTheme="minorHAnsi" w:hAnsiTheme="minorHAnsi"/>
          <w:b/>
          <w:lang w:val="en-GB"/>
        </w:rPr>
      </w:pPr>
      <w:bookmarkStart w:id="1" w:name="_Hlk500956071"/>
      <w:bookmarkEnd w:id="1"/>
    </w:p>
    <w:p w:rsidR="00F353B8" w:rsidRDefault="00F353B8">
      <w:pPr>
        <w:spacing w:after="160" w:line="259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br w:type="page"/>
      </w:r>
    </w:p>
    <w:p w:rsidR="00F353B8" w:rsidRPr="003222C6" w:rsidRDefault="00F353B8" w:rsidP="00F353B8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b/>
          <w:lang w:val="en-GB"/>
        </w:rPr>
        <w:lastRenderedPageBreak/>
        <w:t>Supplementary table 3</w:t>
      </w:r>
      <w:r w:rsidRPr="003222C6">
        <w:rPr>
          <w:rFonts w:asciiTheme="minorHAnsi" w:hAnsiTheme="minorHAnsi"/>
          <w:b/>
          <w:lang w:val="en-GB"/>
        </w:rPr>
        <w:t>.</w:t>
      </w:r>
      <w:r w:rsidRPr="003222C6">
        <w:rPr>
          <w:rFonts w:asciiTheme="minorHAnsi" w:hAnsiTheme="minorHAnsi"/>
          <w:lang w:val="en-GB"/>
        </w:rPr>
        <w:t xml:space="preserve"> Key findings of studies including patients with COPD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995"/>
        <w:gridCol w:w="1493"/>
        <w:gridCol w:w="4729"/>
        <w:gridCol w:w="5528"/>
      </w:tblGrid>
      <w:tr w:rsidR="00F353B8" w:rsidRPr="003222C6" w:rsidTr="00B94DDD">
        <w:tc>
          <w:tcPr>
            <w:tcW w:w="1995" w:type="dxa"/>
            <w:vMerge w:val="restart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Ref</w:t>
            </w:r>
          </w:p>
        </w:tc>
        <w:tc>
          <w:tcPr>
            <w:tcW w:w="1493" w:type="dxa"/>
            <w:vMerge w:val="restart"/>
          </w:tcPr>
          <w:p w:rsidR="00F353B8" w:rsidRPr="003222C6" w:rsidRDefault="00F353B8" w:rsidP="00B94DDD">
            <w:pPr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 xml:space="preserve">Patients, </w:t>
            </w:r>
            <w:r w:rsidRPr="003222C6">
              <w:rPr>
                <w:rFonts w:asciiTheme="minorHAnsi" w:hAnsiTheme="minorHAnsi"/>
                <w:b/>
                <w:i/>
                <w:sz w:val="20"/>
                <w:szCs w:val="20"/>
                <w:lang w:val="en-GB"/>
              </w:rPr>
              <w:t>n</w:t>
            </w:r>
          </w:p>
        </w:tc>
        <w:tc>
          <w:tcPr>
            <w:tcW w:w="10257" w:type="dxa"/>
            <w:gridSpan w:val="2"/>
          </w:tcPr>
          <w:p w:rsidR="00F353B8" w:rsidRPr="003222C6" w:rsidRDefault="00F353B8" w:rsidP="00B94DDD">
            <w:pPr>
              <w:spacing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Key conclusions</w:t>
            </w:r>
          </w:p>
        </w:tc>
      </w:tr>
      <w:tr w:rsidR="00F353B8" w:rsidRPr="003222C6" w:rsidTr="00B94DDD">
        <w:tc>
          <w:tcPr>
            <w:tcW w:w="1995" w:type="dxa"/>
            <w:vMerge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493" w:type="dxa"/>
            <w:vMerge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4729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Clinical outcomes</w:t>
            </w:r>
          </w:p>
        </w:tc>
        <w:tc>
          <w:tcPr>
            <w:tcW w:w="5528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HRU outcomes</w:t>
            </w:r>
          </w:p>
        </w:tc>
      </w:tr>
      <w:tr w:rsidR="00F353B8" w:rsidRPr="003222C6" w:rsidTr="00B94DDD">
        <w:tc>
          <w:tcPr>
            <w:tcW w:w="13745" w:type="dxa"/>
            <w:gridSpan w:val="4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Clinical cross-sectional studies</w:t>
            </w:r>
          </w:p>
        </w:tc>
      </w:tr>
      <w:tr w:rsidR="00F353B8" w:rsidRPr="003222C6" w:rsidTr="00B94DDD">
        <w:tc>
          <w:tcPr>
            <w:tcW w:w="1995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Melani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l. 2011</w:t>
            </w:r>
            <w:r w:rsidRPr="003222C6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8</w:t>
            </w:r>
          </w:p>
        </w:tc>
        <w:tc>
          <w:tcPr>
            <w:tcW w:w="1493" w:type="dxa"/>
          </w:tcPr>
          <w:p w:rsidR="00F353B8" w:rsidRPr="003222C6" w:rsidRDefault="00F353B8" w:rsidP="00B94DD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864</w:t>
            </w:r>
          </w:p>
        </w:tc>
        <w:tc>
          <w:tcPr>
            <w:tcW w:w="4729" w:type="dxa"/>
          </w:tcPr>
          <w:p w:rsidR="00F353B8" w:rsidRPr="003222C6" w:rsidRDefault="00F353B8" w:rsidP="00B94DD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An association between ACT score and risk of critical error in patients with COPD (OR 1.46 ± 0.18; 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0.005)</w:t>
            </w:r>
          </w:p>
          <w:p w:rsidR="00F353B8" w:rsidRPr="003222C6" w:rsidRDefault="00F353B8" w:rsidP="00B94DD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No association between COPD patients with critical inhaler errors and </w:t>
            </w: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mMRC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dyspnoea score (OR 1.10 ± 0.07)</w:t>
            </w:r>
          </w:p>
        </w:tc>
        <w:tc>
          <w:tcPr>
            <w:tcW w:w="5528" w:type="dxa"/>
          </w:tcPr>
          <w:p w:rsidR="00F353B8" w:rsidRPr="003222C6" w:rsidRDefault="00F353B8" w:rsidP="00B94DD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Inhaler misuse was associated with increased risk of hospitalisation (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0.001), ER visits (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0.001), courses of oral steroids (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0.001) and antimicrobials (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0.001) in the overall (asthma, COPD and ‘other’) population</w:t>
            </w:r>
          </w:p>
        </w:tc>
      </w:tr>
      <w:tr w:rsidR="00F353B8" w:rsidRPr="003222C6" w:rsidTr="00B94DDD">
        <w:tc>
          <w:tcPr>
            <w:tcW w:w="1995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Maricoto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al.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2015</w:t>
            </w:r>
            <w:r w:rsidRPr="003222C6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1493" w:type="dxa"/>
          </w:tcPr>
          <w:p w:rsidR="00F353B8" w:rsidRPr="003222C6" w:rsidRDefault="00F353B8" w:rsidP="00B94DD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27</w:t>
            </w:r>
          </w:p>
        </w:tc>
        <w:tc>
          <w:tcPr>
            <w:tcW w:w="4729" w:type="dxa"/>
          </w:tcPr>
          <w:p w:rsidR="00F353B8" w:rsidRPr="003222C6" w:rsidRDefault="00F353B8" w:rsidP="00B94DDD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No significant relationship between clinical control and quality of inhalation technique</w:t>
            </w:r>
          </w:p>
          <w:p w:rsidR="00F353B8" w:rsidRPr="003222C6" w:rsidRDefault="00F353B8" w:rsidP="00B94DDD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CAT and </w:t>
            </w: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mMRC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scores associated with different numbers of errors, which did not show a significant difference</w:t>
            </w:r>
          </w:p>
        </w:tc>
        <w:tc>
          <w:tcPr>
            <w:tcW w:w="5528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</w:tr>
      <w:tr w:rsidR="00F353B8" w:rsidRPr="003222C6" w:rsidTr="00B94DDD">
        <w:tc>
          <w:tcPr>
            <w:tcW w:w="1995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Roggeri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Micheletto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&amp; </w:t>
            </w: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Roggeri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2016</w:t>
            </w:r>
            <w:r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35</w:t>
            </w:r>
          </w:p>
        </w:tc>
        <w:tc>
          <w:tcPr>
            <w:tcW w:w="1493" w:type="dxa"/>
          </w:tcPr>
          <w:p w:rsidR="00F353B8" w:rsidRPr="003222C6" w:rsidRDefault="00F353B8" w:rsidP="00B94DD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200</w:t>
            </w:r>
          </w:p>
        </w:tc>
        <w:tc>
          <w:tcPr>
            <w:tcW w:w="4729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8" w:type="dxa"/>
          </w:tcPr>
          <w:p w:rsidR="00F353B8" w:rsidRPr="003222C6" w:rsidRDefault="00F353B8" w:rsidP="00B94DD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Among patients with (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n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=100) vs without (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n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=100) ≥1 critical error, critical errors were associated with an excess of hospitalisations (11.5 more), ER visits (13 more), antimicrobial courses (19.5 more) and corticosteroids courses (47 more)</w:t>
            </w:r>
          </w:p>
          <w:p w:rsidR="00F353B8" w:rsidRPr="003222C6" w:rsidRDefault="00F353B8" w:rsidP="00B94DD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 w:cs="Times New Roman PS"/>
                <w:color w:val="000000"/>
                <w:sz w:val="20"/>
                <w:szCs w:val="20"/>
                <w:lang w:val="en-GB"/>
              </w:rPr>
              <w:t xml:space="preserve">These differences in resource consumption were associated with a yearly incremental healthcare costs for 100 patients, due to inhalation errors, of </w:t>
            </w:r>
            <w:r w:rsidRPr="003222C6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€</w:t>
            </w:r>
            <w:r w:rsidRPr="003222C6">
              <w:rPr>
                <w:rFonts w:asciiTheme="minorHAnsi" w:hAnsiTheme="minorHAnsi" w:cs="Times New Roman PS"/>
                <w:color w:val="000000"/>
                <w:sz w:val="20"/>
                <w:szCs w:val="20"/>
                <w:lang w:val="en-GB"/>
              </w:rPr>
              <w:t>23,444</w:t>
            </w:r>
          </w:p>
        </w:tc>
      </w:tr>
      <w:tr w:rsidR="00F353B8" w:rsidRPr="003222C6" w:rsidTr="00B94DDD">
        <w:tc>
          <w:tcPr>
            <w:tcW w:w="1995" w:type="dxa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Molimard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et al.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2017</w:t>
            </w:r>
            <w:r w:rsidRPr="003222C6"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rFonts w:asciiTheme="minorHAnsi" w:hAnsiTheme="minorHAnsi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1493" w:type="dxa"/>
          </w:tcPr>
          <w:p w:rsidR="00F353B8" w:rsidRPr="003222C6" w:rsidRDefault="00F353B8" w:rsidP="00B94DD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2935</w:t>
            </w:r>
          </w:p>
        </w:tc>
        <w:tc>
          <w:tcPr>
            <w:tcW w:w="4729" w:type="dxa"/>
          </w:tcPr>
          <w:p w:rsidR="00F353B8" w:rsidRPr="003222C6" w:rsidRDefault="00F353B8" w:rsidP="00F353B8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Handling errors of inhaler devices are underestimated in real life and are associated with an increased rate of severe COPD exacerbation</w:t>
            </w:r>
          </w:p>
        </w:tc>
        <w:tc>
          <w:tcPr>
            <w:tcW w:w="5528" w:type="dxa"/>
          </w:tcPr>
          <w:p w:rsidR="00F353B8" w:rsidRPr="003222C6" w:rsidRDefault="00F353B8" w:rsidP="00B94DDD">
            <w:pPr>
              <w:pStyle w:val="ListParagraph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Proportion of patients requiring hospitalisation or ER visits in the past 3 months for severe COPD exacerbation was 3.3% (95% CI 2.0–4.5) in the absence of error and 6.9% (95% CI 5.3–8.5) in the presence of critical error (OR 1.86; 95% CI 1.14–3.04; </w:t>
            </w:r>
            <w:r w:rsidRPr="003222C6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p&lt;</w:t>
            </w: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0.05)</w:t>
            </w:r>
          </w:p>
        </w:tc>
      </w:tr>
      <w:tr w:rsidR="00F353B8" w:rsidRPr="003222C6" w:rsidTr="00B94DDD">
        <w:tc>
          <w:tcPr>
            <w:tcW w:w="13745" w:type="dxa"/>
            <w:gridSpan w:val="4"/>
          </w:tcPr>
          <w:p w:rsidR="00F353B8" w:rsidRPr="003222C6" w:rsidRDefault="00F353B8" w:rsidP="00B94DDD">
            <w:pPr>
              <w:spacing w:line="240" w:lineRule="auto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lastRenderedPageBreak/>
              <w:t xml:space="preserve">ACT, Asthma Control Test; CAT, COPD Assessment Test; CI, confidence interval; COPD, chronic obstructive pulmonary disease; ER, emergency room; HRU, healthcare resource use; </w:t>
            </w:r>
            <w:proofErr w:type="spellStart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mMRC</w:t>
            </w:r>
            <w:proofErr w:type="spellEnd"/>
            <w:r w:rsidRPr="003222C6">
              <w:rPr>
                <w:rFonts w:asciiTheme="minorHAnsi" w:hAnsiTheme="minorHAnsi"/>
                <w:sz w:val="20"/>
                <w:szCs w:val="20"/>
                <w:lang w:val="en-GB"/>
              </w:rPr>
              <w:t>, modified Medical Research Council; NR, not reported; OR, odds ratio</w:t>
            </w:r>
          </w:p>
        </w:tc>
      </w:tr>
    </w:tbl>
    <w:p w:rsidR="00F353B8" w:rsidRPr="003222C6" w:rsidRDefault="00F353B8" w:rsidP="00F353B8">
      <w:pPr>
        <w:rPr>
          <w:rFonts w:asciiTheme="minorHAnsi" w:hAnsiTheme="minorHAnsi"/>
        </w:rPr>
      </w:pPr>
    </w:p>
    <w:p w:rsidR="002A64CF" w:rsidRDefault="002A64CF" w:rsidP="002A64CF">
      <w:pPr>
        <w:rPr>
          <w:rFonts w:asciiTheme="minorHAnsi" w:hAnsiTheme="minorHAnsi"/>
          <w:b/>
          <w:lang w:val="en-GB"/>
        </w:rPr>
      </w:pPr>
      <w:bookmarkStart w:id="2" w:name="_GoBack"/>
      <w:bookmarkEnd w:id="2"/>
    </w:p>
    <w:sectPr w:rsidR="002A64CF" w:rsidSect="00402F1D">
      <w:pgSz w:w="1682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157"/>
    <w:multiLevelType w:val="hybridMultilevel"/>
    <w:tmpl w:val="1A62A8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C09E7"/>
    <w:multiLevelType w:val="hybridMultilevel"/>
    <w:tmpl w:val="13586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771559"/>
    <w:multiLevelType w:val="hybridMultilevel"/>
    <w:tmpl w:val="6730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A313E"/>
    <w:multiLevelType w:val="hybridMultilevel"/>
    <w:tmpl w:val="241EED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CC2AC9"/>
    <w:multiLevelType w:val="hybridMultilevel"/>
    <w:tmpl w:val="5A000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3801B9"/>
    <w:multiLevelType w:val="hybridMultilevel"/>
    <w:tmpl w:val="94A4C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7A0710"/>
    <w:multiLevelType w:val="hybridMultilevel"/>
    <w:tmpl w:val="57CCC4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B51F3B"/>
    <w:multiLevelType w:val="hybridMultilevel"/>
    <w:tmpl w:val="4072A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D126EC"/>
    <w:multiLevelType w:val="hybridMultilevel"/>
    <w:tmpl w:val="43B6F2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1D"/>
    <w:rsid w:val="002A64CF"/>
    <w:rsid w:val="00402F1D"/>
    <w:rsid w:val="007C7E89"/>
    <w:rsid w:val="00815BAA"/>
    <w:rsid w:val="00A05396"/>
    <w:rsid w:val="00B31A00"/>
    <w:rsid w:val="00C86961"/>
    <w:rsid w:val="00F3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05BB21-F629-4BC3-89E7-E53EC67D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F1D"/>
    <w:pPr>
      <w:spacing w:after="0" w:line="480" w:lineRule="auto"/>
    </w:pPr>
    <w:rPr>
      <w:rFonts w:ascii="Calibri" w:eastAsiaTheme="minorEastAsia" w:hAnsi="Calibri" w:cs="Calibri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F1D"/>
    <w:pPr>
      <w:ind w:left="720"/>
      <w:contextualSpacing/>
    </w:pPr>
  </w:style>
  <w:style w:type="table" w:styleId="TableGrid">
    <w:name w:val="Table Grid"/>
    <w:basedOn w:val="TableNormal"/>
    <w:uiPriority w:val="1"/>
    <w:rsid w:val="00402F1D"/>
    <w:pPr>
      <w:spacing w:before="120" w:after="0" w:line="240" w:lineRule="auto"/>
    </w:pPr>
    <w:rPr>
      <w:rFonts w:eastAsiaTheme="minorEastAsia"/>
      <w:lang w:val="en-US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</Company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Leung</dc:creator>
  <cp:keywords/>
  <dc:description/>
  <cp:lastModifiedBy>Rebecca Seth</cp:lastModifiedBy>
  <cp:revision>2</cp:revision>
  <dcterms:created xsi:type="dcterms:W3CDTF">2018-10-12T14:56:00Z</dcterms:created>
  <dcterms:modified xsi:type="dcterms:W3CDTF">2018-10-12T14:56:00Z</dcterms:modified>
</cp:coreProperties>
</file>