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b/>
          <w:color w:val="000000"/>
          <w:lang w:eastAsia="nl-NL"/>
        </w:rPr>
      </w:pPr>
      <w:r w:rsidRPr="000A2CF9">
        <w:rPr>
          <w:rFonts w:ascii="Calibri" w:eastAsia="Calibri" w:hAnsi="Calibri" w:cs="Calibri"/>
          <w:b/>
          <w:color w:val="000000"/>
          <w:lang w:eastAsia="nl-NL"/>
        </w:rPr>
        <w:t>Supplementary Material</w:t>
      </w: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b/>
          <w:color w:val="000000"/>
          <w:lang w:eastAsia="nl-NL"/>
        </w:rPr>
      </w:pPr>
      <w:r w:rsidRPr="000A2CF9">
        <w:rPr>
          <w:rFonts w:ascii="Calibri" w:eastAsia="Calibri" w:hAnsi="Calibri" w:cs="Calibri"/>
          <w:b/>
          <w:color w:val="000000"/>
          <w:lang w:eastAsia="nl-NL"/>
        </w:rPr>
        <w:t xml:space="preserve">Table S1 : </w:t>
      </w:r>
      <w:r w:rsidRPr="000A2CF9">
        <w:rPr>
          <w:rFonts w:ascii="Calibri" w:eastAsia="Calibri" w:hAnsi="Calibri" w:cs="Calibri"/>
          <w:b/>
          <w:color w:val="000000"/>
          <w:sz w:val="20"/>
          <w:szCs w:val="20"/>
          <w:lang w:eastAsia="nl-NL"/>
        </w:rPr>
        <w:t>Main characteristics and results of case-reports</w:t>
      </w:r>
    </w:p>
    <w:tbl>
      <w:tblPr>
        <w:tblW w:w="5249" w:type="pct"/>
        <w:tblLayout w:type="fixed"/>
        <w:tblLook w:val="0600" w:firstRow="0" w:lastRow="0" w:firstColumn="0" w:lastColumn="0" w:noHBand="1" w:noVBand="1"/>
      </w:tblPr>
      <w:tblGrid>
        <w:gridCol w:w="2167"/>
        <w:gridCol w:w="283"/>
        <w:gridCol w:w="709"/>
        <w:gridCol w:w="709"/>
        <w:gridCol w:w="850"/>
        <w:gridCol w:w="1134"/>
        <w:gridCol w:w="1134"/>
        <w:gridCol w:w="2693"/>
      </w:tblGrid>
      <w:tr w:rsidR="00161B39" w:rsidRPr="000A2CF9" w:rsidTr="00161B39">
        <w:trPr>
          <w:trHeight w:val="780"/>
        </w:trPr>
        <w:tc>
          <w:tcPr>
            <w:tcW w:w="1119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Study</w:t>
            </w:r>
          </w:p>
        </w:tc>
        <w:tc>
          <w:tcPr>
            <w:tcW w:w="146" w:type="pct"/>
            <w:tcBorders>
              <w:top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N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Age (years)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Group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Daily dose (mg)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 xml:space="preserve">Treatment duration at publication </w:t>
            </w:r>
          </w:p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(months)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Side effects</w:t>
            </w:r>
          </w:p>
        </w:tc>
        <w:tc>
          <w:tcPr>
            <w:tcW w:w="1391" w:type="pct"/>
            <w:tcBorders>
              <w:top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Outcome</w:t>
            </w:r>
          </w:p>
        </w:tc>
      </w:tr>
      <w:tr w:rsidR="00161B39" w:rsidRPr="000A2CF9" w:rsidTr="00161B39">
        <w:trPr>
          <w:trHeight w:val="260"/>
        </w:trPr>
        <w:tc>
          <w:tcPr>
            <w:tcW w:w="1119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Wong et al. 2003</w:t>
            </w:r>
          </w:p>
        </w:tc>
        <w:tc>
          <w:tcPr>
            <w:tcW w:w="146" w:type="pct"/>
            <w:tcBorders>
              <w:top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161B39" w:rsidRDefault="00161B3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Mean</w:t>
            </w:r>
          </w:p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57.1 </w:t>
            </w:r>
          </w:p>
        </w:tc>
        <w:tc>
          <w:tcPr>
            <w:tcW w:w="366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(post)</w:t>
            </w:r>
          </w:p>
        </w:tc>
        <w:tc>
          <w:tcPr>
            <w:tcW w:w="439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N/R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2, 2</w:t>
            </w: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  <w:t>a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N/R</w:t>
            </w:r>
          </w:p>
        </w:tc>
        <w:tc>
          <w:tcPr>
            <w:tcW w:w="1391" w:type="pct"/>
            <w:tcBorders>
              <w:top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Improved cognition, though no significant difference with placebo. </w:t>
            </w:r>
          </w:p>
        </w:tc>
      </w:tr>
      <w:tr w:rsidR="00161B39" w:rsidRPr="000A2CF9" w:rsidTr="00161B39">
        <w:trPr>
          <w:trHeight w:val="280"/>
        </w:trPr>
        <w:tc>
          <w:tcPr>
            <w:tcW w:w="111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Kulkarni et al. 2008</w:t>
            </w:r>
          </w:p>
        </w:tc>
        <w:tc>
          <w:tcPr>
            <w:tcW w:w="14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57</w:t>
            </w:r>
          </w:p>
        </w:tc>
        <w:tc>
          <w:tcPr>
            <w:tcW w:w="36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(post)</w:t>
            </w:r>
          </w:p>
        </w:tc>
        <w:tc>
          <w:tcPr>
            <w:tcW w:w="43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120</w:t>
            </w:r>
          </w:p>
        </w:tc>
        <w:tc>
          <w:tcPr>
            <w:tcW w:w="58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58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N/R</w:t>
            </w:r>
          </w:p>
        </w:tc>
        <w:tc>
          <w:tcPr>
            <w:tcW w:w="1391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Improved cognitive functioning, especially verbal memory and psychomotor speed. </w:t>
            </w:r>
          </w:p>
        </w:tc>
      </w:tr>
      <w:tr w:rsidR="00161B39" w:rsidRPr="000A2CF9" w:rsidTr="00161B39">
        <w:trPr>
          <w:trHeight w:val="520"/>
        </w:trPr>
        <w:tc>
          <w:tcPr>
            <w:tcW w:w="111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Shivakumar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et al. 2012</w:t>
            </w:r>
          </w:p>
        </w:tc>
        <w:tc>
          <w:tcPr>
            <w:tcW w:w="14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17</w:t>
            </w:r>
          </w:p>
        </w:tc>
        <w:tc>
          <w:tcPr>
            <w:tcW w:w="36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(pre)</w:t>
            </w:r>
          </w:p>
        </w:tc>
        <w:tc>
          <w:tcPr>
            <w:tcW w:w="43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120, 60</w:t>
            </w: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  <w:t>b</w:t>
            </w:r>
          </w:p>
        </w:tc>
        <w:tc>
          <w:tcPr>
            <w:tcW w:w="58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8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Menstrual blood clots, with normal clotting times</w:t>
            </w:r>
          </w:p>
        </w:tc>
        <w:tc>
          <w:tcPr>
            <w:tcW w:w="1391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Reduction in restlessness, agitation, and hallucinatory behavior. Improved attention span and social interactions. </w:t>
            </w:r>
          </w:p>
        </w:tc>
      </w:tr>
      <w:tr w:rsidR="00161B39" w:rsidRPr="000A2CF9" w:rsidTr="00161B39">
        <w:trPr>
          <w:trHeight w:val="300"/>
        </w:trPr>
        <w:tc>
          <w:tcPr>
            <w:tcW w:w="111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Sharma et al. 2012</w:t>
            </w:r>
          </w:p>
        </w:tc>
        <w:tc>
          <w:tcPr>
            <w:tcW w:w="14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29</w:t>
            </w:r>
          </w:p>
        </w:tc>
        <w:tc>
          <w:tcPr>
            <w:tcW w:w="36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(pre)</w:t>
            </w:r>
          </w:p>
        </w:tc>
        <w:tc>
          <w:tcPr>
            <w:tcW w:w="43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60, 120</w:t>
            </w: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  <w:t>c</w:t>
            </w:r>
          </w:p>
        </w:tc>
        <w:tc>
          <w:tcPr>
            <w:tcW w:w="58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7 </w:t>
            </w:r>
          </w:p>
        </w:tc>
        <w:tc>
          <w:tcPr>
            <w:tcW w:w="58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N/R</w:t>
            </w:r>
          </w:p>
        </w:tc>
        <w:tc>
          <w:tcPr>
            <w:tcW w:w="1391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Improved socio- occupational functioning and reduction in symptom severity</w:t>
            </w:r>
          </w:p>
        </w:tc>
      </w:tr>
      <w:tr w:rsidR="00161B39" w:rsidRPr="000A2CF9" w:rsidTr="00161B39">
        <w:trPr>
          <w:trHeight w:val="300"/>
        </w:trPr>
        <w:tc>
          <w:tcPr>
            <w:tcW w:w="111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Dhandapani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et al. 2013</w:t>
            </w:r>
          </w:p>
        </w:tc>
        <w:tc>
          <w:tcPr>
            <w:tcW w:w="14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47</w:t>
            </w:r>
          </w:p>
        </w:tc>
        <w:tc>
          <w:tcPr>
            <w:tcW w:w="36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(pre)</w:t>
            </w:r>
          </w:p>
        </w:tc>
        <w:tc>
          <w:tcPr>
            <w:tcW w:w="43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58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58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N/R</w:t>
            </w:r>
          </w:p>
        </w:tc>
        <w:tc>
          <w:tcPr>
            <w:tcW w:w="1391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Strong improvement in negative symptoms; became asymptomatic.  </w:t>
            </w:r>
          </w:p>
        </w:tc>
      </w:tr>
      <w:tr w:rsidR="00161B39" w:rsidRPr="000A2CF9" w:rsidTr="00161B39">
        <w:trPr>
          <w:trHeight w:val="300"/>
        </w:trPr>
        <w:tc>
          <w:tcPr>
            <w:tcW w:w="111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Tharoor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&amp; Goyal 2015</w:t>
            </w:r>
          </w:p>
        </w:tc>
        <w:tc>
          <w:tcPr>
            <w:tcW w:w="14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53</w:t>
            </w:r>
          </w:p>
        </w:tc>
        <w:tc>
          <w:tcPr>
            <w:tcW w:w="36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(post)</w:t>
            </w:r>
          </w:p>
        </w:tc>
        <w:tc>
          <w:tcPr>
            <w:tcW w:w="43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60, 120</w:t>
            </w: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  <w:t>c</w:t>
            </w:r>
          </w:p>
        </w:tc>
        <w:tc>
          <w:tcPr>
            <w:tcW w:w="58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58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None</w:t>
            </w:r>
          </w:p>
        </w:tc>
        <w:tc>
          <w:tcPr>
            <w:tcW w:w="1391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Patient became asymptomatic. </w:t>
            </w:r>
          </w:p>
        </w:tc>
      </w:tr>
      <w:tr w:rsidR="00161B39" w:rsidRPr="000A2CF9" w:rsidTr="00161B39">
        <w:trPr>
          <w:trHeight w:val="300"/>
        </w:trPr>
        <w:tc>
          <w:tcPr>
            <w:tcW w:w="111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Huerta-Ramos et al. 2015</w:t>
            </w:r>
          </w:p>
        </w:tc>
        <w:tc>
          <w:tcPr>
            <w:tcW w:w="14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61</w:t>
            </w:r>
          </w:p>
        </w:tc>
        <w:tc>
          <w:tcPr>
            <w:tcW w:w="36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(post)</w:t>
            </w:r>
          </w:p>
        </w:tc>
        <w:tc>
          <w:tcPr>
            <w:tcW w:w="439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60</w:t>
            </w:r>
          </w:p>
        </w:tc>
        <w:tc>
          <w:tcPr>
            <w:tcW w:w="586" w:type="pct"/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6, 3</w:t>
            </w: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eastAsia="nl-NL"/>
              </w:rPr>
              <w:t>d</w:t>
            </w:r>
          </w:p>
        </w:tc>
        <w:tc>
          <w:tcPr>
            <w:tcW w:w="586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None</w:t>
            </w:r>
          </w:p>
        </w:tc>
        <w:tc>
          <w:tcPr>
            <w:tcW w:w="1391" w:type="pct"/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Improvement in symptoms and executive functioning. </w:t>
            </w:r>
          </w:p>
        </w:tc>
      </w:tr>
      <w:tr w:rsidR="00161B39" w:rsidRPr="000A2CF9" w:rsidTr="00161B39">
        <w:trPr>
          <w:trHeight w:val="300"/>
        </w:trPr>
        <w:tc>
          <w:tcPr>
            <w:tcW w:w="1119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Grigg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et al. 2016</w:t>
            </w:r>
          </w:p>
        </w:tc>
        <w:tc>
          <w:tcPr>
            <w:tcW w:w="146" w:type="pct"/>
            <w:tcBorders>
              <w:bottom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44</w:t>
            </w:r>
          </w:p>
        </w:tc>
        <w:tc>
          <w:tcPr>
            <w:tcW w:w="36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F (pre)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120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None</w:t>
            </w:r>
          </w:p>
        </w:tc>
        <w:tc>
          <w:tcPr>
            <w:tcW w:w="1391" w:type="pct"/>
            <w:tcBorders>
              <w:bottom w:val="single" w:sz="4" w:space="0" w:color="auto"/>
            </w:tcBorders>
          </w:tcPr>
          <w:p w:rsidR="000A2CF9" w:rsidRPr="000A2CF9" w:rsidRDefault="000A2CF9" w:rsidP="000D29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Improvement in psychotic symptoms, mood and cognition. Menstrual cycle normalized during treatment. </w:t>
            </w:r>
          </w:p>
        </w:tc>
      </w:tr>
    </w:tbl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18"/>
          <w:lang w:eastAsia="nl-NL"/>
        </w:rPr>
      </w:pPr>
      <w:r w:rsidRPr="000A2CF9">
        <w:rPr>
          <w:rFonts w:ascii="Calibri" w:eastAsia="Calibri" w:hAnsi="Calibri" w:cs="Calibri"/>
          <w:color w:val="000000"/>
          <w:sz w:val="18"/>
          <w:szCs w:val="18"/>
          <w:lang w:eastAsia="nl-NL"/>
        </w:rPr>
        <w:t xml:space="preserve">Table Legend: </w:t>
      </w:r>
      <w:r w:rsidRPr="000A2CF9">
        <w:rPr>
          <w:rFonts w:ascii="Calibri" w:eastAsia="Calibri" w:hAnsi="Calibri" w:cs="Calibri"/>
          <w:color w:val="000000"/>
          <w:sz w:val="18"/>
          <w:szCs w:val="20"/>
          <w:lang w:eastAsia="nl-NL"/>
        </w:rPr>
        <w:t xml:space="preserve">N = sample size, </w:t>
      </w:r>
      <w:r w:rsidRPr="000A2CF9">
        <w:rPr>
          <w:rFonts w:ascii="Calibri" w:eastAsia="Calibri" w:hAnsi="Calibri" w:cs="Calibri"/>
          <w:color w:val="000000"/>
          <w:sz w:val="18"/>
          <w:lang w:eastAsia="nl-NL"/>
        </w:rPr>
        <w:t xml:space="preserve">N/R = not reported, </w:t>
      </w:r>
      <w:r w:rsidRPr="000A2CF9">
        <w:rPr>
          <w:rFonts w:ascii="Calibri" w:eastAsia="Calibri" w:hAnsi="Calibri" w:cs="Calibri"/>
          <w:color w:val="000000"/>
          <w:sz w:val="18"/>
          <w:szCs w:val="20"/>
          <w:lang w:eastAsia="nl-NL"/>
        </w:rPr>
        <w:t xml:space="preserve"> F = female, post = postmenopausal, pre = premenopausal, mg = milligram.</w:t>
      </w: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18"/>
          <w:lang w:eastAsia="nl-NL"/>
        </w:rPr>
      </w:pPr>
      <w:r w:rsidRPr="000A2CF9">
        <w:rPr>
          <w:rFonts w:ascii="Calibri" w:eastAsia="Calibri" w:hAnsi="Calibri" w:cs="Calibri"/>
          <w:color w:val="000000"/>
          <w:sz w:val="18"/>
          <w:vertAlign w:val="superscript"/>
          <w:lang w:eastAsia="nl-NL"/>
        </w:rPr>
        <w:t xml:space="preserve">a </w:t>
      </w:r>
      <w:r w:rsidRPr="000A2CF9">
        <w:rPr>
          <w:rFonts w:ascii="Calibri" w:eastAsia="Calibri" w:hAnsi="Calibri" w:cs="Calibri"/>
          <w:color w:val="000000"/>
          <w:sz w:val="18"/>
          <w:lang w:eastAsia="nl-NL"/>
        </w:rPr>
        <w:t xml:space="preserve">= Patients received 8 weeks of raloxifene and 8 weeks of placebo, and were randomized to either starting with raloxifene or starting with placebo. </w:t>
      </w: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18"/>
          <w:lang w:eastAsia="nl-NL"/>
        </w:rPr>
      </w:pPr>
      <w:r w:rsidRPr="000A2CF9">
        <w:rPr>
          <w:rFonts w:ascii="Calibri" w:eastAsia="Calibri" w:hAnsi="Calibri" w:cs="Calibri"/>
          <w:color w:val="000000"/>
          <w:sz w:val="18"/>
          <w:vertAlign w:val="superscript"/>
          <w:lang w:eastAsia="nl-NL"/>
        </w:rPr>
        <w:t xml:space="preserve">b </w:t>
      </w:r>
      <w:r w:rsidRPr="000A2CF9">
        <w:rPr>
          <w:rFonts w:ascii="Calibri" w:eastAsia="Calibri" w:hAnsi="Calibri" w:cs="Calibri"/>
          <w:color w:val="000000"/>
          <w:sz w:val="18"/>
          <w:lang w:eastAsia="nl-NL"/>
        </w:rPr>
        <w:t xml:space="preserve">= The patient received initial treatment with raloxifene 120mg, which was reduced to 60mg after 8 weeks. Clinical improvements remained after the dose reduction. </w:t>
      </w: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Calibri" w:hAnsi="Calibri" w:cs="Calibri"/>
          <w:color w:val="000000"/>
          <w:sz w:val="18"/>
          <w:lang w:eastAsia="nl-NL"/>
        </w:rPr>
      </w:pPr>
      <w:r w:rsidRPr="000A2CF9">
        <w:rPr>
          <w:rFonts w:ascii="Calibri" w:eastAsia="Calibri" w:hAnsi="Calibri" w:cs="Calibri"/>
          <w:color w:val="000000"/>
          <w:sz w:val="18"/>
          <w:vertAlign w:val="superscript"/>
          <w:lang w:eastAsia="nl-NL"/>
        </w:rPr>
        <w:t xml:space="preserve">c </w:t>
      </w:r>
      <w:r w:rsidRPr="000A2CF9">
        <w:rPr>
          <w:rFonts w:ascii="Calibri" w:eastAsia="Calibri" w:hAnsi="Calibri" w:cs="Calibri"/>
          <w:color w:val="000000"/>
          <w:sz w:val="18"/>
          <w:lang w:eastAsia="nl-NL"/>
        </w:rPr>
        <w:t xml:space="preserve">= The patient received initial treatment with raloxifene 60mg, which was increased to 120mg after 1 week of treatment. </w:t>
      </w:r>
    </w:p>
    <w:p w:rsidR="000A2CF9" w:rsidRDefault="000A2CF9" w:rsidP="000A2CF9">
      <w:r w:rsidRPr="000A2CF9">
        <w:rPr>
          <w:rFonts w:ascii="Calibri" w:eastAsia="Calibri" w:hAnsi="Calibri" w:cs="Calibri"/>
          <w:color w:val="000000"/>
          <w:sz w:val="18"/>
          <w:vertAlign w:val="superscript"/>
          <w:lang w:eastAsia="nl-NL"/>
        </w:rPr>
        <w:t xml:space="preserve">d </w:t>
      </w:r>
      <w:r w:rsidRPr="000A2CF9">
        <w:rPr>
          <w:rFonts w:ascii="Calibri" w:eastAsia="Calibri" w:hAnsi="Calibri" w:cs="Calibri"/>
          <w:color w:val="000000"/>
          <w:sz w:val="18"/>
          <w:lang w:eastAsia="nl-NL"/>
        </w:rPr>
        <w:t>= The patient received raloxifene for 6 months, after which treatment was withdrawn for 3 months. Raloxifene was restarted due to worsening of symptoms and was followed for another 3 months up to publication.</w:t>
      </w:r>
    </w:p>
    <w:p w:rsidR="000A2CF9" w:rsidRDefault="000A2CF9">
      <w:pPr>
        <w:rPr>
          <w:rFonts w:ascii="Calibri" w:eastAsia="Calibri" w:hAnsi="Calibri" w:cs="Calibri"/>
          <w:b/>
          <w:color w:val="000000"/>
          <w:lang w:eastAsia="nl-NL"/>
        </w:rPr>
      </w:pPr>
      <w:r>
        <w:rPr>
          <w:rFonts w:ascii="Calibri" w:eastAsia="Calibri" w:hAnsi="Calibri" w:cs="Calibri"/>
          <w:b/>
          <w:color w:val="000000"/>
          <w:lang w:eastAsia="nl-NL"/>
        </w:rPr>
        <w:br w:type="page"/>
      </w: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b/>
          <w:color w:val="000000"/>
          <w:lang w:eastAsia="nl-NL"/>
        </w:rPr>
      </w:pPr>
      <w:r w:rsidRPr="000A2CF9">
        <w:rPr>
          <w:rFonts w:ascii="Calibri" w:eastAsia="Calibri" w:hAnsi="Calibri" w:cs="Calibri"/>
          <w:b/>
          <w:color w:val="000000"/>
          <w:lang w:eastAsia="nl-NL"/>
        </w:rPr>
        <w:lastRenderedPageBreak/>
        <w:t xml:space="preserve">Table S2:  Systematic search strategy </w:t>
      </w:r>
    </w:p>
    <w:tbl>
      <w:tblPr>
        <w:tblW w:w="9045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0A2CF9" w:rsidRPr="000A2CF9" w:rsidTr="000D29A6">
        <w:trPr>
          <w:trHeight w:val="580"/>
        </w:trPr>
        <w:tc>
          <w:tcPr>
            <w:tcW w:w="90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right="100"/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FFFFFF"/>
                <w:sz w:val="20"/>
                <w:szCs w:val="20"/>
                <w:lang w:eastAsia="nl-NL"/>
              </w:rPr>
              <w:t>PUBMED</w:t>
            </w:r>
          </w:p>
        </w:tc>
      </w:tr>
      <w:tr w:rsidR="000A2CF9" w:rsidRPr="000A2CF9" w:rsidTr="000D29A6">
        <w:trPr>
          <w:trHeight w:val="1160"/>
        </w:trPr>
        <w:tc>
          <w:tcPr>
            <w:tcW w:w="9045" w:type="dxa"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#1: Domain</w:t>
            </w:r>
          </w:p>
          <w:p w:rsidR="000A2CF9" w:rsidRPr="000A2CF9" w:rsidRDefault="000A2CF9" w:rsidP="000A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right="100"/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((((</w:t>
            </w:r>
            <w:proofErr w:type="spellStart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schizophren</w:t>
            </w:r>
            <w:proofErr w:type="spellEnd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*[Title/Abstract] OR schizoaffective[Title/Abstract] OR psychosis[Title/Abstract] OR psychotic*[Title/Abstract] OR schizophreniform[Title/Abstract])) OR psychotic disorders[</w:t>
            </w:r>
            <w:proofErr w:type="spellStart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MeSH</w:t>
            </w:r>
            <w:proofErr w:type="spellEnd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 xml:space="preserve"> Terms]))</w:t>
            </w:r>
          </w:p>
        </w:tc>
      </w:tr>
      <w:tr w:rsidR="000A2CF9" w:rsidRPr="000A2CF9" w:rsidTr="000D29A6">
        <w:trPr>
          <w:trHeight w:val="1160"/>
        </w:trPr>
        <w:tc>
          <w:tcPr>
            <w:tcW w:w="9045" w:type="dxa"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#2: Determinant</w:t>
            </w:r>
          </w:p>
          <w:p w:rsidR="000A2CF9" w:rsidRPr="000A2CF9" w:rsidRDefault="000A2CF9" w:rsidP="000A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right="100"/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 xml:space="preserve">((((raloxifene[Title/Abstract] OR </w:t>
            </w:r>
            <w:proofErr w:type="spellStart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evista</w:t>
            </w:r>
            <w:proofErr w:type="spellEnd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[Title/Abstract] OR selective estrogen receptor modulator*[Title/Abstract] OR SERM*[Title/Abstract])) OR raloxifene hydrochloride[</w:t>
            </w:r>
            <w:proofErr w:type="spellStart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MeSH</w:t>
            </w:r>
            <w:proofErr w:type="spellEnd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 xml:space="preserve"> Terms]) OR selective estrogen receptor modulators[</w:t>
            </w:r>
            <w:proofErr w:type="spellStart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>MeSH</w:t>
            </w:r>
            <w:proofErr w:type="spellEnd"/>
            <w:r w:rsidRPr="000A2CF9">
              <w:rPr>
                <w:rFonts w:ascii="Calibri" w:eastAsia="Calibri" w:hAnsi="Calibri" w:cs="Calibri"/>
                <w:b/>
                <w:color w:val="535353"/>
                <w:sz w:val="20"/>
                <w:szCs w:val="20"/>
                <w:lang w:eastAsia="nl-NL"/>
              </w:rPr>
              <w:t xml:space="preserve"> Terms])</w:t>
            </w:r>
          </w:p>
        </w:tc>
      </w:tr>
      <w:tr w:rsidR="000A2CF9" w:rsidRPr="000A2CF9" w:rsidTr="000D29A6">
        <w:trPr>
          <w:trHeight w:val="440"/>
        </w:trPr>
        <w:tc>
          <w:tcPr>
            <w:tcW w:w="9045" w:type="dxa"/>
            <w:tcBorders>
              <w:top w:val="nil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#3: #1 AND #2</w:t>
            </w:r>
          </w:p>
        </w:tc>
      </w:tr>
    </w:tbl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b/>
          <w:color w:val="000000"/>
          <w:lang w:eastAsia="nl-NL"/>
        </w:rPr>
      </w:pP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b/>
          <w:color w:val="000000"/>
          <w:lang w:eastAsia="nl-NL"/>
        </w:rPr>
        <w:sectPr w:rsidR="000A2CF9" w:rsidRPr="000A2CF9" w:rsidSect="00370E43">
          <w:footerReference w:type="default" r:id="rId7"/>
          <w:pgSz w:w="11906" w:h="16838"/>
          <w:pgMar w:top="1417" w:right="1417" w:bottom="1417" w:left="1417" w:header="0" w:footer="708" w:gutter="0"/>
          <w:cols w:space="708"/>
          <w:docGrid w:linePitch="299"/>
        </w:sectPr>
      </w:pP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b/>
          <w:color w:val="000000"/>
          <w:lang w:eastAsia="nl-NL"/>
        </w:rPr>
      </w:pPr>
      <w:r w:rsidRPr="000A2CF9">
        <w:rPr>
          <w:rFonts w:ascii="Calibri" w:eastAsia="Calibri" w:hAnsi="Calibri" w:cs="Calibri"/>
          <w:b/>
          <w:color w:val="000000"/>
          <w:lang w:eastAsia="nl-NL"/>
        </w:rPr>
        <w:lastRenderedPageBreak/>
        <w:t>Table S3: Risk of bias assessment</w:t>
      </w:r>
    </w:p>
    <w:tbl>
      <w:tblPr>
        <w:tblW w:w="5211" w:type="pct"/>
        <w:tblLayout w:type="fixed"/>
        <w:tblLook w:val="0600" w:firstRow="0" w:lastRow="0" w:firstColumn="0" w:lastColumn="0" w:noHBand="1" w:noVBand="1"/>
      </w:tblPr>
      <w:tblGrid>
        <w:gridCol w:w="2449"/>
        <w:gridCol w:w="992"/>
        <w:gridCol w:w="1276"/>
        <w:gridCol w:w="984"/>
        <w:gridCol w:w="1105"/>
        <w:gridCol w:w="1022"/>
        <w:gridCol w:w="956"/>
        <w:gridCol w:w="754"/>
      </w:tblGrid>
      <w:tr w:rsidR="00161B39" w:rsidRPr="000A2CF9" w:rsidTr="00161B39">
        <w:trPr>
          <w:trHeight w:val="1200"/>
        </w:trPr>
        <w:tc>
          <w:tcPr>
            <w:tcW w:w="1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Study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Random allocation (selection bias)</w:t>
            </w:r>
          </w:p>
        </w:tc>
        <w:tc>
          <w:tcPr>
            <w:tcW w:w="66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bookmarkStart w:id="0" w:name="_GoBack"/>
            <w:bookmarkEnd w:id="0"/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Allocation concealment (selection bias)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Double blind setting (performance bias)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Blinding of outcome assessment (detection bias)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Incomplete outcome data (attrition bias)</w:t>
            </w:r>
          </w:p>
        </w:tc>
        <w:tc>
          <w:tcPr>
            <w:tcW w:w="50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Selective reporting (reporting bias)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eastAsia="nl-NL"/>
              </w:rPr>
              <w:t>Funding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Kulkarni et al. 2010</w:t>
            </w:r>
          </w:p>
        </w:tc>
        <w:tc>
          <w:tcPr>
            <w:tcW w:w="520" w:type="pct"/>
            <w:tcBorders>
              <w:top w:val="single" w:sz="4" w:space="0" w:color="auto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669" w:type="pct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516" w:type="pct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01" w:type="pct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395" w:type="pct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-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Usall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et al. 2011</w:t>
            </w:r>
          </w:p>
        </w:tc>
        <w:tc>
          <w:tcPr>
            <w:tcW w:w="520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66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1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01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395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Huerta-Ramos et al. 2014</w:t>
            </w:r>
          </w:p>
        </w:tc>
        <w:tc>
          <w:tcPr>
            <w:tcW w:w="520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66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1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545454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501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395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Kianimehr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et al. 2014</w:t>
            </w:r>
          </w:p>
        </w:tc>
        <w:tc>
          <w:tcPr>
            <w:tcW w:w="520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66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51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501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395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Weickert et al. 2015</w:t>
            </w:r>
          </w:p>
        </w:tc>
        <w:tc>
          <w:tcPr>
            <w:tcW w:w="520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66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1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01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395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Khodaie-Ardakani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et al. 2015</w:t>
            </w:r>
          </w:p>
        </w:tc>
        <w:tc>
          <w:tcPr>
            <w:tcW w:w="520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66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1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545454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501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395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Kulkarni et al. 2016</w:t>
            </w:r>
          </w:p>
        </w:tc>
        <w:tc>
          <w:tcPr>
            <w:tcW w:w="520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66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1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01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395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Usall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 xml:space="preserve"> et al. 2016</w:t>
            </w:r>
          </w:p>
        </w:tc>
        <w:tc>
          <w:tcPr>
            <w:tcW w:w="520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66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1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79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36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01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-</w:t>
            </w:r>
          </w:p>
        </w:tc>
        <w:tc>
          <w:tcPr>
            <w:tcW w:w="395" w:type="pct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161B39" w:rsidRPr="000A2CF9" w:rsidTr="00161B39">
        <w:trPr>
          <w:trHeight w:val="300"/>
        </w:trPr>
        <w:tc>
          <w:tcPr>
            <w:tcW w:w="1284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Weiser et al. 2017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545454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669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U</w:t>
            </w:r>
          </w:p>
        </w:tc>
        <w:tc>
          <w:tcPr>
            <w:tcW w:w="536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szCs w:val="20"/>
                <w:lang w:eastAsia="nl-NL"/>
              </w:rPr>
              <w:t>+</w:t>
            </w:r>
          </w:p>
        </w:tc>
      </w:tr>
      <w:tr w:rsidR="000A2CF9" w:rsidRPr="000A2CF9" w:rsidTr="00161B39">
        <w:trPr>
          <w:trHeight w:val="37"/>
        </w:trPr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Calibri" w:eastAsia="Calibri" w:hAnsi="Calibri" w:cs="Calibri"/>
                <w:color w:val="000000"/>
                <w:sz w:val="18"/>
                <w:szCs w:val="18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18"/>
                <w:szCs w:val="18"/>
                <w:lang w:eastAsia="nl-NL"/>
              </w:rPr>
              <w:t xml:space="preserve">Table Legend: + = low risk of bias, - = high risk of bias, U = unclear risk of bias , </w:t>
            </w: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18"/>
                <w:szCs w:val="18"/>
                <w:lang w:eastAsia="nl-NL"/>
              </w:rPr>
              <w:t>n.a</w:t>
            </w:r>
            <w:proofErr w:type="spellEnd"/>
            <w:r w:rsidRPr="000A2CF9">
              <w:rPr>
                <w:rFonts w:ascii="Calibri" w:eastAsia="Calibri" w:hAnsi="Calibri" w:cs="Calibri"/>
                <w:color w:val="000000"/>
                <w:sz w:val="18"/>
                <w:szCs w:val="18"/>
                <w:lang w:eastAsia="nl-NL"/>
              </w:rPr>
              <w:t xml:space="preserve">. = not applicable. </w:t>
            </w:r>
          </w:p>
        </w:tc>
      </w:tr>
    </w:tbl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b/>
          <w:color w:val="000000"/>
          <w:lang w:eastAsia="nl-NL"/>
        </w:rPr>
        <w:sectPr w:rsidR="000A2CF9" w:rsidRPr="000A2CF9" w:rsidSect="00571D3E">
          <w:pgSz w:w="11906" w:h="16838"/>
          <w:pgMar w:top="1417" w:right="1417" w:bottom="1417" w:left="1417" w:header="0" w:footer="708" w:gutter="0"/>
          <w:cols w:space="708"/>
          <w:docGrid w:linePitch="299"/>
        </w:sectPr>
      </w:pP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color w:val="000000"/>
          <w:lang w:eastAsia="nl-NL"/>
        </w:rPr>
      </w:pPr>
      <w:r w:rsidRPr="000A2CF9">
        <w:rPr>
          <w:rFonts w:ascii="Calibri" w:eastAsia="Calibri" w:hAnsi="Calibri" w:cs="Calibri"/>
          <w:b/>
          <w:color w:val="000000"/>
          <w:lang w:eastAsia="nl-NL"/>
        </w:rPr>
        <w:lastRenderedPageBreak/>
        <w:t>Table S4: Overview of cognitive domains and included tests</w:t>
      </w:r>
    </w:p>
    <w:tbl>
      <w:tblPr>
        <w:tblW w:w="95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35"/>
        <w:gridCol w:w="3435"/>
        <w:gridCol w:w="2640"/>
      </w:tblGrid>
      <w:tr w:rsidR="000A2CF9" w:rsidRPr="000A2CF9" w:rsidTr="000D29A6"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  <w:t>Attention and working memory</w:t>
            </w: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  <w:t>Executive functioning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  <w:t>Memory</w:t>
            </w:r>
          </w:p>
        </w:tc>
      </w:tr>
      <w:tr w:rsidR="000A2CF9" w:rsidRPr="000A2CF9" w:rsidTr="000D29A6"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WAIS-III Letter Number sequencing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RBANS attention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BACS digit sequencing</w:t>
            </w: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 xml:space="preserve">BACS tower of </w:t>
            </w:r>
            <w:proofErr w:type="spellStart"/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london</w:t>
            </w:r>
            <w:proofErr w:type="spellEnd"/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STROOP words and colors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 xml:space="preserve">WMS-R logical memory II 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RBANS delayed memory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BACS verbal memory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TAVEC long-term memory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</w:p>
        </w:tc>
      </w:tr>
      <w:tr w:rsidR="000A2CF9" w:rsidRPr="000A2CF9" w:rsidTr="000D29A6"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  <w:t>Psychomotor speed</w:t>
            </w: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  <w:t>Verbal Fluency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b/>
                <w:color w:val="000000"/>
                <w:sz w:val="20"/>
                <w:lang w:eastAsia="nl-NL"/>
              </w:rPr>
              <w:t>Global cognitive functioning</w:t>
            </w:r>
          </w:p>
        </w:tc>
      </w:tr>
      <w:tr w:rsidR="000A2CF9" w:rsidRPr="000A2CF9" w:rsidTr="000D29A6"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Trail Making Test A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BACS token motor task</w:t>
            </w:r>
          </w:p>
        </w:tc>
        <w:tc>
          <w:tcPr>
            <w:tcW w:w="3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COWAT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RBANS language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BACS verbal fluency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Semantic fluency test (animals)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RBANS total score</w:t>
            </w:r>
          </w:p>
          <w:p w:rsidR="000A2CF9" w:rsidRPr="000A2CF9" w:rsidRDefault="000A2CF9" w:rsidP="000A2C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</w:pPr>
            <w:r w:rsidRPr="000A2CF9">
              <w:rPr>
                <w:rFonts w:ascii="Calibri" w:eastAsia="Calibri" w:hAnsi="Calibri" w:cs="Calibri"/>
                <w:color w:val="000000"/>
                <w:sz w:val="20"/>
                <w:lang w:eastAsia="nl-NL"/>
              </w:rPr>
              <w:t>BACS composite</w:t>
            </w:r>
          </w:p>
        </w:tc>
      </w:tr>
    </w:tbl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color w:val="000000"/>
          <w:lang w:eastAsia="nl-NL"/>
        </w:rPr>
      </w:pP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color w:val="000000"/>
          <w:lang w:eastAsia="nl-NL"/>
        </w:rPr>
      </w:pP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spacing w:after="0" w:line="480" w:lineRule="auto"/>
        <w:rPr>
          <w:rFonts w:ascii="Calibri" w:eastAsia="Calibri" w:hAnsi="Calibri" w:cs="Calibri"/>
          <w:color w:val="000000"/>
          <w:lang w:eastAsia="nl-NL"/>
        </w:rPr>
      </w:pPr>
    </w:p>
    <w:p w:rsidR="000A2CF9" w:rsidRPr="000A2CF9" w:rsidRDefault="000A2CF9" w:rsidP="000A2CF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lang w:eastAsia="nl-NL"/>
        </w:rPr>
      </w:pPr>
    </w:p>
    <w:sectPr w:rsidR="000A2CF9" w:rsidRPr="000A2CF9" w:rsidSect="00571D3E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D3E" w:rsidRDefault="00571D3E" w:rsidP="00571D3E">
      <w:pPr>
        <w:spacing w:after="0" w:line="240" w:lineRule="auto"/>
      </w:pPr>
      <w:r>
        <w:separator/>
      </w:r>
    </w:p>
  </w:endnote>
  <w:endnote w:type="continuationSeparator" w:id="0">
    <w:p w:rsidR="00571D3E" w:rsidRDefault="00571D3E" w:rsidP="00571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6173252"/>
      <w:docPartObj>
        <w:docPartGallery w:val="Page Numbers (Bottom of Page)"/>
        <w:docPartUnique/>
      </w:docPartObj>
    </w:sdtPr>
    <w:sdtEndPr/>
    <w:sdtContent>
      <w:p w:rsidR="00571D3E" w:rsidRDefault="00571D3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B39" w:rsidRPr="00161B39">
          <w:rPr>
            <w:noProof/>
            <w:lang w:val="nl-NL"/>
          </w:rPr>
          <w:t>2</w:t>
        </w:r>
        <w:r>
          <w:fldChar w:fldCharType="end"/>
        </w:r>
      </w:p>
    </w:sdtContent>
  </w:sdt>
  <w:p w:rsidR="00571D3E" w:rsidRDefault="00571D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D3E" w:rsidRDefault="00571D3E" w:rsidP="00571D3E">
      <w:pPr>
        <w:spacing w:after="0" w:line="240" w:lineRule="auto"/>
      </w:pPr>
      <w:r>
        <w:separator/>
      </w:r>
    </w:p>
  </w:footnote>
  <w:footnote w:type="continuationSeparator" w:id="0">
    <w:p w:rsidR="00571D3E" w:rsidRDefault="00571D3E" w:rsidP="00571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F9"/>
    <w:rsid w:val="000367C3"/>
    <w:rsid w:val="000A2CF9"/>
    <w:rsid w:val="00161B39"/>
    <w:rsid w:val="00402458"/>
    <w:rsid w:val="004237BD"/>
    <w:rsid w:val="00571D3E"/>
    <w:rsid w:val="009B4985"/>
    <w:rsid w:val="00A84C36"/>
    <w:rsid w:val="00CE78B7"/>
    <w:rsid w:val="00E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1D3E"/>
  </w:style>
  <w:style w:type="paragraph" w:styleId="Voettekst">
    <w:name w:val="footer"/>
    <w:basedOn w:val="Standaard"/>
    <w:link w:val="VoettekstChar"/>
    <w:uiPriority w:val="99"/>
    <w:unhideWhenUsed/>
    <w:rsid w:val="005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1D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Theme="minorHAnsi" w:hAnsi="Segoe U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1D3E"/>
  </w:style>
  <w:style w:type="paragraph" w:styleId="Voettekst">
    <w:name w:val="footer"/>
    <w:basedOn w:val="Standaard"/>
    <w:link w:val="VoettekstChar"/>
    <w:uiPriority w:val="99"/>
    <w:unhideWhenUsed/>
    <w:rsid w:val="0057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1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A3F374EF</Template>
  <TotalTime>10</TotalTime>
  <Pages>4</Pages>
  <Words>584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Boer-18, J.N. de</dc:creator>
  <cp:lastModifiedBy>Boer-18, J.N. de</cp:lastModifiedBy>
  <cp:revision>3</cp:revision>
  <dcterms:created xsi:type="dcterms:W3CDTF">2017-10-17T09:49:00Z</dcterms:created>
  <dcterms:modified xsi:type="dcterms:W3CDTF">2017-12-18T06:48:00Z</dcterms:modified>
</cp:coreProperties>
</file>