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2E03" w:rsidRPr="00567032" w:rsidRDefault="00652E03" w:rsidP="00652E03">
      <w:pPr>
        <w:pStyle w:val="Caption"/>
        <w:keepNext/>
        <w:rPr>
          <w:rFonts w:ascii="Times New Roman" w:hAnsi="Times New Roman" w:cs="Times New Roman"/>
          <w:szCs w:val="21"/>
        </w:rPr>
      </w:pPr>
      <w:bookmarkStart w:id="0" w:name="_Ref215737533"/>
      <w:r w:rsidRPr="00567032">
        <w:rPr>
          <w:rFonts w:ascii="Times New Roman" w:hAnsi="Times New Roman" w:cs="Times New Roman" w:hint="eastAsia"/>
          <w:sz w:val="21"/>
          <w:szCs w:val="21"/>
        </w:rPr>
        <w:t xml:space="preserve">Supplementary Figure </w:t>
      </w:r>
      <w:r w:rsidRPr="00567032">
        <w:rPr>
          <w:rFonts w:ascii="Times New Roman" w:hAnsi="Times New Roman" w:cs="Times New Roman" w:hint="eastAsia"/>
          <w:sz w:val="21"/>
          <w:szCs w:val="21"/>
        </w:rPr>
        <w:fldChar w:fldCharType="begin"/>
      </w:r>
      <w:r w:rsidRPr="00567032">
        <w:rPr>
          <w:rFonts w:ascii="Times New Roman" w:hAnsi="Times New Roman" w:cs="Times New Roman" w:hint="eastAsia"/>
          <w:sz w:val="21"/>
          <w:szCs w:val="21"/>
        </w:rPr>
        <w:instrText xml:space="preserve"> SEQ Supplementary_Figure \* ARABIC </w:instrText>
      </w:r>
      <w:r w:rsidRPr="00567032">
        <w:rPr>
          <w:rFonts w:ascii="Times New Roman" w:hAnsi="Times New Roman" w:cs="Times New Roman" w:hint="eastAsia"/>
          <w:sz w:val="21"/>
          <w:szCs w:val="21"/>
        </w:rPr>
        <w:fldChar w:fldCharType="separate"/>
      </w:r>
      <w:r>
        <w:rPr>
          <w:rFonts w:ascii="Times New Roman" w:hAnsi="Times New Roman" w:cs="Times New Roman"/>
          <w:noProof/>
          <w:sz w:val="21"/>
          <w:szCs w:val="21"/>
        </w:rPr>
        <w:t>1</w:t>
      </w:r>
      <w:r w:rsidRPr="00567032">
        <w:rPr>
          <w:rFonts w:ascii="Times New Roman" w:hAnsi="Times New Roman" w:cs="Times New Roman" w:hint="eastAsia"/>
          <w:sz w:val="21"/>
          <w:szCs w:val="21"/>
        </w:rPr>
        <w:fldChar w:fldCharType="end"/>
      </w:r>
      <w:bookmarkEnd w:id="0"/>
      <w:r w:rsidRPr="00567032">
        <w:rPr>
          <w:rFonts w:ascii="Times New Roman" w:hAnsi="Times New Roman" w:cs="Times New Roman" w:hint="eastAsia"/>
          <w:sz w:val="21"/>
          <w:szCs w:val="21"/>
        </w:rPr>
        <w:t xml:space="preserve"> </w:t>
      </w:r>
      <w:r w:rsidRPr="00567032">
        <w:rPr>
          <w:rFonts w:ascii="Times New Roman" w:hAnsi="Times New Roman" w:cs="Times New Roman"/>
          <w:szCs w:val="21"/>
        </w:rPr>
        <w:t>Validation performance curves of the Origin-Tea-S012 model across ten-fold cross-validation.</w:t>
      </w:r>
    </w:p>
    <w:p w:rsidR="00652E03" w:rsidRPr="00567032" w:rsidRDefault="00652E03" w:rsidP="00652E03">
      <w:pPr>
        <w:pStyle w:val="Caption"/>
        <w:keepNext/>
        <w:rPr>
          <w:rFonts w:ascii="Times New Roman" w:hAnsi="Times New Roman" w:cs="Times New Roman"/>
          <w:szCs w:val="21"/>
        </w:rPr>
      </w:pPr>
      <w:r w:rsidRPr="00567032">
        <w:rPr>
          <w:rFonts w:ascii="Times New Roman" w:hAnsi="Times New Roman" w:cs="Times New Roman"/>
          <w:szCs w:val="21"/>
        </w:rPr>
        <w:t>The figure illustrates the real-time evolution of classification metrics (Precision, Recall, and F1-score) over 100 training epochs. The sub-figures (a–j) correspond to the results obtained from the 1st to the 10th fold, respectively. Within each fold, the training dynamics are presented for varying backbone depths ranging from B0 to B9. These curves demonstrate the convergence speed and stability of the model across different data partitions when both shallow feature extraction modules (S1 and S2) are retained.</w:t>
      </w:r>
    </w:p>
    <w:p w:rsidR="00652E03" w:rsidRPr="00567032" w:rsidRDefault="00652E03" w:rsidP="00652E03">
      <w:pPr>
        <w:pStyle w:val="Caption"/>
        <w:keepNext/>
        <w:rPr>
          <w:rFonts w:ascii="Times New Roman" w:hAnsi="Times New Roman" w:cs="Times New Roman"/>
          <w:szCs w:val="21"/>
        </w:rPr>
      </w:pPr>
    </w:p>
    <w:p w:rsidR="00652E03" w:rsidRPr="00567032" w:rsidRDefault="00652E03" w:rsidP="00652E03">
      <w:pPr>
        <w:pStyle w:val="Caption"/>
        <w:keepNext/>
        <w:rPr>
          <w:rFonts w:ascii="Times New Roman" w:hAnsi="Times New Roman" w:cs="Times New Roman"/>
          <w:szCs w:val="21"/>
        </w:rPr>
      </w:pPr>
      <w:bookmarkStart w:id="1" w:name="_Ref215737832"/>
      <w:r w:rsidRPr="00567032">
        <w:rPr>
          <w:rFonts w:ascii="Times New Roman" w:hAnsi="Times New Roman" w:cs="Times New Roman" w:hint="eastAsia"/>
          <w:sz w:val="21"/>
          <w:szCs w:val="21"/>
        </w:rPr>
        <w:t xml:space="preserve">Supplementary Figure </w:t>
      </w:r>
      <w:r w:rsidRPr="00567032">
        <w:rPr>
          <w:rFonts w:ascii="Times New Roman" w:hAnsi="Times New Roman" w:cs="Times New Roman" w:hint="eastAsia"/>
          <w:sz w:val="21"/>
          <w:szCs w:val="21"/>
        </w:rPr>
        <w:fldChar w:fldCharType="begin"/>
      </w:r>
      <w:r w:rsidRPr="00567032">
        <w:rPr>
          <w:rFonts w:ascii="Times New Roman" w:hAnsi="Times New Roman" w:cs="Times New Roman" w:hint="eastAsia"/>
          <w:sz w:val="21"/>
          <w:szCs w:val="21"/>
        </w:rPr>
        <w:instrText xml:space="preserve"> SEQ Supplementary_Figure \* ARABIC </w:instrText>
      </w:r>
      <w:r w:rsidRPr="00567032">
        <w:rPr>
          <w:rFonts w:ascii="Times New Roman" w:hAnsi="Times New Roman" w:cs="Times New Roman" w:hint="eastAsia"/>
          <w:sz w:val="21"/>
          <w:szCs w:val="21"/>
        </w:rPr>
        <w:fldChar w:fldCharType="separate"/>
      </w:r>
      <w:r>
        <w:rPr>
          <w:rFonts w:ascii="Times New Roman" w:hAnsi="Times New Roman" w:cs="Times New Roman"/>
          <w:noProof/>
          <w:sz w:val="21"/>
          <w:szCs w:val="21"/>
        </w:rPr>
        <w:t>2</w:t>
      </w:r>
      <w:r w:rsidRPr="00567032">
        <w:rPr>
          <w:rFonts w:ascii="Times New Roman" w:hAnsi="Times New Roman" w:cs="Times New Roman" w:hint="eastAsia"/>
          <w:sz w:val="21"/>
          <w:szCs w:val="21"/>
        </w:rPr>
        <w:fldChar w:fldCharType="end"/>
      </w:r>
      <w:bookmarkEnd w:id="1"/>
      <w:r w:rsidRPr="00567032">
        <w:rPr>
          <w:rFonts w:ascii="Times New Roman" w:hAnsi="Times New Roman" w:cs="Times New Roman" w:hint="eastAsia"/>
          <w:sz w:val="21"/>
          <w:szCs w:val="21"/>
        </w:rPr>
        <w:t xml:space="preserve"> </w:t>
      </w:r>
      <w:r w:rsidRPr="00567032">
        <w:rPr>
          <w:rFonts w:ascii="Times New Roman" w:hAnsi="Times New Roman" w:cs="Times New Roman"/>
          <w:szCs w:val="21"/>
        </w:rPr>
        <w:t>Validation performance curves of the Origin-Tea-S01 model across ten-fold cross-validation.</w:t>
      </w:r>
    </w:p>
    <w:p w:rsidR="00652E03" w:rsidRPr="00567032" w:rsidRDefault="00652E03" w:rsidP="00652E03">
      <w:pPr>
        <w:pStyle w:val="Caption"/>
        <w:keepNext/>
        <w:rPr>
          <w:rFonts w:ascii="Times New Roman" w:hAnsi="Times New Roman" w:cs="Times New Roman"/>
          <w:szCs w:val="21"/>
        </w:rPr>
      </w:pPr>
      <w:r w:rsidRPr="00567032">
        <w:rPr>
          <w:rFonts w:ascii="Times New Roman" w:hAnsi="Times New Roman" w:cs="Times New Roman"/>
          <w:szCs w:val="21"/>
        </w:rPr>
        <w:t>The panels display the training dynamics for the model configuration where only the S1 module is retained (Origin-Tea-S01). The sub-figures (a–j) represent the outcomes of the 1st through 10th fold of the cross-validation process, respectively. For each fold, the performance metrics for Block depths ranging from B0 to B9 are plotted. The curves highlight the rapid convergence and high stability of the optimal lightweight architecture (S01-B0) consistently across diverse data splits.</w:t>
      </w:r>
    </w:p>
    <w:p w:rsidR="00652E03" w:rsidRPr="00567032" w:rsidRDefault="00652E03" w:rsidP="00652E03"/>
    <w:p w:rsidR="00652E03" w:rsidRPr="00567032" w:rsidRDefault="00652E03" w:rsidP="00652E03">
      <w:pPr>
        <w:rPr>
          <w:rFonts w:ascii="Times New Roman" w:hAnsi="Times New Roman" w:cs="Times New Roman"/>
          <w:szCs w:val="21"/>
        </w:rPr>
      </w:pPr>
      <w:bookmarkStart w:id="2" w:name="_Ref215738078"/>
      <w:r w:rsidRPr="00567032">
        <w:rPr>
          <w:rFonts w:ascii="Times New Roman" w:hAnsi="Times New Roman" w:cs="Times New Roman" w:hint="eastAsia"/>
          <w:szCs w:val="21"/>
        </w:rPr>
        <w:t xml:space="preserve">Supplementary Figure </w:t>
      </w:r>
      <w:r w:rsidRPr="00567032">
        <w:rPr>
          <w:rFonts w:ascii="Times New Roman" w:hAnsi="Times New Roman" w:cs="Times New Roman" w:hint="eastAsia"/>
          <w:szCs w:val="21"/>
        </w:rPr>
        <w:fldChar w:fldCharType="begin"/>
      </w:r>
      <w:r w:rsidRPr="00567032">
        <w:rPr>
          <w:rFonts w:ascii="Times New Roman" w:hAnsi="Times New Roman" w:cs="Times New Roman" w:hint="eastAsia"/>
          <w:szCs w:val="21"/>
        </w:rPr>
        <w:instrText xml:space="preserve"> SEQ Supplementary_Figure \* ARABIC </w:instrText>
      </w:r>
      <w:r w:rsidRPr="00567032">
        <w:rPr>
          <w:rFonts w:ascii="Times New Roman" w:hAnsi="Times New Roman" w:cs="Times New Roman" w:hint="eastAsia"/>
          <w:szCs w:val="21"/>
        </w:rPr>
        <w:fldChar w:fldCharType="separate"/>
      </w:r>
      <w:r>
        <w:rPr>
          <w:rFonts w:ascii="Times New Roman" w:hAnsi="Times New Roman" w:cs="Times New Roman"/>
          <w:noProof/>
          <w:szCs w:val="21"/>
        </w:rPr>
        <w:t>3</w:t>
      </w:r>
      <w:r w:rsidRPr="00567032">
        <w:rPr>
          <w:rFonts w:ascii="Times New Roman" w:hAnsi="Times New Roman" w:cs="Times New Roman" w:hint="eastAsia"/>
          <w:szCs w:val="21"/>
        </w:rPr>
        <w:fldChar w:fldCharType="end"/>
      </w:r>
      <w:bookmarkEnd w:id="2"/>
      <w:r w:rsidRPr="00567032">
        <w:rPr>
          <w:rFonts w:ascii="Times New Roman" w:hAnsi="Times New Roman" w:cs="Times New Roman" w:hint="eastAsia"/>
          <w:szCs w:val="21"/>
        </w:rPr>
        <w:t xml:space="preserve"> </w:t>
      </w:r>
      <w:r w:rsidRPr="00567032">
        <w:rPr>
          <w:rFonts w:ascii="Times New Roman" w:hAnsi="Times New Roman" w:cs="Times New Roman"/>
          <w:szCs w:val="21"/>
        </w:rPr>
        <w:t>Validation performance curves of the Origin-Tea-S0 model across ten-fold cross-validation.</w:t>
      </w:r>
    </w:p>
    <w:p w:rsidR="00652E03" w:rsidRPr="00567032" w:rsidRDefault="00652E03" w:rsidP="00652E03">
      <w:pPr>
        <w:rPr>
          <w:rFonts w:ascii="Times New Roman" w:hAnsi="Times New Roman" w:cs="Times New Roman"/>
          <w:szCs w:val="21"/>
        </w:rPr>
      </w:pPr>
      <w:r w:rsidRPr="00567032">
        <w:rPr>
          <w:rFonts w:ascii="Times New Roman" w:hAnsi="Times New Roman" w:cs="Times New Roman"/>
          <w:szCs w:val="21"/>
        </w:rPr>
        <w:t>The figure presents the epoch-wise performance trends for the model configuration where both shallow feature extraction modules are removed (Origin-Tea-S0). The sub-figures (a–j) illustrate the learning process corresponding to the 1st through 10th fold, respectively. Each sub-figure details the performance for Block depths B0–B9, revealing that in the absence of shallow extractors, the model shows varying convergence behaviors across folds (as seen in the fluctuations for B0) and often requires increased depth to achieve stable classification performance.</w:t>
      </w:r>
    </w:p>
    <w:p w:rsidR="00652E03" w:rsidRPr="00567032" w:rsidRDefault="00652E03" w:rsidP="00652E03"/>
    <w:p w:rsidR="00652E03" w:rsidRPr="00567032" w:rsidRDefault="00652E03" w:rsidP="00652E03">
      <w:pPr>
        <w:rPr>
          <w:rFonts w:ascii="Times New Roman" w:hAnsi="Times New Roman" w:cs="Times New Roman"/>
          <w:szCs w:val="21"/>
        </w:rPr>
      </w:pPr>
      <w:bookmarkStart w:id="3" w:name="_Ref215740826"/>
      <w:r w:rsidRPr="00567032">
        <w:rPr>
          <w:rFonts w:ascii="Times New Roman" w:hAnsi="Times New Roman" w:cs="Times New Roman" w:hint="eastAsia"/>
          <w:szCs w:val="21"/>
        </w:rPr>
        <w:t xml:space="preserve">Supplementary Figure </w:t>
      </w:r>
      <w:r w:rsidRPr="00567032">
        <w:rPr>
          <w:rFonts w:ascii="Times New Roman" w:hAnsi="Times New Roman" w:cs="Times New Roman" w:hint="eastAsia"/>
          <w:szCs w:val="21"/>
        </w:rPr>
        <w:fldChar w:fldCharType="begin"/>
      </w:r>
      <w:r w:rsidRPr="00567032">
        <w:rPr>
          <w:rFonts w:ascii="Times New Roman" w:hAnsi="Times New Roman" w:cs="Times New Roman" w:hint="eastAsia"/>
          <w:szCs w:val="21"/>
        </w:rPr>
        <w:instrText xml:space="preserve"> SEQ Supplementary_Figure \* ARABIC </w:instrText>
      </w:r>
      <w:r w:rsidRPr="00567032">
        <w:rPr>
          <w:rFonts w:ascii="Times New Roman" w:hAnsi="Times New Roman" w:cs="Times New Roman" w:hint="eastAsia"/>
          <w:szCs w:val="21"/>
        </w:rPr>
        <w:fldChar w:fldCharType="separate"/>
      </w:r>
      <w:r>
        <w:rPr>
          <w:rFonts w:ascii="Times New Roman" w:hAnsi="Times New Roman" w:cs="Times New Roman"/>
          <w:noProof/>
          <w:szCs w:val="21"/>
        </w:rPr>
        <w:t>4</w:t>
      </w:r>
      <w:r w:rsidRPr="00567032">
        <w:rPr>
          <w:rFonts w:ascii="Times New Roman" w:hAnsi="Times New Roman" w:cs="Times New Roman" w:hint="eastAsia"/>
          <w:szCs w:val="21"/>
        </w:rPr>
        <w:fldChar w:fldCharType="end"/>
      </w:r>
      <w:bookmarkEnd w:id="3"/>
      <w:r w:rsidRPr="00567032">
        <w:rPr>
          <w:rFonts w:ascii="Times New Roman" w:hAnsi="Times New Roman" w:cs="Times New Roman" w:hint="eastAsia"/>
          <w:szCs w:val="21"/>
        </w:rPr>
        <w:t xml:space="preserve"> </w:t>
      </w:r>
      <w:r w:rsidRPr="00567032">
        <w:rPr>
          <w:rFonts w:ascii="Times New Roman" w:hAnsi="Times New Roman" w:cs="Times New Roman"/>
          <w:szCs w:val="21"/>
        </w:rPr>
        <w:t>Precision, Recall, and F1-score curves on the scanner-based additional validation dataset during training.</w:t>
      </w:r>
    </w:p>
    <w:p w:rsidR="00652E03" w:rsidRPr="00567032" w:rsidRDefault="00652E03" w:rsidP="00652E03">
      <w:pPr>
        <w:rPr>
          <w:rFonts w:ascii="Times New Roman" w:hAnsi="Times New Roman" w:cs="Times New Roman"/>
          <w:szCs w:val="21"/>
        </w:rPr>
      </w:pPr>
      <w:r w:rsidRPr="00567032">
        <w:rPr>
          <w:rFonts w:ascii="Times New Roman" w:hAnsi="Times New Roman" w:cs="Times New Roman"/>
          <w:szCs w:val="21"/>
        </w:rPr>
        <w:t xml:space="preserve">The sub-figures illustrate the convergence behavior of ten comparative models when evaluated on the independent scanner-acquired dataset. The curves track the Precision, Recall, and F1-score over training epochs, demonstrating the generalization capability of (a) </w:t>
      </w:r>
      <w:proofErr w:type="spellStart"/>
      <w:r w:rsidRPr="00567032">
        <w:rPr>
          <w:rFonts w:ascii="Times New Roman" w:hAnsi="Times New Roman" w:cs="Times New Roman"/>
          <w:szCs w:val="21"/>
        </w:rPr>
        <w:t>StartNet</w:t>
      </w:r>
      <w:proofErr w:type="spellEnd"/>
      <w:r w:rsidRPr="00567032">
        <w:rPr>
          <w:rFonts w:ascii="Times New Roman" w:hAnsi="Times New Roman" w:cs="Times New Roman"/>
          <w:szCs w:val="21"/>
        </w:rPr>
        <w:t xml:space="preserve">, (b) </w:t>
      </w:r>
      <w:proofErr w:type="spellStart"/>
      <w:r w:rsidRPr="00567032">
        <w:rPr>
          <w:rFonts w:ascii="Times New Roman" w:hAnsi="Times New Roman" w:cs="Times New Roman"/>
          <w:szCs w:val="21"/>
        </w:rPr>
        <w:t>ResMLP</w:t>
      </w:r>
      <w:proofErr w:type="spellEnd"/>
      <w:r w:rsidRPr="00567032">
        <w:rPr>
          <w:rFonts w:ascii="Times New Roman" w:hAnsi="Times New Roman" w:cs="Times New Roman"/>
          <w:szCs w:val="21"/>
        </w:rPr>
        <w:t xml:space="preserve">, (c) MobileNetV3, (d) GhostNetV3, (e) MobileNetV4, (f) </w:t>
      </w:r>
      <w:proofErr w:type="spellStart"/>
      <w:r w:rsidRPr="00567032">
        <w:rPr>
          <w:rFonts w:ascii="Times New Roman" w:hAnsi="Times New Roman" w:cs="Times New Roman"/>
          <w:szCs w:val="21"/>
        </w:rPr>
        <w:t>EfficientNet</w:t>
      </w:r>
      <w:proofErr w:type="spellEnd"/>
      <w:r w:rsidRPr="00567032">
        <w:rPr>
          <w:rFonts w:ascii="Times New Roman" w:hAnsi="Times New Roman" w:cs="Times New Roman"/>
          <w:szCs w:val="21"/>
        </w:rPr>
        <w:t xml:space="preserve">, (g) </w:t>
      </w:r>
      <w:proofErr w:type="spellStart"/>
      <w:r w:rsidRPr="00567032">
        <w:rPr>
          <w:rFonts w:ascii="Times New Roman" w:hAnsi="Times New Roman" w:cs="Times New Roman"/>
          <w:szCs w:val="21"/>
        </w:rPr>
        <w:t>InceptionNeXt</w:t>
      </w:r>
      <w:proofErr w:type="spellEnd"/>
      <w:r w:rsidRPr="00567032">
        <w:rPr>
          <w:rFonts w:ascii="Times New Roman" w:hAnsi="Times New Roman" w:cs="Times New Roman"/>
          <w:szCs w:val="21"/>
        </w:rPr>
        <w:t>, (h) ResNet50, (</w:t>
      </w:r>
      <w:proofErr w:type="spellStart"/>
      <w:r w:rsidRPr="00567032">
        <w:rPr>
          <w:rFonts w:ascii="Times New Roman" w:hAnsi="Times New Roman" w:cs="Times New Roman"/>
          <w:szCs w:val="21"/>
        </w:rPr>
        <w:t>i</w:t>
      </w:r>
      <w:proofErr w:type="spellEnd"/>
      <w:r w:rsidRPr="00567032">
        <w:rPr>
          <w:rFonts w:ascii="Times New Roman" w:hAnsi="Times New Roman" w:cs="Times New Roman"/>
          <w:szCs w:val="21"/>
        </w:rPr>
        <w:t xml:space="preserve">) </w:t>
      </w:r>
      <w:proofErr w:type="spellStart"/>
      <w:r w:rsidRPr="00567032">
        <w:rPr>
          <w:rFonts w:ascii="Times New Roman" w:hAnsi="Times New Roman" w:cs="Times New Roman"/>
          <w:szCs w:val="21"/>
        </w:rPr>
        <w:t>CoAtNet</w:t>
      </w:r>
      <w:proofErr w:type="spellEnd"/>
      <w:r w:rsidRPr="00567032">
        <w:rPr>
          <w:rFonts w:ascii="Times New Roman" w:hAnsi="Times New Roman" w:cs="Times New Roman"/>
          <w:szCs w:val="21"/>
        </w:rPr>
        <w:t>, and (j) Origin-Tea.</w:t>
      </w:r>
    </w:p>
    <w:p w:rsidR="00652E03" w:rsidRPr="00567032" w:rsidRDefault="00652E03" w:rsidP="00652E03">
      <w:pPr>
        <w:rPr>
          <w:rFonts w:ascii="Times New Roman" w:hAnsi="Times New Roman" w:cs="Times New Roman"/>
          <w:szCs w:val="21"/>
        </w:rPr>
      </w:pPr>
    </w:p>
    <w:p w:rsidR="00652E03" w:rsidRPr="00567032" w:rsidRDefault="00652E03" w:rsidP="00652E03">
      <w:pPr>
        <w:pStyle w:val="Caption"/>
        <w:keepNext/>
        <w:rPr>
          <w:rFonts w:ascii="Times New Roman" w:hAnsi="Times New Roman" w:cs="Times New Roman"/>
          <w:szCs w:val="21"/>
        </w:rPr>
      </w:pPr>
      <w:bookmarkStart w:id="4" w:name="_Ref215748831"/>
      <w:r w:rsidRPr="00567032">
        <w:rPr>
          <w:rFonts w:ascii="Times New Roman" w:hAnsi="Times New Roman" w:cs="Times New Roman" w:hint="eastAsia"/>
          <w:sz w:val="21"/>
          <w:szCs w:val="21"/>
        </w:rPr>
        <w:t xml:space="preserve">Supplementary Figure </w:t>
      </w:r>
      <w:r w:rsidRPr="00567032">
        <w:rPr>
          <w:rFonts w:ascii="Times New Roman" w:hAnsi="Times New Roman" w:cs="Times New Roman" w:hint="eastAsia"/>
          <w:sz w:val="21"/>
          <w:szCs w:val="21"/>
        </w:rPr>
        <w:fldChar w:fldCharType="begin"/>
      </w:r>
      <w:r w:rsidRPr="00567032">
        <w:rPr>
          <w:rFonts w:ascii="Times New Roman" w:hAnsi="Times New Roman" w:cs="Times New Roman" w:hint="eastAsia"/>
          <w:sz w:val="21"/>
          <w:szCs w:val="21"/>
        </w:rPr>
        <w:instrText xml:space="preserve"> SEQ Supplementary_Figure \* ARABIC </w:instrText>
      </w:r>
      <w:r w:rsidRPr="00567032">
        <w:rPr>
          <w:rFonts w:ascii="Times New Roman" w:hAnsi="Times New Roman" w:cs="Times New Roman" w:hint="eastAsia"/>
          <w:sz w:val="21"/>
          <w:szCs w:val="21"/>
        </w:rPr>
        <w:fldChar w:fldCharType="separate"/>
      </w:r>
      <w:r>
        <w:rPr>
          <w:rFonts w:ascii="Times New Roman" w:hAnsi="Times New Roman" w:cs="Times New Roman"/>
          <w:noProof/>
          <w:sz w:val="21"/>
          <w:szCs w:val="21"/>
        </w:rPr>
        <w:t>5</w:t>
      </w:r>
      <w:r w:rsidRPr="00567032">
        <w:rPr>
          <w:rFonts w:ascii="Times New Roman" w:hAnsi="Times New Roman" w:cs="Times New Roman" w:hint="eastAsia"/>
          <w:sz w:val="21"/>
          <w:szCs w:val="21"/>
        </w:rPr>
        <w:fldChar w:fldCharType="end"/>
      </w:r>
      <w:bookmarkEnd w:id="4"/>
      <w:r w:rsidRPr="00567032">
        <w:rPr>
          <w:rFonts w:ascii="Times New Roman" w:hAnsi="Times New Roman" w:cs="Times New Roman" w:hint="eastAsia"/>
          <w:sz w:val="21"/>
          <w:szCs w:val="21"/>
        </w:rPr>
        <w:t xml:space="preserve"> </w:t>
      </w:r>
      <w:r w:rsidRPr="00567032">
        <w:rPr>
          <w:rFonts w:ascii="Times New Roman" w:hAnsi="Times New Roman" w:cs="Times New Roman"/>
          <w:szCs w:val="21"/>
        </w:rPr>
        <w:t>Field data acquisition equipment and tea samples.</w:t>
      </w:r>
    </w:p>
    <w:p w:rsidR="00652E03" w:rsidRPr="00567032" w:rsidRDefault="00652E03" w:rsidP="00652E03">
      <w:pPr>
        <w:pStyle w:val="Caption"/>
        <w:keepNext/>
        <w:rPr>
          <w:rFonts w:ascii="Times New Roman" w:hAnsi="Times New Roman" w:cs="Times New Roman"/>
          <w:szCs w:val="21"/>
        </w:rPr>
      </w:pPr>
      <w:r w:rsidRPr="00567032">
        <w:rPr>
          <w:rFonts w:ascii="Times New Roman" w:hAnsi="Times New Roman" w:cs="Times New Roman"/>
          <w:szCs w:val="21"/>
        </w:rPr>
        <w:t>The figure illustrates the materials used during the data collection process in the tea plantations. The top panel shows the standardized baskets filled with freshly harvested tea leaves, while the bottom panel presents a close-up of a representative tea shoot, verifying the adherence to the "one bud and two leaves" sampling standard.</w:t>
      </w:r>
    </w:p>
    <w:p w:rsidR="005C48A5" w:rsidRDefault="005C48A5">
      <w:bookmarkStart w:id="5" w:name="_GoBack"/>
      <w:bookmarkEnd w:id="5"/>
    </w:p>
    <w:sectPr w:rsidR="005C4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E03"/>
    <w:rsid w:val="002425BD"/>
    <w:rsid w:val="00471D1D"/>
    <w:rsid w:val="005C48A5"/>
    <w:rsid w:val="00652E03"/>
    <w:rsid w:val="00763461"/>
    <w:rsid w:val="00F67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909CA-4DBD-4DFD-B6BF-A4FE9DBA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E03"/>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52E03"/>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Dhanai</dc:creator>
  <cp:keywords/>
  <dc:description/>
  <cp:lastModifiedBy>Arun Dhanai</cp:lastModifiedBy>
  <cp:revision>1</cp:revision>
  <dcterms:created xsi:type="dcterms:W3CDTF">2025-12-24T11:40:00Z</dcterms:created>
  <dcterms:modified xsi:type="dcterms:W3CDTF">2025-12-24T11:41:00Z</dcterms:modified>
</cp:coreProperties>
</file>