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B97CD">
      <w:pPr>
        <w:jc w:val="center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Supplementary M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aterials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for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</w:p>
    <w:p w14:paraId="23B85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highlight w:val="none"/>
        </w:rPr>
        <w:t>Cinnamaldehyde mitigates MAFLD through SIRT1/FOXO1-induced autophagy and synergistic gut microbiota modulation</w:t>
      </w:r>
    </w:p>
    <w:p w14:paraId="1776B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color w:val="auto"/>
          <w:sz w:val="24"/>
          <w:highlight w:val="none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Xiao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r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an Wang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Yagang Song</w:t>
      </w:r>
      <w:r>
        <w:rPr>
          <w:rFonts w:hint="eastAsia" w:ascii="Times New Roman" w:hAnsi="Times New Roman"/>
          <w:color w:val="auto"/>
          <w:sz w:val="24"/>
          <w:highlight w:val="none"/>
          <w:vertAlign w:val="superscript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 Wenyu Zhao</w:t>
      </w:r>
      <w:r>
        <w:rPr>
          <w:rFonts w:hint="eastAsia" w:ascii="Times New Roman" w:hAnsi="Times New Roman"/>
          <w:color w:val="auto"/>
          <w:sz w:val="24"/>
          <w:highlight w:val="none"/>
          <w:vertAlign w:val="superscript"/>
          <w:lang w:val="en-US" w:eastAsia="zh-CN"/>
        </w:rPr>
        <w:t>d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Y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u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ting Liu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e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Yiping Fu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 Yu Zhang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 Quanyou Zhao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e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 Mingsan Miao</w:t>
      </w:r>
      <w:r>
        <w:rPr>
          <w:rFonts w:hint="eastAsia" w:ascii="Times New Roman" w:hAnsi="Times New Roman"/>
          <w:color w:val="auto"/>
          <w:sz w:val="24"/>
          <w:highlight w:val="none"/>
          <w:vertAlign w:val="superscript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 Wenxia Zhao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a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, Xianbo Wang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vertAlign w:val="superscript"/>
          <w:lang w:val="en-US" w:eastAsia="zh-CN"/>
        </w:rPr>
        <w:t>f</w:t>
      </w:r>
      <w:r>
        <w:rPr>
          <w:rFonts w:hint="eastAsia" w:ascii="Times New Roman" w:hAnsi="Times New Roman"/>
          <w:color w:val="auto"/>
          <w:sz w:val="24"/>
          <w:highlight w:val="none"/>
          <w:vertAlign w:val="superscript"/>
          <w:lang w:val="en-US" w:eastAsia="zh-CN"/>
        </w:rPr>
        <w:t>#</w:t>
      </w:r>
      <w:r>
        <w:rPr>
          <w:rFonts w:hint="eastAsia" w:ascii="Times New Roman" w:hAnsi="Times New Roman"/>
          <w:color w:val="auto"/>
          <w:sz w:val="24"/>
          <w:highlight w:val="none"/>
          <w:vertAlign w:val="baseline"/>
          <w:lang w:val="en-US" w:eastAsia="zh-CN"/>
        </w:rPr>
        <w:t>, Zhanzhan Li</w:t>
      </w:r>
      <w:r>
        <w:rPr>
          <w:rFonts w:hint="eastAsia" w:ascii="Times New Roman" w:hAnsi="Times New Roman"/>
          <w:color w:val="auto"/>
          <w:sz w:val="24"/>
          <w:highlight w:val="none"/>
          <w:vertAlign w:val="superscript"/>
          <w:lang w:val="en-US" w:eastAsia="zh-CN"/>
        </w:rPr>
        <w:t>b#</w:t>
      </w:r>
    </w:p>
    <w:p w14:paraId="7BC46F26">
      <w:pPr>
        <w:pStyle w:val="15"/>
        <w:spacing w:after="0" w:line="360" w:lineRule="auto"/>
        <w:jc w:val="both"/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  <w:vertAlign w:val="superscript"/>
        </w:rPr>
        <w:t>a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Department of Digestive Diseases, The First Affiliated Hospital of Henan University of Chinese Medicine, Zhengzhou 450046, China</w:t>
      </w:r>
    </w:p>
    <w:p w14:paraId="627984C0">
      <w:pPr>
        <w:pStyle w:val="15"/>
        <w:spacing w:after="0" w:line="360" w:lineRule="auto"/>
        <w:jc w:val="both"/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>First Clinical Medical College, Henan University of Chinese Medicine, Zhengzhou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 450046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>, China</w:t>
      </w:r>
    </w:p>
    <w:p w14:paraId="71B0E19F">
      <w:pPr>
        <w:pStyle w:val="15"/>
        <w:spacing w:after="0" w:line="360" w:lineRule="auto"/>
        <w:jc w:val="both"/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  <w:vertAlign w:val="superscript"/>
        </w:rPr>
        <w:t>c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Academy of Chinese Medicine Sciences, Henan University of Chinese Medicine, Zhengzhou 450046, China</w:t>
      </w:r>
    </w:p>
    <w:p w14:paraId="51223D49">
      <w:pPr>
        <w:pStyle w:val="16"/>
        <w:ind w:left="0" w:leftChars="0" w:firstLine="0" w:firstLineChars="0"/>
        <w:rPr>
          <w:rFonts w:hint="default"/>
          <w:color w:val="auto"/>
          <w:highlight w:val="none"/>
        </w:rPr>
      </w:pP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vertAlign w:val="superscript"/>
          <w:lang w:val="en-US" w:eastAsia="zh-CN"/>
        </w:rPr>
        <w:t>d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School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of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Rehabilitation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Sciences, Henan University of Chinese Medicine, Zhengzhou 450046, China</w:t>
      </w:r>
    </w:p>
    <w:p w14:paraId="25D11218">
      <w:pPr>
        <w:pStyle w:val="15"/>
        <w:spacing w:after="0" w:line="360" w:lineRule="auto"/>
        <w:jc w:val="both"/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vertAlign w:val="superscript"/>
          <w:lang w:val="en-US" w:eastAsia="zh-CN"/>
        </w:rPr>
        <w:t>e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Pharmacy College, Henan University of Chinese Medicine, Zhengzhou 450046, China</w:t>
      </w:r>
    </w:p>
    <w:p w14:paraId="43480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color w:val="auto"/>
          <w:sz w:val="24"/>
          <w:highlight w:val="none"/>
        </w:rPr>
      </w:pPr>
      <w:r>
        <w:rPr>
          <w:rFonts w:hint="eastAsia" w:ascii="Times New Roman" w:hAnsi="Times New Roman"/>
          <w:i/>
          <w:iCs/>
          <w:color w:val="auto"/>
          <w:sz w:val="24"/>
          <w:highlight w:val="none"/>
          <w:vertAlign w:val="superscript"/>
          <w:lang w:val="en-US" w:eastAsia="zh-CN"/>
        </w:rPr>
        <w:t>f</w:t>
      </w:r>
      <w:r>
        <w:rPr>
          <w:rFonts w:hint="eastAsia" w:ascii="Times New Roman" w:hAnsi="Times New Roman"/>
          <w:i/>
          <w:iCs/>
          <w:color w:val="auto"/>
          <w:sz w:val="24"/>
          <w:highlight w:val="none"/>
        </w:rPr>
        <w:t>Center for Integrative Medicine, Beijing Ditan Hospital Capital Medical University, Beijing</w:t>
      </w:r>
      <w:r>
        <w:rPr>
          <w:rFonts w:hint="eastAsia" w:ascii="Times New Roman" w:hAnsi="Times New Roman"/>
          <w:i/>
          <w:i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/>
          <w:i/>
          <w:iCs/>
          <w:color w:val="auto"/>
          <w:sz w:val="24"/>
          <w:highlight w:val="none"/>
        </w:rPr>
        <w:t>100015</w:t>
      </w:r>
      <w:r>
        <w:rPr>
          <w:rFonts w:hint="eastAsia" w:ascii="Times New Roman" w:hAnsi="Times New Roman"/>
          <w:i/>
          <w:iCs/>
          <w:color w:val="auto"/>
          <w:sz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color w:val="auto"/>
          <w:sz w:val="24"/>
          <w:highlight w:val="none"/>
        </w:rPr>
        <w:t>China</w:t>
      </w:r>
    </w:p>
    <w:p w14:paraId="37AAC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color w:val="auto"/>
          <w:sz w:val="24"/>
          <w:highlight w:val="none"/>
        </w:rPr>
      </w:pPr>
    </w:p>
    <w:p w14:paraId="11080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sz w:val="24"/>
          <w:highlight w:val="none"/>
          <w:lang w:val="en-US" w:eastAsia="zh-CN"/>
        </w:rPr>
        <w:t>#</w:t>
      </w:r>
      <w:r>
        <w:rPr>
          <w:rFonts w:ascii="Times New Roman" w:hAnsi="Times New Roman"/>
          <w:color w:val="auto"/>
          <w:sz w:val="24"/>
          <w:highlight w:val="none"/>
        </w:rPr>
        <w:t xml:space="preserve"> Correspondence author:</w:t>
      </w:r>
      <w:r>
        <w:rPr>
          <w:rFonts w:hint="eastAsia" w:ascii="Times New Roman" w:hAnsi="Times New Roman"/>
          <w:color w:val="auto"/>
          <w:sz w:val="24"/>
          <w:highlight w:val="none"/>
          <w:lang w:val="en-US" w:eastAsia="zh-CN"/>
        </w:rPr>
        <w:t xml:space="preserve"> </w:t>
      </w:r>
    </w:p>
    <w:p w14:paraId="661AF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sz w:val="24"/>
          <w:highlight w:val="none"/>
          <w:lang w:val="en-US" w:eastAsia="zh-CN"/>
        </w:rPr>
        <w:t>Zhanzhan Li: wind_lz@hactcm.edu.cn; Academy of Chinese Medicine Sciences, Henan University of Chinese Medicine, No. 156 Jinshuidong Road, Zhengzhou 450046, China.</w:t>
      </w:r>
    </w:p>
    <w:p w14:paraId="03323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Xianbo Wang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wwwzp2020@163.com</w:t>
      </w:r>
      <w:r>
        <w:rPr>
          <w:rStyle w:val="10"/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/>
          <w:color w:val="auto"/>
          <w:sz w:val="24"/>
          <w:highlight w:val="none"/>
          <w:lang w:val="en-US" w:eastAsia="zh-CN"/>
        </w:rPr>
        <w:t xml:space="preserve"> Center for Integrative Medicine, Beijing Ditan Hospital Capital Medical University, No. 8 Jingshun East Street,Beijing 100015, China.</w:t>
      </w:r>
    </w:p>
    <w:p w14:paraId="37780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p w14:paraId="3126C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p w14:paraId="3A9BC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p w14:paraId="27AF1E96">
      <w:pPr>
        <w:spacing w:line="360" w:lineRule="auto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</w:rPr>
        <w:t>Supplementary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lang w:val="en-US" w:eastAsia="zh-CN"/>
        </w:rPr>
        <w:t xml:space="preserve"> tables and figures</w:t>
      </w:r>
    </w:p>
    <w:p w14:paraId="1D4604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Supplementary Table 1.  The primers used in qPCR analysis. （mice）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6902"/>
      </w:tblGrid>
      <w:tr w14:paraId="0F4B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7E9316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highlight w:val="none"/>
              </w:rPr>
              <w:t>Target</w:t>
            </w:r>
          </w:p>
        </w:tc>
        <w:tc>
          <w:tcPr>
            <w:tcW w:w="69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185683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Sequence (5’-3’)</w:t>
            </w:r>
          </w:p>
        </w:tc>
      </w:tr>
      <w:tr w14:paraId="43ED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3972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GAPDH</w:t>
            </w:r>
          </w:p>
        </w:tc>
        <w:tc>
          <w:tcPr>
            <w:tcW w:w="690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9DEC5F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Forward5’-CCTCGTCCCGTAGACAAAATG-3’</w:t>
            </w:r>
          </w:p>
          <w:p w14:paraId="3A9DE3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Reverse5’-TGAGGTCAATGAAGGGGTCGT-3’</w:t>
            </w:r>
          </w:p>
        </w:tc>
      </w:tr>
      <w:tr w14:paraId="6D17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89E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SREBP-1c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14:paraId="5FDEA6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Forward5’-GACATGCTCCAGCTCATCAACA-3’</w:t>
            </w:r>
          </w:p>
          <w:p w14:paraId="1F5D6B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Reverse5’-GACACGGACGGGTACATCTTTA-3’</w:t>
            </w:r>
          </w:p>
        </w:tc>
      </w:tr>
      <w:tr w14:paraId="6B50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FAC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FAS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14:paraId="4E21AF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Forward5’-CTGCCTCTGGTGCTTGCT-3’</w:t>
            </w:r>
          </w:p>
          <w:p w14:paraId="23A66D2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Reverse5’-ACCCGCCTCCTCAGCTTT-3’</w:t>
            </w:r>
          </w:p>
        </w:tc>
      </w:tr>
      <w:tr w14:paraId="5957A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0171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ACC1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14:paraId="37B8F1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Forward5’-TTTGTTTGGTCGTGACTGCTCTG-3’</w:t>
            </w:r>
          </w:p>
          <w:p w14:paraId="09D6D1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Reverse5’-AGGATGTTCAACCTGTAGCCGAG-3’</w:t>
            </w:r>
          </w:p>
        </w:tc>
      </w:tr>
      <w:tr w14:paraId="058F0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9DD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PPAR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α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9B0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Forward5’-TTTCACAAGTGCCTGTCTGTCG-3’</w:t>
            </w:r>
          </w:p>
          <w:p w14:paraId="78B09B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Reverse5’-TCTTCAGGTAGGCTTCGTGGAT-3’</w:t>
            </w:r>
          </w:p>
        </w:tc>
      </w:tr>
      <w:tr w14:paraId="3614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37E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CPT-1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41E1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Forward5’-GCCTCTATGTGGTGTCCAAGTATC-3’</w:t>
            </w:r>
          </w:p>
          <w:p w14:paraId="2709C61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Reverse5’-CACCATAGCCGTCATCAGCAA-3’</w:t>
            </w:r>
          </w:p>
        </w:tc>
      </w:tr>
      <w:tr w14:paraId="7CD1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04DD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TFEB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ECD4A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Forward5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-AATCCCACATCCTACCATCTGC-3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  <w:p w14:paraId="154E577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Reverse5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-GCAGCAAACTTGTTCCCATAGG-3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</w:tc>
      </w:tr>
      <w:tr w14:paraId="22625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350D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SIRT1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F2C69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Forward5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-ACATCTCATGATTGGCACCGAT-3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  <w:p w14:paraId="244C109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Reverse5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-AGCGTCATATCATCCAGCTCAG-3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</w:tc>
      </w:tr>
      <w:tr w14:paraId="69AF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933806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FoxO1</w:t>
            </w:r>
          </w:p>
        </w:tc>
        <w:tc>
          <w:tcPr>
            <w:tcW w:w="6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42A5F5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Forward5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-TACTTCAAGGATAAGGGCGACAG-3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  <w:p w14:paraId="1ABC3D7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Reverse5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-TGCACTCGAATAAACTTGCTGTG-3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</w:tc>
      </w:tr>
    </w:tbl>
    <w:p w14:paraId="3E1D734B">
      <w:pPr>
        <w:widowControl w:val="0"/>
        <w:numPr>
          <w:ilvl w:val="0"/>
          <w:numId w:val="0"/>
        </w:numPr>
        <w:tabs>
          <w:tab w:val="left" w:pos="312"/>
        </w:tabs>
        <w:spacing w:beforeLines="0" w:afterLines="0" w:line="360" w:lineRule="auto"/>
        <w:jc w:val="both"/>
        <w:rPr>
          <w:rFonts w:hint="default" w:ascii="Times New Roman" w:hAnsi="Times New Roman"/>
          <w:color w:val="auto"/>
          <w:sz w:val="24"/>
          <w:szCs w:val="24"/>
          <w:highlight w:val="none"/>
        </w:rPr>
      </w:pPr>
    </w:p>
    <w:p w14:paraId="14C30296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p w14:paraId="0EF5B1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jc w:val="center"/>
        <w:textAlignment w:val="auto"/>
        <w:rPr>
          <w:color w:val="auto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Supplementary Table 2.  The primers used in qPCR analysis. （HepG2 cells）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6902"/>
      </w:tblGrid>
      <w:tr w14:paraId="52DCF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7D92F1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highlight w:val="none"/>
              </w:rPr>
              <w:t>Target</w:t>
            </w:r>
          </w:p>
        </w:tc>
        <w:tc>
          <w:tcPr>
            <w:tcW w:w="69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CBFA2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Sequence (5’-3’)</w:t>
            </w:r>
          </w:p>
        </w:tc>
      </w:tr>
      <w:tr w14:paraId="7F81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AB1B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GAPDH</w:t>
            </w:r>
          </w:p>
        </w:tc>
        <w:tc>
          <w:tcPr>
            <w:tcW w:w="690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2355F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Forward5’-GGAAGCTTGTCATCAATGGAAATC-3’</w:t>
            </w:r>
          </w:p>
          <w:p w14:paraId="39C9EE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Reverse5’-TGATGACCCTTTTGGCTCCC-3’</w:t>
            </w:r>
          </w:p>
        </w:tc>
      </w:tr>
      <w:tr w14:paraId="2BC7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875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SREBP-1c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14:paraId="2642FF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Forward5’-TCTGGAGGCATCGCAAGC-3’</w:t>
            </w:r>
          </w:p>
          <w:p w14:paraId="75145E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Reverse5’-AGCAGGTGACGGATGAGGTT-3’</w:t>
            </w:r>
          </w:p>
        </w:tc>
      </w:tr>
      <w:tr w14:paraId="7C29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350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FAS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14:paraId="3C64C97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Forward5’-CATCTGGACCCTCCTACCTCTG-3’</w:t>
            </w:r>
          </w:p>
          <w:p w14:paraId="7F7C05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Reverse5’-CTGTGTACTCCTTCCCTTCTTGG-3’</w:t>
            </w:r>
          </w:p>
        </w:tc>
      </w:tr>
      <w:tr w14:paraId="13EDA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897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ACC1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</w:tcPr>
          <w:p w14:paraId="5DCD3B2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Forward5’-TGCGGTCTATCCGTAGGTGGT-3’</w:t>
            </w:r>
          </w:p>
          <w:p w14:paraId="47688E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Reverse5’-CATAGTTGTTGTTGTTTGGTCCTCC-3’</w:t>
            </w:r>
          </w:p>
        </w:tc>
      </w:tr>
      <w:tr w14:paraId="6E8D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53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PPAR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α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AAC3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Forward5’-CCTCGGTGACTTATCCTGTGGT-3’</w:t>
            </w:r>
          </w:p>
          <w:p w14:paraId="3A1F47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Reverse5’-GACATCCCGACAGAAAGGCAC-3’</w:t>
            </w:r>
          </w:p>
        </w:tc>
      </w:tr>
      <w:tr w14:paraId="0874C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AAB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CPT-1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DC2A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Forward5’-GAAGTTGTTCAAGTTGGCGTCT-3’</w:t>
            </w:r>
          </w:p>
          <w:p w14:paraId="53A64E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Reverse5’-ATGTACGACACACCATAGCCGT-3’</w:t>
            </w:r>
          </w:p>
        </w:tc>
      </w:tr>
      <w:tr w14:paraId="77B4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A9F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TFEB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BBC5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Forward5’-AATCCCACATCCTACCATCTGC-3’</w:t>
            </w:r>
          </w:p>
          <w:p w14:paraId="19FDCE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Reverse5’-GCAGCAAACTTGTTCCCATAGG-3’</w:t>
            </w:r>
          </w:p>
        </w:tc>
      </w:tr>
      <w:tr w14:paraId="3D8F1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F45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SIRT1</w:t>
            </w:r>
          </w:p>
        </w:tc>
        <w:tc>
          <w:tcPr>
            <w:tcW w:w="6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7C128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Forward5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-ATTCCAGCCATCTCTCTGTCAC-3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  <w:p w14:paraId="46C2913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Reverse5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-TGTTGCAAAGGAACCATGACAC-3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</w:tc>
      </w:tr>
      <w:tr w14:paraId="58D46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6E66D0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FoxO1</w:t>
            </w:r>
          </w:p>
        </w:tc>
        <w:tc>
          <w:tcPr>
            <w:tcW w:w="6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C2FC8E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Forward5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-TACTTCAAGGATAAGGGTGACAGC-3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  <w:p w14:paraId="5C15ED8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Reverse5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-TTTTCCAGTTCCTTCATTCTGCAC-3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’</w:t>
            </w:r>
          </w:p>
        </w:tc>
      </w:tr>
    </w:tbl>
    <w:p w14:paraId="2EF309F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p w14:paraId="5E1216E9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29724334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1</w:t>
      </w:r>
    </w:p>
    <w:p w14:paraId="0A67C7C2">
      <w:pPr>
        <w:numPr>
          <w:ilvl w:val="0"/>
          <w:numId w:val="0"/>
        </w:numPr>
        <w:rPr>
          <w:rFonts w:hint="default" w:ascii="Times New Roman" w:hAnsi="Times New Roman" w:cs="Times New Roman"/>
          <w:color w:val="0070C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054600" cy="2807970"/>
            <wp:effectExtent l="0" t="0" r="12700" b="11430"/>
            <wp:docPr id="10" name="图片 10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. 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BDCCF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Figure S1. CA ameliorates hepatic inflammation and pathological changes in HFD-induced mice. (A) Hepatic mRNA expression of TNF-α, IL-6, and IL-1β determined by RT-qPCR. (B) NAFLD activity score (NAS) based on histological evaluation. (C) Representative photomicrographs of Masson’s trichrome staining of liver sections. Blue staining indicates collagen deposition, and red staining indicates cytoplasm (Scale bar = 50 μm). Data are shown as the means ± SEMs (n=8). Compared with the NC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#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&lt; 0.05,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vertAlign w:val="superscript"/>
          <w:lang w:val="en-US" w:eastAsia="zh-CN"/>
        </w:rPr>
        <w:t>##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&lt; 0.01; compared with the HFD group, *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&lt; 0.05, **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&lt; 0.01</w:t>
      </w:r>
    </w:p>
    <w:p w14:paraId="2C2E9711">
      <w:pPr>
        <w:numPr>
          <w:ilvl w:val="0"/>
          <w:numId w:val="0"/>
        </w:numPr>
        <w:ind w:leftChars="0" w:firstLine="480" w:firstLineChars="200"/>
        <w:rPr>
          <w:rFonts w:hint="default" w:ascii="Times New Roman" w:hAnsi="Times New Roman" w:cs="Times New Roman"/>
          <w:color w:val="0070C0"/>
          <w:sz w:val="24"/>
          <w:szCs w:val="24"/>
          <w:lang w:val="en-US" w:eastAsia="zh-CN"/>
        </w:rPr>
      </w:pPr>
    </w:p>
    <w:p w14:paraId="6CFF4F6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2</w:t>
      </w:r>
    </w:p>
    <w:p w14:paraId="41BCDB48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4911725" cy="1800225"/>
            <wp:effectExtent l="0" t="0" r="10795" b="13335"/>
            <wp:docPr id="14" name="图片 14" descr="supplementary 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upplementary fig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1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46FA4">
      <w:pPr>
        <w:spacing w:line="360" w:lineRule="auto"/>
        <w:jc w:val="both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Fig. S2 The mRNA expression levels of SIRT1 and FOXO1.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(A)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The mRNA expression levels of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SIRT1 and FOXO1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in liver tissue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(n=6). (B)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The mRNA expression levels of 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SIRT1 and FOXO1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in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 FFA-induced HepG2 cells. Data are shown as the means±SEMs (n=6).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>Compared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>with the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 HFD or FFA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>group, *</w:t>
      </w:r>
      <w:r>
        <w:rPr>
          <w:rFonts w:hint="default" w:ascii="Times New Roman" w:hAnsi="Times New Roman" w:eastAsia="宋体" w:cs="Times New Roman"/>
          <w:i/>
          <w:iCs/>
          <w:color w:val="auto"/>
          <w:kern w:val="2"/>
          <w:sz w:val="24"/>
          <w:szCs w:val="24"/>
          <w:highlight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 &lt; 0.05, **</w:t>
      </w:r>
      <w:r>
        <w:rPr>
          <w:rFonts w:hint="default" w:ascii="Times New Roman" w:hAnsi="Times New Roman" w:eastAsia="宋体" w:cs="Times New Roman"/>
          <w:i/>
          <w:iCs/>
          <w:color w:val="auto"/>
          <w:kern w:val="2"/>
          <w:sz w:val="24"/>
          <w:szCs w:val="24"/>
          <w:highlight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 &lt; 0.01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>.</w:t>
      </w:r>
    </w:p>
    <w:p w14:paraId="63759F94">
      <w:pPr>
        <w:spacing w:line="360" w:lineRule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</w:pPr>
    </w:p>
    <w:p w14:paraId="6F5F908F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3</w:t>
      </w:r>
    </w:p>
    <w:p w14:paraId="0FF580A6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12080" cy="1548130"/>
            <wp:effectExtent l="0" t="0" r="0" b="6350"/>
            <wp:docPr id="1" name="图片 1" descr="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010BA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Fig. 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 xml:space="preserve"> Treatment with BafA1 inhibits CA’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s effect in HepG2 cells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 xml:space="preserve">. (A)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Intracellular TG 、TC、GSH and SOD levels. (B)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The mRNA expression levels of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32"/>
          <w:lang w:val="en-US" w:eastAsia="zh-CN"/>
        </w:rPr>
        <w:t>fatty acid oxidation genes (PPARα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, CPT-1). Data are shown as the means ± SEMs (n=6). Compared with the NC group, </w:t>
      </w:r>
      <w:r>
        <w:rPr>
          <w:rFonts w:hint="eastAsia" w:ascii="Times New Roman" w:hAnsi="Times New Roman" w:cs="Times New Roman"/>
          <w:color w:val="auto"/>
          <w:sz w:val="24"/>
          <w:szCs w:val="32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&lt; 0.05, </w:t>
      </w:r>
      <w:r>
        <w:rPr>
          <w:rFonts w:hint="eastAsia" w:ascii="Times New Roman" w:hAnsi="Times New Roman" w:cs="Times New Roman"/>
          <w:color w:val="auto"/>
          <w:sz w:val="24"/>
          <w:szCs w:val="32"/>
          <w:vertAlign w:val="superscript"/>
          <w:lang w:val="en-US" w:eastAsia="zh-CN"/>
        </w:rPr>
        <w:t>##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lang w:val="en-US" w:eastAsia="zh-CN"/>
        </w:rPr>
        <w:t xml:space="preserve">P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&lt; 0.01; compared with the FFA group, 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lang w:val="en-US" w:eastAsia="zh-CN"/>
        </w:rPr>
        <w:t xml:space="preserve">P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&lt; 0.05, 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 xml:space="preserve"> &lt; 0.01.</w:t>
      </w:r>
    </w:p>
    <w:p w14:paraId="02A0260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343D7B27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4</w:t>
      </w:r>
    </w:p>
    <w:p w14:paraId="2CE9F0D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color w:val="0070C0"/>
          <w:sz w:val="24"/>
          <w:szCs w:val="32"/>
          <w:lang w:val="en-US" w:eastAsia="zh-CN"/>
        </w:rPr>
      </w:pPr>
    </w:p>
    <w:p w14:paraId="3F35D5C2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color w:val="0070C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0070C0"/>
          <w:sz w:val="24"/>
          <w:szCs w:val="32"/>
          <w:lang w:val="en-US" w:eastAsia="zh-CN"/>
        </w:rPr>
        <w:drawing>
          <wp:inline distT="0" distB="0" distL="114300" distR="114300">
            <wp:extent cx="1988185" cy="2339975"/>
            <wp:effectExtent l="0" t="0" r="5715" b="9525"/>
            <wp:docPr id="13" name="图片 13" descr="核内FOX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核内FOXO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58111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 xml:space="preserve">Fig S4 Nuclear FOXO1 expression. 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>Data are shown as the means ± SEMs (n=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).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>ompared with the FFA group, *</w:t>
      </w:r>
      <w:r>
        <w:rPr>
          <w:rFonts w:hint="default" w:ascii="Times New Roman" w:hAnsi="Times New Roman" w:cs="Times New Roman" w:eastAsiaTheme="minorEastAsia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&lt; 0.05, **</w:t>
      </w:r>
      <w:r>
        <w:rPr>
          <w:rFonts w:hint="default" w:ascii="Times New Roman" w:hAnsi="Times New Roman" w:cs="Times New Roman" w:eastAsiaTheme="minorEastAsia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&lt; 0.01.</w:t>
      </w:r>
    </w:p>
    <w:p w14:paraId="382A4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66B99B4B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5</w:t>
      </w:r>
    </w:p>
    <w:p w14:paraId="2488EFA6">
      <w:pPr>
        <w:jc w:val="center"/>
        <w:rPr>
          <w:rFonts w:hint="default" w:ascii="Times New Roman" w:hAnsi="Times New Roman" w:cs="Times New Roman"/>
          <w:color w:val="0070C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0070C0"/>
          <w:sz w:val="24"/>
          <w:szCs w:val="24"/>
          <w:lang w:val="en-US" w:eastAsia="zh-CN"/>
        </w:rPr>
        <w:drawing>
          <wp:inline distT="0" distB="0" distL="114300" distR="114300">
            <wp:extent cx="5376545" cy="1548130"/>
            <wp:effectExtent l="0" t="0" r="8255" b="1270"/>
            <wp:docPr id="9" name="图片 9" descr="SCFAs-NPJ补充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CFAs-NPJ补充文件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75523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Fig.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S5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CA modulates fatty acids‌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‌(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) Acetic acid, 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) propionic acid, and 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) butyric acid levels in mouse feces.‌ ‌(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) Correlation analysis between fecal butyric acid content and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Lachnospiraceae_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NK4A136_group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abundance in HFD and CA-H group mice.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Data are shown as the means ± SEMs (n=8). Compared with the HFD group, *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&lt; 0.05, **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&lt; 0.01.</w:t>
      </w:r>
    </w:p>
    <w:p w14:paraId="20B76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67B92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42D25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498EC825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6</w:t>
      </w:r>
    </w:p>
    <w:p w14:paraId="0B0C4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044B5704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Fig. 5A</w:t>
      </w:r>
      <w:r>
        <w:rPr>
          <w:rFonts w:hint="eastAsia" w:ascii="Times New Roman" w:hAnsi="Times New Roman" w:cs="Times New Roman"/>
          <w:color w:val="0070C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70C0"/>
          <w:sz w:val="20"/>
          <w:szCs w:val="22"/>
          <w:lang w:val="en-US" w:eastAsia="zh-CN"/>
        </w:rPr>
        <w:t>Uncropped images for gels and blots.</w:t>
      </w:r>
      <w: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  <w:t xml:space="preserve"> </w:t>
      </w:r>
    </w:p>
    <w:p w14:paraId="3BDE7107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Original scan images are shown for the indicated figure panels, and the red boxes representthe cropped areas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corresponding to the bands presented in the text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. The blue squares denote two additional replicates, making a total of three replicates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Molecular weight markers and the antibodies used are indicated.</w:t>
      </w:r>
    </w:p>
    <w:p w14:paraId="7FDCF9BE">
      <w:pPr>
        <w:jc w:val="center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5609590" cy="4926330"/>
            <wp:effectExtent l="0" t="0" r="0" b="0"/>
            <wp:docPr id="2" name="图片 2" descr="Fig.5A-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5A-WB"/>
                    <pic:cNvPicPr>
                      <a:picLocks noChangeAspect="1"/>
                    </pic:cNvPicPr>
                  </pic:nvPicPr>
                  <pic:blipFill>
                    <a:blip r:embed="rId9"/>
                    <a:srcRect t="3037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92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8487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C90C510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86EA7C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0D1A0F7"/>
    <w:p w14:paraId="3393DCD5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688E9DFF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892929C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AA7A332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7</w:t>
      </w:r>
    </w:p>
    <w:p w14:paraId="198B51F7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DCFFD56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FF5BC8D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Fig. 5D</w:t>
      </w:r>
      <w:r>
        <w:rPr>
          <w:rFonts w:hint="eastAsia" w:ascii="Times New Roman" w:hAnsi="Times New Roman" w:cs="Times New Roman"/>
          <w:color w:val="0070C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70C0"/>
          <w:sz w:val="20"/>
          <w:szCs w:val="22"/>
          <w:lang w:val="en-US" w:eastAsia="zh-CN"/>
        </w:rPr>
        <w:t>Uncropped images for gels and blots.</w:t>
      </w:r>
      <w: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  <w:t xml:space="preserve"> </w:t>
      </w:r>
    </w:p>
    <w:p w14:paraId="4A4E5BCC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Original scan images are shown for the indicated figure panels, and the red boxes representthe cropped areas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corresponding to the bands presented in the text. The blue squares denote two additional replicates, making a total of three replicates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Molecular weight markers and the antibodies used are indicated.</w:t>
      </w:r>
    </w:p>
    <w:p w14:paraId="2B20507A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drawing>
          <wp:inline distT="0" distB="0" distL="114300" distR="114300">
            <wp:extent cx="5610860" cy="5228590"/>
            <wp:effectExtent l="0" t="0" r="12700" b="0"/>
            <wp:docPr id="5" name="图片 5" descr="Fig.5D-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5D-W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5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2E89B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5F56BB3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1BABD39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163FB37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8ED926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20C7A96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3BDE89D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8</w:t>
      </w:r>
    </w:p>
    <w:p w14:paraId="1714891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6FE6E02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Fig. 7A</w:t>
      </w:r>
      <w:r>
        <w:rPr>
          <w:rFonts w:hint="eastAsia" w:ascii="Times New Roman" w:hAnsi="Times New Roman" w:cs="Times New Roman"/>
          <w:color w:val="0070C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70C0"/>
          <w:sz w:val="20"/>
          <w:szCs w:val="22"/>
          <w:lang w:val="en-US" w:eastAsia="zh-CN"/>
        </w:rPr>
        <w:t>Uncropped images for gels and blots.</w:t>
      </w:r>
      <w: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  <w:t xml:space="preserve"> </w:t>
      </w:r>
    </w:p>
    <w:p w14:paraId="4A46896B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Original scan images are shown for the indicated figure panels, and the red boxes representthe cropped areas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corresponding to the bands presented in the text. The blue squares denote two additional replicates, making a total of three replicates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Molecular weight markers and the antibodies used are indicated.</w:t>
      </w:r>
    </w:p>
    <w:p w14:paraId="429EF7E4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drawing>
          <wp:inline distT="0" distB="0" distL="114300" distR="114300">
            <wp:extent cx="5610860" cy="4760595"/>
            <wp:effectExtent l="0" t="0" r="12700" b="9525"/>
            <wp:docPr id="6" name="图片 6" descr="Fig.7A-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7A-W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476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A246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033DF0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9F434C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C1E045B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636B68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8EC9F3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001536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6EA7EE8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9</w:t>
      </w:r>
    </w:p>
    <w:p w14:paraId="5880FB6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593BBE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C9BDC07">
      <w:pP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Fig. 8A</w:t>
      </w:r>
      <w:r>
        <w:rPr>
          <w:rFonts w:hint="eastAsia" w:ascii="Times New Roman" w:hAnsi="Times New Roman" w:cs="Times New Roman"/>
          <w:color w:val="0070C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70C0"/>
          <w:sz w:val="20"/>
          <w:szCs w:val="22"/>
          <w:lang w:val="en-US" w:eastAsia="zh-CN"/>
        </w:rPr>
        <w:t>Uncropped images for gels and blots.</w:t>
      </w:r>
      <w: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  <w:t xml:space="preserve"> </w:t>
      </w:r>
    </w:p>
    <w:p w14:paraId="787B878F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Original scan images are shown for the indicated figure panels, and the red boxes representthe cropped areas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corresponding to the bands presented in the text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. The blue squares denote two additional replicates, making a total of three replicates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Molecular weight markers and the antibodies used are indicated.</w:t>
      </w:r>
    </w:p>
    <w:p w14:paraId="1C70038E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drawing>
          <wp:inline distT="0" distB="0" distL="114300" distR="114300">
            <wp:extent cx="5614670" cy="4846320"/>
            <wp:effectExtent l="0" t="0" r="8890" b="0"/>
            <wp:docPr id="7" name="图片 7" descr="Fig.8A-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8A-W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7C20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645DE0F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D9EF072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8D20645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1E774E91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F673100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40FAA3C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181C3ED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C9CF7CE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10</w:t>
      </w:r>
    </w:p>
    <w:p w14:paraId="378FE6BB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3F3171A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 9A </w:t>
      </w:r>
      <w:r>
        <w:rPr>
          <w:rFonts w:hint="default" w:ascii="Times New Roman" w:hAnsi="Times New Roman" w:cs="Times New Roman"/>
          <w:b/>
          <w:bCs/>
          <w:color w:val="0070C0"/>
          <w:sz w:val="20"/>
          <w:szCs w:val="22"/>
          <w:lang w:val="en-US" w:eastAsia="zh-CN"/>
        </w:rPr>
        <w:t>Uncropped images for gels and blots.</w:t>
      </w:r>
      <w: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  <w:t xml:space="preserve"> </w:t>
      </w:r>
    </w:p>
    <w:p w14:paraId="44B832CD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Original scan images are shown for the indicated figure panels, and the red boxes representthe cropped areas. Molecular weight markers and the antibodies used are indicated.</w:t>
      </w:r>
    </w:p>
    <w:p w14:paraId="4B7EC26A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5609590" cy="4564380"/>
            <wp:effectExtent l="0" t="0" r="13970" b="7620"/>
            <wp:docPr id="4" name="图片 4" descr="Fig.9A-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9A-W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05C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C3687A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B34093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61308A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9BDB6F6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DDBB43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D124DA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5670AF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A1D459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D54B394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2509B5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2E67DDA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Supplementary Figure 11</w:t>
      </w:r>
    </w:p>
    <w:p w14:paraId="7C48A193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5101014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Fig. S4 </w:t>
      </w:r>
      <w:r>
        <w:rPr>
          <w:rFonts w:hint="default" w:ascii="Times New Roman" w:hAnsi="Times New Roman" w:cs="Times New Roman"/>
          <w:b/>
          <w:bCs/>
          <w:color w:val="0070C0"/>
          <w:sz w:val="20"/>
          <w:szCs w:val="22"/>
          <w:lang w:val="en-US" w:eastAsia="zh-CN"/>
        </w:rPr>
        <w:t>Uncropped images for gels and blots.</w:t>
      </w:r>
      <w:r>
        <w:rPr>
          <w:rFonts w:hint="default" w:ascii="Times New Roman" w:hAnsi="Times New Roman" w:cs="Times New Roman"/>
          <w:b w:val="0"/>
          <w:bCs w:val="0"/>
          <w:sz w:val="20"/>
          <w:szCs w:val="22"/>
          <w:lang w:val="en-US" w:eastAsia="zh-CN"/>
        </w:rPr>
        <w:t xml:space="preserve"> </w:t>
      </w:r>
    </w:p>
    <w:p w14:paraId="631B8C20">
      <w:pP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Original scan images are shown for the indicated figure panels, and the red boxes representthe cropped areas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corresponding to the bands presented in the text. The blue squares denote two additional replicates, making a total of three replicates</w:t>
      </w:r>
      <w:r>
        <w:rPr>
          <w:rFonts w:hint="eastAsia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color w:val="0070C0"/>
          <w:sz w:val="20"/>
          <w:szCs w:val="22"/>
          <w:lang w:val="en-US" w:eastAsia="zh-CN"/>
        </w:rPr>
        <w:t>Molecular weight markers and the antibodies used are indicated.</w:t>
      </w:r>
    </w:p>
    <w:p w14:paraId="3D0748D8">
      <w:pPr>
        <w:jc w:val="center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4849495" cy="7451725"/>
            <wp:effectExtent l="0" t="0" r="12065" b="635"/>
            <wp:docPr id="8" name="图片 8" descr="Fig.S2C-W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S2C-W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949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B9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lnNumType w:countBy="0"/>
      <w:cols w:space="425" w:num="1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iZmZiZGUwNjFjNjdmMjc2Yzk3NTk4NmQ5ZmUwMTgifQ=="/>
    <w:docVar w:name="EN.Layout" w:val="&lt;ENLayout&gt;&lt;Style&gt;Journal of Advanced Researc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zeevapcrzdr2erx9mxwv5qwppfaxfef2xp&quot;&gt;My EndNote Library&lt;record-ids&gt;&lt;item&gt;84&lt;/item&gt;&lt;item&gt;85&lt;/item&gt;&lt;/record-ids&gt;&lt;/item&gt;&lt;/Libraries&gt;"/>
  </w:docVars>
  <w:rsids>
    <w:rsidRoot w:val="00000000"/>
    <w:rsid w:val="00215AA4"/>
    <w:rsid w:val="003B72B7"/>
    <w:rsid w:val="007C2CDB"/>
    <w:rsid w:val="00893649"/>
    <w:rsid w:val="00EA61AD"/>
    <w:rsid w:val="012375FA"/>
    <w:rsid w:val="016D6AC7"/>
    <w:rsid w:val="018502B5"/>
    <w:rsid w:val="01BF452C"/>
    <w:rsid w:val="021C29C7"/>
    <w:rsid w:val="02697479"/>
    <w:rsid w:val="026F55A0"/>
    <w:rsid w:val="028C11CF"/>
    <w:rsid w:val="02CB619B"/>
    <w:rsid w:val="02FA2695"/>
    <w:rsid w:val="0314369E"/>
    <w:rsid w:val="031B5571"/>
    <w:rsid w:val="038D1478"/>
    <w:rsid w:val="0397607D"/>
    <w:rsid w:val="03E91D32"/>
    <w:rsid w:val="044D5ABA"/>
    <w:rsid w:val="051A6F66"/>
    <w:rsid w:val="057B0D93"/>
    <w:rsid w:val="05F3629B"/>
    <w:rsid w:val="062F259D"/>
    <w:rsid w:val="063C1029"/>
    <w:rsid w:val="064547A2"/>
    <w:rsid w:val="06C44EC6"/>
    <w:rsid w:val="06DC0977"/>
    <w:rsid w:val="06E8731C"/>
    <w:rsid w:val="06EB0BBA"/>
    <w:rsid w:val="06F7130D"/>
    <w:rsid w:val="074052C1"/>
    <w:rsid w:val="077A77AB"/>
    <w:rsid w:val="07F27D26"/>
    <w:rsid w:val="081A69DD"/>
    <w:rsid w:val="08BD0334"/>
    <w:rsid w:val="08E64350"/>
    <w:rsid w:val="08ED45E1"/>
    <w:rsid w:val="09173EE8"/>
    <w:rsid w:val="0923239E"/>
    <w:rsid w:val="095D2ABA"/>
    <w:rsid w:val="09AD03A9"/>
    <w:rsid w:val="09E72E79"/>
    <w:rsid w:val="0A252E0F"/>
    <w:rsid w:val="0A492856"/>
    <w:rsid w:val="0A606AC8"/>
    <w:rsid w:val="0A9D22D5"/>
    <w:rsid w:val="0B5A00BC"/>
    <w:rsid w:val="0B5F1B77"/>
    <w:rsid w:val="0B9E71AD"/>
    <w:rsid w:val="0BAE0408"/>
    <w:rsid w:val="0BC92ABA"/>
    <w:rsid w:val="0C113362"/>
    <w:rsid w:val="0C2508A4"/>
    <w:rsid w:val="0C6F5DE9"/>
    <w:rsid w:val="0CA44151"/>
    <w:rsid w:val="0CB87790"/>
    <w:rsid w:val="0D605732"/>
    <w:rsid w:val="0EF44384"/>
    <w:rsid w:val="0F284CDC"/>
    <w:rsid w:val="0F696B20"/>
    <w:rsid w:val="0F786989"/>
    <w:rsid w:val="0FA15A90"/>
    <w:rsid w:val="0FBA3F7E"/>
    <w:rsid w:val="106363A6"/>
    <w:rsid w:val="118E6618"/>
    <w:rsid w:val="12452A1E"/>
    <w:rsid w:val="125D3BE1"/>
    <w:rsid w:val="13337B71"/>
    <w:rsid w:val="13B62550"/>
    <w:rsid w:val="140908D1"/>
    <w:rsid w:val="14385EE1"/>
    <w:rsid w:val="14547385"/>
    <w:rsid w:val="149F4D92"/>
    <w:rsid w:val="14BB4790"/>
    <w:rsid w:val="14C60571"/>
    <w:rsid w:val="14F90946"/>
    <w:rsid w:val="15273705"/>
    <w:rsid w:val="158C6FEE"/>
    <w:rsid w:val="16105B9B"/>
    <w:rsid w:val="161D68B6"/>
    <w:rsid w:val="164D719B"/>
    <w:rsid w:val="165A18B8"/>
    <w:rsid w:val="17027462"/>
    <w:rsid w:val="171C025B"/>
    <w:rsid w:val="17285513"/>
    <w:rsid w:val="173B5246"/>
    <w:rsid w:val="17470CFF"/>
    <w:rsid w:val="180A0D7A"/>
    <w:rsid w:val="18511F7B"/>
    <w:rsid w:val="188A61DA"/>
    <w:rsid w:val="18AF19D9"/>
    <w:rsid w:val="196A2016"/>
    <w:rsid w:val="19A35324"/>
    <w:rsid w:val="19CE6112"/>
    <w:rsid w:val="19DB686C"/>
    <w:rsid w:val="19DF31C9"/>
    <w:rsid w:val="1A1104E0"/>
    <w:rsid w:val="1A5B79AD"/>
    <w:rsid w:val="1AC3260D"/>
    <w:rsid w:val="1B09565B"/>
    <w:rsid w:val="1B4346C9"/>
    <w:rsid w:val="1C4C3A51"/>
    <w:rsid w:val="1C4E71F9"/>
    <w:rsid w:val="1C5F22DF"/>
    <w:rsid w:val="1CC25AC1"/>
    <w:rsid w:val="1CD51C99"/>
    <w:rsid w:val="1D2B3667"/>
    <w:rsid w:val="1D3E15EC"/>
    <w:rsid w:val="1D92602F"/>
    <w:rsid w:val="1E024400"/>
    <w:rsid w:val="1E067C30"/>
    <w:rsid w:val="1E3B3175"/>
    <w:rsid w:val="1F2C3C4B"/>
    <w:rsid w:val="1F5A5C70"/>
    <w:rsid w:val="1F777037"/>
    <w:rsid w:val="1F8E4729"/>
    <w:rsid w:val="20222B64"/>
    <w:rsid w:val="20E029BA"/>
    <w:rsid w:val="20EC75B1"/>
    <w:rsid w:val="210A1820"/>
    <w:rsid w:val="21D73DBD"/>
    <w:rsid w:val="21E87D78"/>
    <w:rsid w:val="2238786B"/>
    <w:rsid w:val="22A80826"/>
    <w:rsid w:val="230E380E"/>
    <w:rsid w:val="2318468D"/>
    <w:rsid w:val="234E6301"/>
    <w:rsid w:val="23526D43"/>
    <w:rsid w:val="23712A6C"/>
    <w:rsid w:val="23BE3486"/>
    <w:rsid w:val="2422010C"/>
    <w:rsid w:val="242C4066"/>
    <w:rsid w:val="24E04D0A"/>
    <w:rsid w:val="257A493E"/>
    <w:rsid w:val="25D24FC7"/>
    <w:rsid w:val="25FF38E2"/>
    <w:rsid w:val="261B6799"/>
    <w:rsid w:val="263A48FF"/>
    <w:rsid w:val="26571970"/>
    <w:rsid w:val="26E256DE"/>
    <w:rsid w:val="27BA52D3"/>
    <w:rsid w:val="27E86D24"/>
    <w:rsid w:val="28411A4B"/>
    <w:rsid w:val="28491F2C"/>
    <w:rsid w:val="29164047"/>
    <w:rsid w:val="29272FC4"/>
    <w:rsid w:val="29656AA5"/>
    <w:rsid w:val="296F364D"/>
    <w:rsid w:val="29A83D56"/>
    <w:rsid w:val="2A024282"/>
    <w:rsid w:val="2A5341FD"/>
    <w:rsid w:val="2A882319"/>
    <w:rsid w:val="2AF505FC"/>
    <w:rsid w:val="2B210D9B"/>
    <w:rsid w:val="2BFC36DF"/>
    <w:rsid w:val="2C4426A7"/>
    <w:rsid w:val="2C8D7E9A"/>
    <w:rsid w:val="2CCE3A48"/>
    <w:rsid w:val="2CE64742"/>
    <w:rsid w:val="2D560DCD"/>
    <w:rsid w:val="2EA87FC4"/>
    <w:rsid w:val="2EB972D1"/>
    <w:rsid w:val="2EBD7AB6"/>
    <w:rsid w:val="2EBF6305"/>
    <w:rsid w:val="2EDB05B4"/>
    <w:rsid w:val="2FE06D08"/>
    <w:rsid w:val="302C1778"/>
    <w:rsid w:val="30315337"/>
    <w:rsid w:val="303B5E5F"/>
    <w:rsid w:val="306C7DC6"/>
    <w:rsid w:val="30EA1835"/>
    <w:rsid w:val="30F5600E"/>
    <w:rsid w:val="31F64758"/>
    <w:rsid w:val="32786EF6"/>
    <w:rsid w:val="328362FF"/>
    <w:rsid w:val="32891103"/>
    <w:rsid w:val="32F35500"/>
    <w:rsid w:val="33040D57"/>
    <w:rsid w:val="3331492B"/>
    <w:rsid w:val="33344C53"/>
    <w:rsid w:val="33EB28F2"/>
    <w:rsid w:val="33F7209D"/>
    <w:rsid w:val="3445105A"/>
    <w:rsid w:val="34C226AB"/>
    <w:rsid w:val="351D1FD7"/>
    <w:rsid w:val="353C06AF"/>
    <w:rsid w:val="35CD7559"/>
    <w:rsid w:val="364B047F"/>
    <w:rsid w:val="36617CA1"/>
    <w:rsid w:val="36D36DF1"/>
    <w:rsid w:val="36E770BD"/>
    <w:rsid w:val="37992701"/>
    <w:rsid w:val="37C14E9C"/>
    <w:rsid w:val="37D7646D"/>
    <w:rsid w:val="37F91DFC"/>
    <w:rsid w:val="381B27FE"/>
    <w:rsid w:val="38B8629F"/>
    <w:rsid w:val="38BC6C05"/>
    <w:rsid w:val="38CF5396"/>
    <w:rsid w:val="38F20430"/>
    <w:rsid w:val="39700927"/>
    <w:rsid w:val="39D51CFD"/>
    <w:rsid w:val="3A0E558F"/>
    <w:rsid w:val="3A2F07E2"/>
    <w:rsid w:val="3AB424E8"/>
    <w:rsid w:val="3AD76025"/>
    <w:rsid w:val="3B3911ED"/>
    <w:rsid w:val="3B851508"/>
    <w:rsid w:val="3B862684"/>
    <w:rsid w:val="3BBA232E"/>
    <w:rsid w:val="3C636521"/>
    <w:rsid w:val="3CBC6631"/>
    <w:rsid w:val="3D0B2547"/>
    <w:rsid w:val="3D2140C0"/>
    <w:rsid w:val="3D347EA3"/>
    <w:rsid w:val="3D424389"/>
    <w:rsid w:val="3D4445A5"/>
    <w:rsid w:val="3D9463E0"/>
    <w:rsid w:val="3E410CD8"/>
    <w:rsid w:val="3E6E662A"/>
    <w:rsid w:val="3EE020AB"/>
    <w:rsid w:val="3EE05220"/>
    <w:rsid w:val="3F5D36FC"/>
    <w:rsid w:val="3F661D5A"/>
    <w:rsid w:val="3FF54B72"/>
    <w:rsid w:val="3FF75270"/>
    <w:rsid w:val="400E49F6"/>
    <w:rsid w:val="411C3143"/>
    <w:rsid w:val="4226532F"/>
    <w:rsid w:val="423A7198"/>
    <w:rsid w:val="42507548"/>
    <w:rsid w:val="42A72EE0"/>
    <w:rsid w:val="42A87384"/>
    <w:rsid w:val="42BB4016"/>
    <w:rsid w:val="42FE5538"/>
    <w:rsid w:val="436C03B1"/>
    <w:rsid w:val="442B201A"/>
    <w:rsid w:val="444C656B"/>
    <w:rsid w:val="44C22253"/>
    <w:rsid w:val="450308A1"/>
    <w:rsid w:val="4541761C"/>
    <w:rsid w:val="45D65FB4"/>
    <w:rsid w:val="45EC57D9"/>
    <w:rsid w:val="45F3162E"/>
    <w:rsid w:val="46CF4788"/>
    <w:rsid w:val="46EE3094"/>
    <w:rsid w:val="47425036"/>
    <w:rsid w:val="475207B5"/>
    <w:rsid w:val="477535AD"/>
    <w:rsid w:val="47A3011A"/>
    <w:rsid w:val="48054931"/>
    <w:rsid w:val="48A36A82"/>
    <w:rsid w:val="49675177"/>
    <w:rsid w:val="497E4801"/>
    <w:rsid w:val="498961BD"/>
    <w:rsid w:val="49AD702E"/>
    <w:rsid w:val="49C358AF"/>
    <w:rsid w:val="49C76CAB"/>
    <w:rsid w:val="4A3414FD"/>
    <w:rsid w:val="4AB60164"/>
    <w:rsid w:val="4ABC2573"/>
    <w:rsid w:val="4ADA20A4"/>
    <w:rsid w:val="4B5160DF"/>
    <w:rsid w:val="4B8244EA"/>
    <w:rsid w:val="4BB70638"/>
    <w:rsid w:val="4BB9610C"/>
    <w:rsid w:val="4BFF3767"/>
    <w:rsid w:val="4C066EC9"/>
    <w:rsid w:val="4C0F46CC"/>
    <w:rsid w:val="4C4243A5"/>
    <w:rsid w:val="4C4A063D"/>
    <w:rsid w:val="4D047266"/>
    <w:rsid w:val="4D211BAD"/>
    <w:rsid w:val="4D5916A8"/>
    <w:rsid w:val="4DEC7798"/>
    <w:rsid w:val="4E472389"/>
    <w:rsid w:val="4E47556D"/>
    <w:rsid w:val="4EBB3AF4"/>
    <w:rsid w:val="4ECB49FA"/>
    <w:rsid w:val="4F64390E"/>
    <w:rsid w:val="50335A38"/>
    <w:rsid w:val="50940F47"/>
    <w:rsid w:val="509C6EF6"/>
    <w:rsid w:val="515C3A4F"/>
    <w:rsid w:val="51942866"/>
    <w:rsid w:val="51B318A1"/>
    <w:rsid w:val="520420FD"/>
    <w:rsid w:val="52B501A7"/>
    <w:rsid w:val="52CD24EF"/>
    <w:rsid w:val="52D13764"/>
    <w:rsid w:val="539A76E2"/>
    <w:rsid w:val="53A92F5C"/>
    <w:rsid w:val="53C77F58"/>
    <w:rsid w:val="541A5C08"/>
    <w:rsid w:val="545953C0"/>
    <w:rsid w:val="546B510A"/>
    <w:rsid w:val="54CE6A47"/>
    <w:rsid w:val="54D758A7"/>
    <w:rsid w:val="56703254"/>
    <w:rsid w:val="567F46A5"/>
    <w:rsid w:val="58782D8B"/>
    <w:rsid w:val="58B8779D"/>
    <w:rsid w:val="58E80544"/>
    <w:rsid w:val="59C54684"/>
    <w:rsid w:val="59F81AAA"/>
    <w:rsid w:val="5A7476F4"/>
    <w:rsid w:val="5B0B0058"/>
    <w:rsid w:val="5BA04C44"/>
    <w:rsid w:val="5BC522E3"/>
    <w:rsid w:val="5BEF797A"/>
    <w:rsid w:val="5C0F5926"/>
    <w:rsid w:val="5C3C2330"/>
    <w:rsid w:val="5C631477"/>
    <w:rsid w:val="5C7F2AAC"/>
    <w:rsid w:val="5C8956D8"/>
    <w:rsid w:val="5C9E3955"/>
    <w:rsid w:val="5CA22C3E"/>
    <w:rsid w:val="5D0336DD"/>
    <w:rsid w:val="5EB17A88"/>
    <w:rsid w:val="5F8605F5"/>
    <w:rsid w:val="5F8E1258"/>
    <w:rsid w:val="5F944E2E"/>
    <w:rsid w:val="60503F00"/>
    <w:rsid w:val="60D43015"/>
    <w:rsid w:val="60EC4488"/>
    <w:rsid w:val="613305B2"/>
    <w:rsid w:val="61690122"/>
    <w:rsid w:val="61A304D2"/>
    <w:rsid w:val="61C43B53"/>
    <w:rsid w:val="61D218D0"/>
    <w:rsid w:val="61E11B13"/>
    <w:rsid w:val="61EF54AA"/>
    <w:rsid w:val="621168AD"/>
    <w:rsid w:val="6316638F"/>
    <w:rsid w:val="63565577"/>
    <w:rsid w:val="6370314E"/>
    <w:rsid w:val="639D4F8D"/>
    <w:rsid w:val="640B2E77"/>
    <w:rsid w:val="646D58E0"/>
    <w:rsid w:val="64854875"/>
    <w:rsid w:val="64DA7677"/>
    <w:rsid w:val="64F41B5D"/>
    <w:rsid w:val="652F248C"/>
    <w:rsid w:val="65375E43"/>
    <w:rsid w:val="65890AD6"/>
    <w:rsid w:val="65D57BE0"/>
    <w:rsid w:val="65EC0A86"/>
    <w:rsid w:val="66ED0F5A"/>
    <w:rsid w:val="67264E20"/>
    <w:rsid w:val="673646AF"/>
    <w:rsid w:val="676A0F59"/>
    <w:rsid w:val="67731A8A"/>
    <w:rsid w:val="67C04BAB"/>
    <w:rsid w:val="68440610"/>
    <w:rsid w:val="68A07F7A"/>
    <w:rsid w:val="68C161FA"/>
    <w:rsid w:val="68E343C2"/>
    <w:rsid w:val="69197813"/>
    <w:rsid w:val="691E189E"/>
    <w:rsid w:val="695734A5"/>
    <w:rsid w:val="697E3764"/>
    <w:rsid w:val="69E77C16"/>
    <w:rsid w:val="69F820EF"/>
    <w:rsid w:val="6B0B2AC5"/>
    <w:rsid w:val="6B0E3942"/>
    <w:rsid w:val="6B6A2B79"/>
    <w:rsid w:val="6BA936A1"/>
    <w:rsid w:val="6C2D4839"/>
    <w:rsid w:val="6C710D22"/>
    <w:rsid w:val="6C7424CA"/>
    <w:rsid w:val="6CB56076"/>
    <w:rsid w:val="6CB87914"/>
    <w:rsid w:val="6CEE3336"/>
    <w:rsid w:val="6D087EBD"/>
    <w:rsid w:val="6D675D52"/>
    <w:rsid w:val="6D691B47"/>
    <w:rsid w:val="6E9827B8"/>
    <w:rsid w:val="6EA6036C"/>
    <w:rsid w:val="6ED060E7"/>
    <w:rsid w:val="6ED6446B"/>
    <w:rsid w:val="6ED76777"/>
    <w:rsid w:val="6EFF7A7C"/>
    <w:rsid w:val="6F255616"/>
    <w:rsid w:val="6F496C6E"/>
    <w:rsid w:val="6F593392"/>
    <w:rsid w:val="6F6349CE"/>
    <w:rsid w:val="6FD94246"/>
    <w:rsid w:val="700160BD"/>
    <w:rsid w:val="701E3F32"/>
    <w:rsid w:val="703B5423"/>
    <w:rsid w:val="706406DD"/>
    <w:rsid w:val="70D016D0"/>
    <w:rsid w:val="70F57389"/>
    <w:rsid w:val="71025602"/>
    <w:rsid w:val="71616797"/>
    <w:rsid w:val="71630796"/>
    <w:rsid w:val="719E532A"/>
    <w:rsid w:val="71CF1988"/>
    <w:rsid w:val="72037883"/>
    <w:rsid w:val="72161365"/>
    <w:rsid w:val="72BF1DF3"/>
    <w:rsid w:val="72FA0C86"/>
    <w:rsid w:val="730F1B23"/>
    <w:rsid w:val="73463ECB"/>
    <w:rsid w:val="73F6715C"/>
    <w:rsid w:val="747F7695"/>
    <w:rsid w:val="749649DF"/>
    <w:rsid w:val="74E475FE"/>
    <w:rsid w:val="750E27C7"/>
    <w:rsid w:val="757610B5"/>
    <w:rsid w:val="75907A1B"/>
    <w:rsid w:val="75986535"/>
    <w:rsid w:val="759C7401"/>
    <w:rsid w:val="75F91674"/>
    <w:rsid w:val="76554432"/>
    <w:rsid w:val="77601679"/>
    <w:rsid w:val="78100266"/>
    <w:rsid w:val="78947487"/>
    <w:rsid w:val="78A07BDA"/>
    <w:rsid w:val="78D624A8"/>
    <w:rsid w:val="79147F3A"/>
    <w:rsid w:val="79490272"/>
    <w:rsid w:val="79D044EF"/>
    <w:rsid w:val="7A5D1198"/>
    <w:rsid w:val="7A7C38C7"/>
    <w:rsid w:val="7B5F5362"/>
    <w:rsid w:val="7B752E6E"/>
    <w:rsid w:val="7B937ECA"/>
    <w:rsid w:val="7C0D60C5"/>
    <w:rsid w:val="7C8810B1"/>
    <w:rsid w:val="7CF63FFC"/>
    <w:rsid w:val="7D4B47F7"/>
    <w:rsid w:val="7DC10D1E"/>
    <w:rsid w:val="7E7A2C7B"/>
    <w:rsid w:val="7E9B253B"/>
    <w:rsid w:val="7FA93818"/>
    <w:rsid w:val="7FFB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table" w:customStyle="1" w:styleId="11">
    <w:name w:val="网格型1"/>
    <w:basedOn w:val="5"/>
    <w:qFormat/>
    <w:uiPriority w:val="0"/>
    <w:rPr>
      <w:rFonts w:ascii="等线" w:hAnsi="等线" w:eastAsia="等线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图"/>
    <w:basedOn w:val="1"/>
    <w:qFormat/>
    <w:uiPriority w:val="0"/>
    <w:pPr>
      <w:autoSpaceDE w:val="0"/>
      <w:autoSpaceDN w:val="0"/>
      <w:adjustRightInd w:val="0"/>
      <w:spacing w:line="360" w:lineRule="auto"/>
    </w:pPr>
    <w:rPr>
      <w:rFonts w:ascii="Times New Roman" w:hAnsi="Times New Roman" w:eastAsia="宋体" w:cs="宋体"/>
      <w:kern w:val="0"/>
      <w:sz w:val="24"/>
      <w:szCs w:val="24"/>
    </w:rPr>
  </w:style>
  <w:style w:type="paragraph" w:customStyle="1" w:styleId="13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14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15">
    <w:name w:val="FA_Corresponding_Author_Footnote"/>
    <w:basedOn w:val="1"/>
    <w:next w:val="16"/>
    <w:qFormat/>
    <w:uiPriority w:val="0"/>
    <w:pPr>
      <w:spacing w:line="480" w:lineRule="auto"/>
    </w:pPr>
  </w:style>
  <w:style w:type="paragraph" w:customStyle="1" w:styleId="16">
    <w:name w:val="TA_Main_Text"/>
    <w:basedOn w:val="1"/>
    <w:qFormat/>
    <w:uiPriority w:val="0"/>
    <w:pPr>
      <w:spacing w:after="0" w:line="480" w:lineRule="auto"/>
      <w:ind w:firstLine="202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939</Words>
  <Characters>5604</Characters>
  <Lines>0</Lines>
  <Paragraphs>0</Paragraphs>
  <TotalTime>0</TotalTime>
  <ScaleCrop>false</ScaleCrop>
  <LinksUpToDate>false</LinksUpToDate>
  <CharactersWithSpaces>6335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2024-09-03T06:44:00Z</dcterms:created>
  <dc:creator>wxr520</dc:creator>
  <cp:lastModifiedBy>Ares_Lee</cp:lastModifiedBy>
  <dcterms:modified xsi:type="dcterms:W3CDTF">2026-02-22T14:03:47Z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73BA24419A624A9782698109A0BD2C58_13</vt:lpwstr>
  </property>
  <property fmtid="{D5CDD505-2E9C-101B-9397-08002B2CF9AE}" pid="4" name="KSOTemplateDocerSaveRecord">
    <vt:lpwstr>eyJoZGlkIjoiYzMxMTdlNjQ2MGRiODI5MTlhYjA5NzI2NTc4NGI3YzgiLCJ1c2VySWQiOiIxNjYzMDE5ODk2In0=</vt:lpwstr>
  </property>
</Properties>
</file>