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F6BF2" w14:textId="109CFE9C" w:rsidR="003536E2" w:rsidRPr="00CE31A4" w:rsidRDefault="003536E2" w:rsidP="003536E2">
      <w:pPr>
        <w:spacing w:after="0"/>
        <w:jc w:val="both"/>
        <w:rPr>
          <w:rFonts w:ascii="Times New Roman" w:hAnsi="Times New Roman"/>
        </w:rPr>
      </w:pPr>
      <w:r w:rsidRPr="00A93277">
        <w:rPr>
          <w:rFonts w:ascii="Times New Roman" w:hAnsi="Times New Roman"/>
          <w:b/>
        </w:rPr>
        <w:t xml:space="preserve">Table </w:t>
      </w:r>
      <w:r w:rsidR="00CE31A4">
        <w:rPr>
          <w:rFonts w:ascii="Times New Roman" w:hAnsi="Times New Roman"/>
          <w:b/>
        </w:rPr>
        <w:t>S2</w:t>
      </w:r>
      <w:r w:rsidRPr="00A93277">
        <w:rPr>
          <w:rFonts w:ascii="Times New Roman" w:hAnsi="Times New Roman"/>
          <w:b/>
        </w:rPr>
        <w:t xml:space="preserve">: </w:t>
      </w:r>
      <w:r w:rsidR="00CE31A4" w:rsidRPr="00CE31A4">
        <w:rPr>
          <w:rFonts w:ascii="Times New Roman" w:hAnsi="Times New Roman"/>
          <w:i/>
        </w:rPr>
        <w:t>E. coli</w:t>
      </w:r>
      <w:r w:rsidR="00CE31A4" w:rsidRPr="00CE31A4">
        <w:rPr>
          <w:rFonts w:ascii="Times New Roman" w:hAnsi="Times New Roman"/>
        </w:rPr>
        <w:t xml:space="preserve"> operons with positive and negative autoregulation</w:t>
      </w:r>
      <w:r w:rsidR="00CE31A4">
        <w:rPr>
          <w:rFonts w:ascii="Times New Roman" w:hAnsi="Times New Roman"/>
        </w:rPr>
        <w:t>.</w:t>
      </w:r>
    </w:p>
    <w:p w14:paraId="6E6CF435" w14:textId="77777777" w:rsidR="003536E2" w:rsidRDefault="003536E2" w:rsidP="003536E2">
      <w:pPr>
        <w:spacing w:after="0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1364"/>
        <w:gridCol w:w="1756"/>
        <w:gridCol w:w="2793"/>
        <w:gridCol w:w="2387"/>
      </w:tblGrid>
      <w:tr w:rsidR="00CE31A4" w:rsidRPr="00FF0D52" w14:paraId="3083E459" w14:textId="77777777" w:rsidTr="00CE31A4">
        <w:tc>
          <w:tcPr>
            <w:tcW w:w="1364" w:type="dxa"/>
            <w:tcBorders>
              <w:top w:val="single" w:sz="12" w:space="0" w:color="0000FF"/>
              <w:left w:val="nil"/>
              <w:bottom w:val="single" w:sz="12" w:space="0" w:color="0000FF"/>
              <w:right w:val="nil"/>
            </w:tcBorders>
            <w:shd w:val="clear" w:color="auto" w:fill="auto"/>
          </w:tcPr>
          <w:p w14:paraId="64E19887" w14:textId="1B77C567" w:rsidR="003536E2" w:rsidRPr="00FF0D52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Regulator</w:t>
            </w:r>
            <w:r w:rsidRPr="00CE31A4">
              <w:rPr>
                <w:rFonts w:ascii="Times New Roman" w:hAnsi="Times New Roman"/>
                <w:vertAlign w:val="superscript"/>
              </w:rPr>
              <w:t>1,2</w:t>
            </w:r>
          </w:p>
        </w:tc>
        <w:tc>
          <w:tcPr>
            <w:tcW w:w="1756" w:type="dxa"/>
            <w:tcBorders>
              <w:top w:val="single" w:sz="12" w:space="0" w:color="0000FF"/>
              <w:left w:val="nil"/>
              <w:bottom w:val="single" w:sz="12" w:space="0" w:color="0000FF"/>
              <w:right w:val="nil"/>
            </w:tcBorders>
            <w:shd w:val="clear" w:color="auto" w:fill="auto"/>
          </w:tcPr>
          <w:p w14:paraId="3DA555E0" w14:textId="438FB33F" w:rsidR="003536E2" w:rsidRPr="00FF0D52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Operon</w:t>
            </w:r>
          </w:p>
        </w:tc>
        <w:tc>
          <w:tcPr>
            <w:tcW w:w="2793" w:type="dxa"/>
            <w:tcBorders>
              <w:top w:val="single" w:sz="12" w:space="0" w:color="0000FF"/>
              <w:left w:val="nil"/>
              <w:bottom w:val="single" w:sz="12" w:space="0" w:color="0000FF"/>
              <w:right w:val="nil"/>
            </w:tcBorders>
            <w:shd w:val="clear" w:color="auto" w:fill="auto"/>
          </w:tcPr>
          <w:p w14:paraId="0ADC3C42" w14:textId="70426269" w:rsidR="003536E2" w:rsidRPr="00FF0D52" w:rsidRDefault="0099532E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Description</w:t>
            </w:r>
          </w:p>
        </w:tc>
        <w:tc>
          <w:tcPr>
            <w:tcW w:w="2387" w:type="dxa"/>
            <w:tcBorders>
              <w:top w:val="single" w:sz="12" w:space="0" w:color="0000FF"/>
              <w:left w:val="nil"/>
              <w:bottom w:val="single" w:sz="12" w:space="0" w:color="0000FF"/>
              <w:right w:val="nil"/>
            </w:tcBorders>
            <w:shd w:val="clear" w:color="auto" w:fill="auto"/>
          </w:tcPr>
          <w:p w14:paraId="3E006733" w14:textId="1CDF2BA8" w:rsidR="00CE31A4" w:rsidRPr="009B4477" w:rsidRDefault="00CE31A4" w:rsidP="009B4477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Molecular</w:t>
            </w:r>
            <w:r w:rsidR="009B447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implementation</w:t>
            </w:r>
            <w:r w:rsidRPr="00CE31A4">
              <w:rPr>
                <w:rFonts w:ascii="Times New Roman" w:hAnsi="Times New Roman"/>
                <w:vertAlign w:val="superscript"/>
              </w:rPr>
              <w:t>3</w:t>
            </w:r>
          </w:p>
        </w:tc>
      </w:tr>
      <w:tr w:rsidR="00CE31A4" w:rsidRPr="00FF0D52" w14:paraId="2FFC864C" w14:textId="77777777" w:rsidTr="00CE31A4">
        <w:tc>
          <w:tcPr>
            <w:tcW w:w="1364" w:type="dxa"/>
            <w:tcBorders>
              <w:top w:val="single" w:sz="12" w:space="0" w:color="0000FF"/>
              <w:left w:val="nil"/>
              <w:bottom w:val="nil"/>
              <w:right w:val="nil"/>
            </w:tcBorders>
            <w:shd w:val="clear" w:color="auto" w:fill="auto"/>
          </w:tcPr>
          <w:p w14:paraId="4EDBF57C" w14:textId="1CB6D5F5" w:rsidR="003536E2" w:rsidRPr="00CE31A4" w:rsidRDefault="00CE31A4" w:rsidP="00F419A6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ChbR</w:t>
            </w:r>
          </w:p>
        </w:tc>
        <w:tc>
          <w:tcPr>
            <w:tcW w:w="1756" w:type="dxa"/>
            <w:tcBorders>
              <w:top w:val="single" w:sz="12" w:space="0" w:color="0000FF"/>
              <w:left w:val="nil"/>
              <w:bottom w:val="nil"/>
              <w:right w:val="nil"/>
            </w:tcBorders>
            <w:shd w:val="clear" w:color="auto" w:fill="auto"/>
          </w:tcPr>
          <w:p w14:paraId="67657701" w14:textId="65E0FAA3" w:rsidR="003536E2" w:rsidRPr="00CE31A4" w:rsidRDefault="00CE31A4" w:rsidP="00F419A6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CE31A4">
              <w:rPr>
                <w:rFonts w:ascii="Times New Roman" w:hAnsi="Times New Roman"/>
                <w:i/>
              </w:rPr>
              <w:t>chbBCARFG</w:t>
            </w:r>
          </w:p>
        </w:tc>
        <w:tc>
          <w:tcPr>
            <w:tcW w:w="2793" w:type="dxa"/>
            <w:tcBorders>
              <w:top w:val="single" w:sz="12" w:space="0" w:color="0000FF"/>
              <w:left w:val="nil"/>
              <w:bottom w:val="nil"/>
              <w:right w:val="nil"/>
            </w:tcBorders>
            <w:shd w:val="clear" w:color="auto" w:fill="auto"/>
          </w:tcPr>
          <w:p w14:paraId="3A933CDA" w14:textId="0421A959" w:rsidR="003536E2" w:rsidRPr="00E3365B" w:rsidRDefault="0099532E" w:rsidP="0099532E">
            <w:pPr>
              <w:spacing w:before="120" w:after="120"/>
              <w:jc w:val="center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  <w:sz w:val="18"/>
              </w:rPr>
              <w:t>Repressor that becomes activator in response to chitobiose. AraC/XylS family of transcriptional regulators.</w:t>
            </w:r>
          </w:p>
        </w:tc>
        <w:tc>
          <w:tcPr>
            <w:tcW w:w="2387" w:type="dxa"/>
            <w:tcBorders>
              <w:top w:val="single" w:sz="12" w:space="0" w:color="0000FF"/>
              <w:left w:val="nil"/>
              <w:bottom w:val="nil"/>
              <w:right w:val="nil"/>
            </w:tcBorders>
            <w:shd w:val="clear" w:color="auto" w:fill="auto"/>
          </w:tcPr>
          <w:p w14:paraId="2EA3C4CF" w14:textId="77777777" w:rsidR="009B4477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Multifunctional </w:t>
            </w:r>
          </w:p>
          <w:p w14:paraId="3D9248B8" w14:textId="5BC1F7FD" w:rsidR="003536E2" w:rsidRPr="00FF0D52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regulator</w:t>
            </w:r>
          </w:p>
        </w:tc>
      </w:tr>
      <w:tr w:rsidR="00CE31A4" w:rsidRPr="00FF0D52" w14:paraId="78A1F0FA" w14:textId="77777777" w:rsidTr="00CE31A4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8E815" w14:textId="15299BD0" w:rsidR="003536E2" w:rsidRDefault="00CE31A4" w:rsidP="00F419A6">
            <w:pPr>
              <w:spacing w:before="120" w:after="120"/>
              <w:jc w:val="center"/>
              <w:rPr>
                <w:rFonts w:ascii="Symbol" w:hAnsi="Symbol"/>
                <w:i/>
              </w:rPr>
            </w:pPr>
            <w:r>
              <w:rPr>
                <w:rFonts w:asciiTheme="minorHAnsi" w:hAnsiTheme="minorHAnsi"/>
              </w:rPr>
              <w:t>CRP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C1245" w14:textId="78088572" w:rsidR="003536E2" w:rsidRPr="00CE31A4" w:rsidRDefault="00CE31A4" w:rsidP="00F419A6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CE31A4">
              <w:rPr>
                <w:rFonts w:ascii="Times New Roman" w:hAnsi="Times New Roman"/>
                <w:i/>
              </w:rPr>
              <w:t>crp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5B416" w14:textId="252497FE" w:rsidR="003536E2" w:rsidRPr="00FA5E6B" w:rsidRDefault="00CE31A4" w:rsidP="00CE31A4">
            <w:pPr>
              <w:spacing w:before="120" w:after="12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Repressor that becomes activator in response to cAMP</w:t>
            </w:r>
            <w:r w:rsidR="003536E2"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 xml:space="preserve"> CRP-FNR superfamily of transcription factors.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BEED2" w14:textId="77777777" w:rsidR="009B4477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Multifunctional </w:t>
            </w:r>
          </w:p>
          <w:p w14:paraId="4A1A93B9" w14:textId="56F5CC19" w:rsidR="003536E2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regulator</w:t>
            </w:r>
          </w:p>
        </w:tc>
      </w:tr>
      <w:tr w:rsidR="00CE31A4" w:rsidRPr="00FF0D52" w14:paraId="38565C87" w14:textId="77777777" w:rsidTr="009B4477">
        <w:trPr>
          <w:trHeight w:val="926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69FAD" w14:textId="15DF75E3" w:rsidR="003536E2" w:rsidRPr="003536E2" w:rsidRDefault="003536E2" w:rsidP="003536E2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536E2">
              <w:rPr>
                <w:rFonts w:ascii="Arial" w:hAnsi="Arial"/>
              </w:rPr>
              <w:t xml:space="preserve"> </w:t>
            </w:r>
            <w:r w:rsidR="00CE31A4">
              <w:rPr>
                <w:rFonts w:asciiTheme="minorHAnsi" w:hAnsiTheme="minorHAnsi"/>
              </w:rPr>
              <w:t>LldR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8AF9A" w14:textId="2E682049" w:rsidR="003536E2" w:rsidRPr="00CE31A4" w:rsidRDefault="00CE31A4" w:rsidP="00F419A6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CE31A4">
              <w:rPr>
                <w:rFonts w:ascii="Times New Roman" w:hAnsi="Times New Roman"/>
                <w:i/>
              </w:rPr>
              <w:t>lldPRD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5753F" w14:textId="437D59C7" w:rsidR="003536E2" w:rsidRPr="00E3365B" w:rsidRDefault="00CE31A4" w:rsidP="003536E2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Repressor that becomes activator in response to lactate. GntR family of transcriptional regulators.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F5373" w14:textId="77777777" w:rsidR="009B4477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Multifunctional </w:t>
            </w:r>
          </w:p>
          <w:p w14:paraId="7BEFC49B" w14:textId="60813A71" w:rsidR="003536E2" w:rsidRPr="00FF0D52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regulator</w:t>
            </w:r>
          </w:p>
        </w:tc>
      </w:tr>
      <w:tr w:rsidR="00CE31A4" w:rsidRPr="00FF0D52" w14:paraId="095B0726" w14:textId="77777777" w:rsidTr="00CE31A4">
        <w:trPr>
          <w:trHeight w:val="674"/>
        </w:trPr>
        <w:tc>
          <w:tcPr>
            <w:tcW w:w="1364" w:type="dxa"/>
            <w:tcBorders>
              <w:bottom w:val="single" w:sz="12" w:space="0" w:color="0000FF"/>
            </w:tcBorders>
            <w:shd w:val="clear" w:color="auto" w:fill="auto"/>
          </w:tcPr>
          <w:p w14:paraId="5C8BB72F" w14:textId="2877AF4D" w:rsidR="00CE31A4" w:rsidRPr="00CE31A4" w:rsidRDefault="009B4477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MarR</w:t>
            </w:r>
          </w:p>
          <w:p w14:paraId="2BDB3CE9" w14:textId="41CE1435" w:rsidR="003536E2" w:rsidRPr="00D013BB" w:rsidRDefault="00CE31A4" w:rsidP="00F419A6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CE31A4">
              <w:rPr>
                <w:rFonts w:ascii="Times New Roman" w:hAnsi="Times New Roman"/>
              </w:rPr>
              <w:t>MarA</w:t>
            </w:r>
          </w:p>
        </w:tc>
        <w:tc>
          <w:tcPr>
            <w:tcW w:w="1756" w:type="dxa"/>
            <w:tcBorders>
              <w:bottom w:val="single" w:sz="12" w:space="0" w:color="0000FF"/>
            </w:tcBorders>
            <w:shd w:val="clear" w:color="auto" w:fill="auto"/>
          </w:tcPr>
          <w:p w14:paraId="14BC93DC" w14:textId="63BC44DF" w:rsidR="003536E2" w:rsidRPr="00CE31A4" w:rsidRDefault="00CE31A4" w:rsidP="00F419A6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CE31A4">
              <w:rPr>
                <w:rFonts w:ascii="Times New Roman" w:hAnsi="Times New Roman"/>
                <w:i/>
              </w:rPr>
              <w:t>marRAB</w:t>
            </w:r>
          </w:p>
        </w:tc>
        <w:tc>
          <w:tcPr>
            <w:tcW w:w="2793" w:type="dxa"/>
            <w:tcBorders>
              <w:bottom w:val="single" w:sz="12" w:space="0" w:color="0000FF"/>
            </w:tcBorders>
            <w:shd w:val="clear" w:color="auto" w:fill="auto"/>
          </w:tcPr>
          <w:p w14:paraId="218110E7" w14:textId="77DA0C57" w:rsidR="003536E2" w:rsidRPr="00F45F3B" w:rsidRDefault="00CE31A4" w:rsidP="00F419A6">
            <w:pPr>
              <w:spacing w:before="120" w:after="12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Control of multiple antibiotic resistance. AraC/XylS family of transcriptional regulators.</w:t>
            </w:r>
          </w:p>
        </w:tc>
        <w:tc>
          <w:tcPr>
            <w:tcW w:w="2387" w:type="dxa"/>
            <w:tcBorders>
              <w:bottom w:val="single" w:sz="12" w:space="0" w:color="0000FF"/>
            </w:tcBorders>
            <w:shd w:val="clear" w:color="auto" w:fill="auto"/>
          </w:tcPr>
          <w:p w14:paraId="3B5386FE" w14:textId="77777777" w:rsidR="009B4477" w:rsidRDefault="00CE31A4" w:rsidP="00F419A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Distributed</w:t>
            </w:r>
          </w:p>
          <w:p w14:paraId="6F72274F" w14:textId="0E6E8F33" w:rsidR="003536E2" w:rsidRDefault="00CE31A4" w:rsidP="00F419A6">
            <w:pPr>
              <w:spacing w:before="120" w:after="120"/>
              <w:jc w:val="center"/>
              <w:rPr>
                <w:rStyle w:val="Quotation"/>
              </w:rPr>
            </w:pPr>
            <w:r>
              <w:rPr>
                <w:rFonts w:ascii="Times New Roman" w:hAnsi="Times New Roman"/>
              </w:rPr>
              <w:t xml:space="preserve"> regulation</w:t>
            </w:r>
          </w:p>
        </w:tc>
      </w:tr>
    </w:tbl>
    <w:p w14:paraId="042E039E" w14:textId="77777777" w:rsidR="0023533A" w:rsidRDefault="0023533A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b/>
          <w:sz w:val="32"/>
        </w:rPr>
      </w:pPr>
    </w:p>
    <w:p w14:paraId="0318563A" w14:textId="77777777" w:rsidR="00CE31A4" w:rsidRDefault="00CE31A4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</w:p>
    <w:p w14:paraId="57B0A2D8" w14:textId="77777777" w:rsidR="00CE31A4" w:rsidRDefault="00CE31A4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</w:p>
    <w:p w14:paraId="2E642605" w14:textId="77777777" w:rsidR="00CE31A4" w:rsidRDefault="00CE31A4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</w:p>
    <w:p w14:paraId="2215EED2" w14:textId="77777777" w:rsidR="00CE31A4" w:rsidRDefault="00CE31A4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</w:p>
    <w:p w14:paraId="3E77A6DC" w14:textId="77777777" w:rsidR="00CE31A4" w:rsidRDefault="00CE31A4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</w:p>
    <w:p w14:paraId="7F4A6D18" w14:textId="77777777" w:rsidR="00CE31A4" w:rsidRDefault="00CE31A4" w:rsidP="009B4477">
      <w:pPr>
        <w:tabs>
          <w:tab w:val="left" w:pos="3545"/>
        </w:tabs>
        <w:spacing w:line="360" w:lineRule="auto"/>
        <w:contextualSpacing/>
        <w:jc w:val="both"/>
        <w:rPr>
          <w:rFonts w:ascii="Times New Roman" w:hAnsi="Times New Roman"/>
          <w:iCs/>
          <w:sz w:val="20"/>
        </w:rPr>
      </w:pPr>
    </w:p>
    <w:p w14:paraId="792A38EF" w14:textId="77777777" w:rsidR="009B4477" w:rsidRDefault="009B4477" w:rsidP="009B4477">
      <w:pPr>
        <w:tabs>
          <w:tab w:val="left" w:pos="3545"/>
        </w:tabs>
        <w:spacing w:line="360" w:lineRule="auto"/>
        <w:contextualSpacing/>
        <w:jc w:val="both"/>
        <w:rPr>
          <w:rFonts w:ascii="Times New Roman" w:hAnsi="Times New Roman"/>
          <w:iCs/>
          <w:sz w:val="20"/>
        </w:rPr>
      </w:pPr>
    </w:p>
    <w:p w14:paraId="63D714B8" w14:textId="77777777" w:rsidR="009B4477" w:rsidRDefault="009B4477" w:rsidP="009B4477">
      <w:pPr>
        <w:tabs>
          <w:tab w:val="left" w:pos="3545"/>
        </w:tabs>
        <w:spacing w:line="360" w:lineRule="auto"/>
        <w:contextualSpacing/>
        <w:jc w:val="both"/>
        <w:rPr>
          <w:rFonts w:ascii="Times New Roman" w:hAnsi="Times New Roman"/>
          <w:iCs/>
          <w:sz w:val="20"/>
        </w:rPr>
      </w:pPr>
    </w:p>
    <w:p w14:paraId="4D42C643" w14:textId="77777777" w:rsidR="009B4477" w:rsidRDefault="009B4477" w:rsidP="009B4477">
      <w:pPr>
        <w:tabs>
          <w:tab w:val="left" w:pos="3545"/>
        </w:tabs>
        <w:spacing w:line="360" w:lineRule="auto"/>
        <w:contextualSpacing/>
        <w:jc w:val="both"/>
        <w:rPr>
          <w:rFonts w:ascii="Times New Roman" w:hAnsi="Times New Roman"/>
          <w:iCs/>
          <w:sz w:val="20"/>
        </w:rPr>
      </w:pPr>
    </w:p>
    <w:p w14:paraId="76259E97" w14:textId="1C401EE0" w:rsidR="00CE31A4" w:rsidRDefault="00CE31A4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r w:rsidRPr="0078496B">
        <w:rPr>
          <w:rFonts w:ascii="Times New Roman" w:hAnsi="Times New Roman"/>
          <w:iCs/>
          <w:sz w:val="28"/>
          <w:szCs w:val="28"/>
          <w:vertAlign w:val="superscript"/>
        </w:rPr>
        <w:t>1</w:t>
      </w:r>
      <w:r>
        <w:rPr>
          <w:rFonts w:ascii="Times New Roman" w:hAnsi="Times New Roman"/>
          <w:iCs/>
          <w:sz w:val="20"/>
        </w:rPr>
        <w:t xml:space="preserve"> The operons with dual regulators (according to RegulonDB</w:t>
      </w:r>
      <w:r w:rsidR="001F30A0">
        <w:rPr>
          <w:rFonts w:ascii="Times New Roman" w:hAnsi="Times New Roman"/>
          <w:iCs/>
          <w:sz w:val="20"/>
        </w:rPr>
        <w:t>, ref. 59 in main text</w:t>
      </w:r>
      <w:r>
        <w:rPr>
          <w:rFonts w:ascii="Times New Roman" w:hAnsi="Times New Roman"/>
          <w:iCs/>
          <w:sz w:val="20"/>
        </w:rPr>
        <w:t xml:space="preserve">) </w:t>
      </w:r>
      <w:r w:rsidRPr="0078496B">
        <w:rPr>
          <w:rFonts w:ascii="Times New Roman" w:hAnsi="Times New Roman"/>
          <w:i/>
          <w:iCs/>
          <w:sz w:val="20"/>
        </w:rPr>
        <w:t xml:space="preserve">ada-alkB, araC, dnaAN-recF, gadAXW, leuO, melR, murR, </w:t>
      </w:r>
      <w:r w:rsidRPr="0078496B">
        <w:rPr>
          <w:rFonts w:ascii="Times New Roman" w:hAnsi="Times New Roman"/>
          <w:iCs/>
          <w:sz w:val="20"/>
        </w:rPr>
        <w:t>and</w:t>
      </w:r>
      <w:r w:rsidRPr="0078496B">
        <w:rPr>
          <w:rFonts w:ascii="Times New Roman" w:hAnsi="Times New Roman"/>
          <w:i/>
          <w:iCs/>
          <w:sz w:val="20"/>
        </w:rPr>
        <w:t xml:space="preserve"> phoPQ </w:t>
      </w:r>
      <w:r>
        <w:rPr>
          <w:rFonts w:ascii="Times New Roman" w:hAnsi="Times New Roman"/>
          <w:iCs/>
          <w:sz w:val="20"/>
        </w:rPr>
        <w:t>are</w:t>
      </w:r>
      <w:r w:rsidR="001F30A0">
        <w:rPr>
          <w:rFonts w:ascii="Times New Roman" w:hAnsi="Times New Roman"/>
          <w:iCs/>
          <w:sz w:val="20"/>
        </w:rPr>
        <w:t xml:space="preserve"> not considered as systems with </w:t>
      </w:r>
      <w:bookmarkStart w:id="0" w:name="_GoBack"/>
      <w:bookmarkEnd w:id="0"/>
      <w:r>
        <w:rPr>
          <w:rFonts w:ascii="Times New Roman" w:hAnsi="Times New Roman"/>
          <w:iCs/>
          <w:sz w:val="20"/>
        </w:rPr>
        <w:t>antagonistic autogenous control in the sense of this study.</w:t>
      </w:r>
    </w:p>
    <w:p w14:paraId="112762B3" w14:textId="77777777" w:rsidR="0078496B" w:rsidRDefault="0078496B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</w:p>
    <w:p w14:paraId="464B2E2B" w14:textId="6D990CB2" w:rsidR="00CE31A4" w:rsidRDefault="00CE31A4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r w:rsidRPr="0078496B">
        <w:rPr>
          <w:rFonts w:ascii="Times New Roman" w:hAnsi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/>
          <w:iCs/>
          <w:sz w:val="20"/>
        </w:rPr>
        <w:t xml:space="preserve"> AraC or MelR, both transcriptional regulators of the AraC/XylS family, repress their own expression</w:t>
      </w:r>
      <w:r w:rsidR="0078496B">
        <w:rPr>
          <w:rFonts w:ascii="Times New Roman" w:hAnsi="Times New Roman"/>
          <w:iCs/>
          <w:sz w:val="20"/>
        </w:rPr>
        <w:t xml:space="preserve"> whereas they exert dual regulation (with arabinose or melibiose as inducers) on their targets.</w:t>
      </w:r>
    </w:p>
    <w:p w14:paraId="2F0239AE" w14:textId="77777777" w:rsidR="0078496B" w:rsidRDefault="0078496B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</w:p>
    <w:p w14:paraId="60867A7D" w14:textId="09560773" w:rsidR="00CE31A4" w:rsidRDefault="0078496B" w:rsidP="004E337F">
      <w:pPr>
        <w:tabs>
          <w:tab w:val="left" w:pos="3545"/>
        </w:tabs>
        <w:spacing w:line="360" w:lineRule="auto"/>
        <w:ind w:left="567" w:hanging="567"/>
        <w:contextualSpacing/>
        <w:jc w:val="both"/>
        <w:rPr>
          <w:rFonts w:ascii="Times New Roman" w:hAnsi="Times New Roman"/>
          <w:iCs/>
          <w:sz w:val="20"/>
        </w:rPr>
      </w:pPr>
      <w:r w:rsidRPr="0078496B">
        <w:rPr>
          <w:rFonts w:ascii="Times New Roman" w:hAnsi="Times New Roman"/>
          <w:iCs/>
          <w:sz w:val="28"/>
          <w:szCs w:val="28"/>
          <w:vertAlign w:val="superscript"/>
        </w:rPr>
        <w:t>3</w:t>
      </w:r>
      <w:r>
        <w:rPr>
          <w:rFonts w:ascii="Times New Roman" w:hAnsi="Times New Roman"/>
          <w:iCs/>
          <w:sz w:val="20"/>
        </w:rPr>
        <w:t xml:space="preserve"> A </w:t>
      </w:r>
      <w:r w:rsidRPr="0078496B">
        <w:rPr>
          <w:rFonts w:ascii="Times New Roman" w:hAnsi="Times New Roman"/>
          <w:i/>
          <w:iCs/>
          <w:sz w:val="20"/>
        </w:rPr>
        <w:t>multifunctional regulator</w:t>
      </w:r>
      <w:r>
        <w:rPr>
          <w:rFonts w:ascii="Times New Roman" w:hAnsi="Times New Roman"/>
          <w:iCs/>
          <w:sz w:val="20"/>
        </w:rPr>
        <w:t xml:space="preserve"> is a transcription factor that works as a repressor and as an activator. </w:t>
      </w:r>
      <w:r w:rsidRPr="0078496B">
        <w:rPr>
          <w:rFonts w:ascii="Times New Roman" w:hAnsi="Times New Roman"/>
          <w:i/>
          <w:iCs/>
          <w:sz w:val="20"/>
        </w:rPr>
        <w:t>Distributed regulation</w:t>
      </w:r>
      <w:r>
        <w:rPr>
          <w:rFonts w:ascii="Times New Roman" w:hAnsi="Times New Roman"/>
          <w:iCs/>
          <w:sz w:val="20"/>
        </w:rPr>
        <w:t xml:space="preserve"> entails two </w:t>
      </w:r>
      <w:r w:rsidR="00A279BD">
        <w:rPr>
          <w:rFonts w:ascii="Times New Roman" w:hAnsi="Times New Roman"/>
          <w:iCs/>
          <w:sz w:val="20"/>
        </w:rPr>
        <w:t>independent</w:t>
      </w:r>
      <w:r>
        <w:rPr>
          <w:rFonts w:ascii="Times New Roman" w:hAnsi="Times New Roman"/>
          <w:iCs/>
          <w:sz w:val="20"/>
        </w:rPr>
        <w:t xml:space="preserve"> transcription factors, a repressor and an activator.</w:t>
      </w:r>
      <w:r w:rsidR="009B4477">
        <w:rPr>
          <w:rFonts w:ascii="Times New Roman" w:hAnsi="Times New Roman"/>
          <w:iCs/>
          <w:sz w:val="20"/>
        </w:rPr>
        <w:t xml:space="preserve"> </w:t>
      </w:r>
    </w:p>
    <w:p w14:paraId="2EE83AA5" w14:textId="77777777" w:rsidR="00F419A6" w:rsidRDefault="00F419A6"/>
    <w:sectPr w:rsidR="00F419A6" w:rsidSect="0023533A">
      <w:pgSz w:w="11900" w:h="16840"/>
      <w:pgMar w:top="709" w:right="1800" w:bottom="709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00000001" w:usb1="00000000" w:usb2="01000407" w:usb3="00000000" w:csb0="0002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E2"/>
    <w:rsid w:val="000B1032"/>
    <w:rsid w:val="00113016"/>
    <w:rsid w:val="001F30A0"/>
    <w:rsid w:val="0023533A"/>
    <w:rsid w:val="003536E2"/>
    <w:rsid w:val="004E337F"/>
    <w:rsid w:val="0078496B"/>
    <w:rsid w:val="00986BF4"/>
    <w:rsid w:val="0099532E"/>
    <w:rsid w:val="009B4477"/>
    <w:rsid w:val="00A279BD"/>
    <w:rsid w:val="00B61BDC"/>
    <w:rsid w:val="00C87BD9"/>
    <w:rsid w:val="00CE31A4"/>
    <w:rsid w:val="00D85AF4"/>
    <w:rsid w:val="00F419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CB10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82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3536E2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3536E2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rsid w:val="003536E2"/>
    <w:rPr>
      <w:rFonts w:ascii="Lucida Grande" w:eastAsia="Cambria" w:hAnsi="Lucida Grande" w:cs="Times New Roman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3536E2"/>
    <w:rPr>
      <w:rFonts w:ascii="Lucida Grande" w:eastAsia="Cambria" w:hAnsi="Lucida Grande" w:cs="Times New Roman"/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3536E2"/>
    <w:rPr>
      <w:rFonts w:ascii="Times New Roman" w:eastAsia="ヒラギノ角ゴ Pro W3" w:hAnsi="Times New Roman" w:cs="Times New Roman"/>
      <w:color w:val="000000"/>
      <w:kern w:val="1"/>
      <w:lang w:eastAsia="ar-SA"/>
    </w:rPr>
  </w:style>
  <w:style w:type="paragraph" w:styleId="BodyText">
    <w:name w:val="Body Text"/>
    <w:link w:val="BodyTextChar"/>
    <w:rsid w:val="003536E2"/>
    <w:pPr>
      <w:widowControl w:val="0"/>
      <w:suppressAutoHyphens/>
      <w:spacing w:after="120"/>
    </w:pPr>
    <w:rPr>
      <w:rFonts w:ascii="Times New Roman" w:eastAsia="ヒラギノ角ゴ Pro W3" w:hAnsi="Times New Roman" w:cs="Times New Roman"/>
      <w:color w:val="000000"/>
      <w:kern w:val="1"/>
      <w:lang w:eastAsia="ar-SA"/>
    </w:rPr>
  </w:style>
  <w:style w:type="character" w:customStyle="1" w:styleId="FooterChar">
    <w:name w:val="Footer Char"/>
    <w:basedOn w:val="DefaultParagraphFont"/>
    <w:link w:val="Footer"/>
    <w:rsid w:val="003536E2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rsid w:val="003536E2"/>
    <w:pPr>
      <w:tabs>
        <w:tab w:val="center" w:pos="4320"/>
        <w:tab w:val="right" w:pos="8640"/>
      </w:tabs>
    </w:pPr>
  </w:style>
  <w:style w:type="character" w:customStyle="1" w:styleId="FootnoteTextChar">
    <w:name w:val="Footnote Text Char"/>
    <w:basedOn w:val="DefaultParagraphFont"/>
    <w:link w:val="FootnoteText"/>
    <w:rsid w:val="003536E2"/>
    <w:rPr>
      <w:rFonts w:ascii="Cambria" w:eastAsia="Cambria" w:hAnsi="Cambria" w:cs="Times New Roman"/>
    </w:rPr>
  </w:style>
  <w:style w:type="paragraph" w:styleId="FootnoteText">
    <w:name w:val="footnote text"/>
    <w:basedOn w:val="Normal"/>
    <w:link w:val="FootnoteTextChar"/>
    <w:rsid w:val="003536E2"/>
    <w:pPr>
      <w:spacing w:after="0"/>
    </w:pPr>
  </w:style>
  <w:style w:type="character" w:customStyle="1" w:styleId="Quotation">
    <w:name w:val="Quotation"/>
    <w:rsid w:val="003536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200</Words>
  <Characters>1145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CSIC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F. Poyatos</dc:creator>
  <cp:keywords/>
  <cp:lastModifiedBy>Microsoft Office User</cp:lastModifiedBy>
  <cp:revision>9</cp:revision>
  <dcterms:created xsi:type="dcterms:W3CDTF">2017-08-31T15:20:00Z</dcterms:created>
  <dcterms:modified xsi:type="dcterms:W3CDTF">2017-09-01T06:48:00Z</dcterms:modified>
</cp:coreProperties>
</file>