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7FFC3" w14:textId="1C60C8B2" w:rsidR="005113C0" w:rsidRDefault="005113C0" w:rsidP="005113C0">
      <w:pPr>
        <w:jc w:val="center"/>
        <w:rPr>
          <w:b/>
        </w:rPr>
      </w:pPr>
      <w:r w:rsidRPr="00FB385A">
        <w:rPr>
          <w:b/>
        </w:rPr>
        <w:t>Supplementary Information</w:t>
      </w:r>
      <w:r>
        <w:rPr>
          <w:b/>
        </w:rPr>
        <w:t xml:space="preserve"> </w:t>
      </w:r>
    </w:p>
    <w:p w14:paraId="7573F1AD" w14:textId="77777777" w:rsidR="005113C0" w:rsidRPr="00FB385A" w:rsidRDefault="005113C0" w:rsidP="005113C0">
      <w:pPr>
        <w:jc w:val="center"/>
        <w:rPr>
          <w:b/>
        </w:rPr>
      </w:pPr>
    </w:p>
    <w:p w14:paraId="253EFAB5" w14:textId="77777777" w:rsidR="005113C0" w:rsidRDefault="00372D97" w:rsidP="00372D97">
      <w:pPr>
        <w:jc w:val="center"/>
        <w:rPr>
          <w:b/>
          <w:bCs/>
          <w:szCs w:val="20"/>
        </w:rPr>
      </w:pPr>
      <w:r w:rsidRPr="002A2F36">
        <w:rPr>
          <w:b/>
          <w:bCs/>
          <w:szCs w:val="20"/>
        </w:rPr>
        <w:t>A molecular systems architecture of neuromuscular junction</w:t>
      </w:r>
    </w:p>
    <w:p w14:paraId="089F4326" w14:textId="62D8764B" w:rsidR="00372D97" w:rsidRPr="002A2F36" w:rsidRDefault="00372D97" w:rsidP="00372D97">
      <w:pPr>
        <w:jc w:val="center"/>
        <w:rPr>
          <w:b/>
          <w:bCs/>
          <w:szCs w:val="20"/>
        </w:rPr>
      </w:pPr>
      <w:r w:rsidRPr="002A2F36">
        <w:rPr>
          <w:b/>
          <w:bCs/>
          <w:szCs w:val="20"/>
        </w:rPr>
        <w:t xml:space="preserve"> in amyotrophic lateral sclerosis</w:t>
      </w:r>
    </w:p>
    <w:p w14:paraId="3A20DB11" w14:textId="77777777" w:rsidR="007421EA" w:rsidRDefault="007421EA" w:rsidP="00372D97">
      <w:pPr>
        <w:jc w:val="center"/>
        <w:rPr>
          <w:b/>
          <w:bCs/>
          <w:sz w:val="32"/>
        </w:rPr>
      </w:pPr>
    </w:p>
    <w:p w14:paraId="1DBA962F" w14:textId="77777777" w:rsidR="007421EA" w:rsidRPr="002E1AC1" w:rsidRDefault="007421EA" w:rsidP="007421EA">
      <w:pPr>
        <w:spacing w:line="480" w:lineRule="auto"/>
        <w:jc w:val="center"/>
        <w:rPr>
          <w:bCs/>
          <w:vertAlign w:val="superscript"/>
        </w:rPr>
      </w:pPr>
      <w:r w:rsidRPr="002E1AC1">
        <w:rPr>
          <w:bCs/>
        </w:rPr>
        <w:t>V.A. Shiva Ayyadurai</w:t>
      </w:r>
      <w:r w:rsidRPr="002E1AC1">
        <w:rPr>
          <w:bCs/>
          <w:vertAlign w:val="superscript"/>
        </w:rPr>
        <w:t>1,2*</w:t>
      </w:r>
      <w:r w:rsidRPr="002E1AC1">
        <w:rPr>
          <w:bCs/>
          <w:vertAlign w:val="subscript"/>
        </w:rPr>
        <w:t xml:space="preserve">, </w:t>
      </w:r>
      <w:r w:rsidRPr="002E1AC1">
        <w:rPr>
          <w:bCs/>
        </w:rPr>
        <w:t>Prabhakar Deonikar</w:t>
      </w:r>
      <w:r w:rsidRPr="002E1AC1">
        <w:rPr>
          <w:bCs/>
          <w:vertAlign w:val="superscript"/>
        </w:rPr>
        <w:t>1,2</w:t>
      </w:r>
      <w:r w:rsidRPr="002E1AC1">
        <w:rPr>
          <w:bCs/>
        </w:rPr>
        <w:t>, and Roger D. Kamm</w:t>
      </w:r>
      <w:r w:rsidRPr="002E1AC1">
        <w:rPr>
          <w:bCs/>
          <w:vertAlign w:val="superscript"/>
        </w:rPr>
        <w:t>3*</w:t>
      </w:r>
    </w:p>
    <w:p w14:paraId="1A205655" w14:textId="77777777" w:rsidR="007421EA" w:rsidRPr="002E1AC1" w:rsidRDefault="007421EA" w:rsidP="007421EA">
      <w:pPr>
        <w:spacing w:line="480" w:lineRule="auto"/>
        <w:jc w:val="center"/>
        <w:rPr>
          <w:bCs/>
        </w:rPr>
      </w:pPr>
      <w:r w:rsidRPr="002E1AC1">
        <w:rPr>
          <w:bCs/>
          <w:vertAlign w:val="superscript"/>
        </w:rPr>
        <w:t>1</w:t>
      </w:r>
      <w:r w:rsidRPr="002E1AC1">
        <w:rPr>
          <w:bCs/>
        </w:rPr>
        <w:t xml:space="preserve">Systems Biology Group, </w:t>
      </w:r>
      <w:proofErr w:type="spellStart"/>
      <w:r w:rsidRPr="002E1AC1">
        <w:rPr>
          <w:bCs/>
        </w:rPr>
        <w:t>CytoSolve</w:t>
      </w:r>
      <w:proofErr w:type="spellEnd"/>
      <w:r w:rsidRPr="002E1AC1">
        <w:rPr>
          <w:bCs/>
        </w:rPr>
        <w:t xml:space="preserve"> Research Division, </w:t>
      </w:r>
      <w:proofErr w:type="spellStart"/>
      <w:r w:rsidRPr="002E1AC1">
        <w:rPr>
          <w:bCs/>
        </w:rPr>
        <w:t>CytoSolve</w:t>
      </w:r>
      <w:proofErr w:type="spellEnd"/>
      <w:r w:rsidRPr="002E1AC1">
        <w:rPr>
          <w:bCs/>
        </w:rPr>
        <w:t xml:space="preserve">, Inc., Cambridge, MA </w:t>
      </w:r>
    </w:p>
    <w:p w14:paraId="659CA968" w14:textId="77777777" w:rsidR="007421EA" w:rsidRPr="002E1AC1" w:rsidRDefault="007421EA" w:rsidP="007421EA">
      <w:pPr>
        <w:spacing w:line="480" w:lineRule="auto"/>
        <w:jc w:val="center"/>
        <w:rPr>
          <w:bCs/>
        </w:rPr>
      </w:pPr>
      <w:r w:rsidRPr="002E1AC1">
        <w:rPr>
          <w:bCs/>
          <w:vertAlign w:val="superscript"/>
        </w:rPr>
        <w:t>2</w:t>
      </w:r>
      <w:r w:rsidRPr="002E1AC1">
        <w:rPr>
          <w:bCs/>
        </w:rPr>
        <w:t xml:space="preserve">Open Science Institute, International Center for Integrative Systems, Cambridge, MA </w:t>
      </w:r>
    </w:p>
    <w:p w14:paraId="461BF344" w14:textId="77777777" w:rsidR="007421EA" w:rsidRPr="002E1AC1" w:rsidRDefault="007421EA" w:rsidP="007421EA">
      <w:pPr>
        <w:spacing w:line="480" w:lineRule="auto"/>
        <w:jc w:val="center"/>
        <w:rPr>
          <w:bCs/>
        </w:rPr>
      </w:pPr>
      <w:r w:rsidRPr="002E1AC1">
        <w:rPr>
          <w:bCs/>
          <w:vertAlign w:val="superscript"/>
        </w:rPr>
        <w:t>3</w:t>
      </w:r>
      <w:r w:rsidRPr="002E1AC1">
        <w:rPr>
          <w:bCs/>
        </w:rPr>
        <w:t xml:space="preserve">Departments of Biological Engineering and Mechanical Engineering, Massachusetts Institute of Technology, Cambridge, MA </w:t>
      </w:r>
    </w:p>
    <w:p w14:paraId="04FB6F2D" w14:textId="77777777" w:rsidR="00AC49CB" w:rsidRDefault="00AC49CB" w:rsidP="00AC49CB">
      <w:pPr>
        <w:jc w:val="center"/>
        <w:rPr>
          <w:b/>
          <w:bCs/>
          <w:sz w:val="32"/>
        </w:rPr>
      </w:pPr>
    </w:p>
    <w:p w14:paraId="611FAE5E" w14:textId="23CB61F2" w:rsidR="007421EA" w:rsidRPr="002A2F36" w:rsidRDefault="007421EA" w:rsidP="002A2F36">
      <w:pPr>
        <w:jc w:val="center"/>
        <w:rPr>
          <w:b/>
          <w:bCs/>
          <w:szCs w:val="20"/>
        </w:rPr>
      </w:pPr>
      <w:r w:rsidRPr="002A2F36">
        <w:rPr>
          <w:b/>
          <w:bCs/>
          <w:szCs w:val="20"/>
        </w:rPr>
        <w:t>Table of Contents</w:t>
      </w:r>
    </w:p>
    <w:p w14:paraId="0C863A62" w14:textId="77777777" w:rsidR="007421EA" w:rsidRPr="002A2F36" w:rsidRDefault="007421EA" w:rsidP="002A2F36">
      <w:pPr>
        <w:jc w:val="center"/>
        <w:rPr>
          <w:b/>
          <w:bCs/>
          <w:szCs w:val="20"/>
        </w:rPr>
      </w:pPr>
    </w:p>
    <w:p w14:paraId="1878CE0E" w14:textId="545E0D28" w:rsidR="007421EA" w:rsidRPr="002A2F36" w:rsidRDefault="00762A81" w:rsidP="002A2F36">
      <w:pPr>
        <w:spacing w:line="360" w:lineRule="auto"/>
        <w:ind w:left="360"/>
        <w:jc w:val="center"/>
        <w:rPr>
          <w:bCs/>
        </w:rPr>
      </w:pPr>
      <w:r w:rsidRPr="002A2F36">
        <w:rPr>
          <w:bCs/>
        </w:rPr>
        <w:t>Supplementary Figures</w:t>
      </w:r>
    </w:p>
    <w:p w14:paraId="4E71646B" w14:textId="51E2D32B" w:rsidR="00762A81" w:rsidRPr="002A2F36" w:rsidRDefault="00762A81" w:rsidP="002A2F36">
      <w:pPr>
        <w:spacing w:line="360" w:lineRule="auto"/>
        <w:ind w:left="360"/>
        <w:jc w:val="center"/>
        <w:rPr>
          <w:bCs/>
        </w:rPr>
      </w:pPr>
      <w:r w:rsidRPr="002A2F36">
        <w:rPr>
          <w:bCs/>
        </w:rPr>
        <w:t>Supplementary Tables</w:t>
      </w:r>
    </w:p>
    <w:p w14:paraId="298B3802" w14:textId="427305BE" w:rsidR="00762A81" w:rsidRPr="005113C0" w:rsidRDefault="00762A81" w:rsidP="002A2F36">
      <w:pPr>
        <w:spacing w:line="360" w:lineRule="auto"/>
        <w:ind w:left="360"/>
        <w:jc w:val="center"/>
        <w:rPr>
          <w:bCs/>
        </w:rPr>
      </w:pPr>
      <w:r w:rsidRPr="002A2F36">
        <w:rPr>
          <w:bCs/>
        </w:rPr>
        <w:t>Supplementary References</w:t>
      </w:r>
    </w:p>
    <w:p w14:paraId="202610B8" w14:textId="77777777" w:rsidR="007421EA" w:rsidRDefault="007421EA">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r>
        <w:rPr>
          <w:b/>
        </w:rPr>
        <w:br w:type="page"/>
      </w:r>
    </w:p>
    <w:p w14:paraId="1B68CC90" w14:textId="16532280" w:rsidR="00C24BC9" w:rsidRPr="00C24BC9" w:rsidRDefault="009D7C91" w:rsidP="002A2F36">
      <w:pPr>
        <w:tabs>
          <w:tab w:val="left" w:pos="90"/>
          <w:tab w:val="left" w:pos="558"/>
        </w:tabs>
        <w:spacing w:line="480" w:lineRule="auto"/>
        <w:jc w:val="center"/>
        <w:rPr>
          <w:b/>
        </w:rPr>
      </w:pPr>
      <w:r w:rsidRPr="009D7C91">
        <w:rPr>
          <w:noProof/>
          <w:lang w:eastAsia="en-US"/>
        </w:rPr>
        <w:lastRenderedPageBreak/>
        <w:drawing>
          <wp:anchor distT="0" distB="0" distL="114300" distR="114300" simplePos="0" relativeHeight="251663360" behindDoc="1" locked="0" layoutInCell="1" allowOverlap="1" wp14:anchorId="406F701F" wp14:editId="0E2D33E6">
            <wp:simplePos x="0" y="0"/>
            <wp:positionH relativeFrom="column">
              <wp:posOffset>0</wp:posOffset>
            </wp:positionH>
            <wp:positionV relativeFrom="paragraph">
              <wp:posOffset>352425</wp:posOffset>
            </wp:positionV>
            <wp:extent cx="5692775" cy="4004310"/>
            <wp:effectExtent l="0" t="0" r="3175" b="0"/>
            <wp:wrapTight wrapText="bothSides">
              <wp:wrapPolygon edited="0">
                <wp:start x="0" y="925"/>
                <wp:lineTo x="0" y="3905"/>
                <wp:lineTo x="10770" y="4419"/>
                <wp:lineTo x="5060" y="4932"/>
                <wp:lineTo x="4771" y="5035"/>
                <wp:lineTo x="5060" y="6063"/>
                <wp:lineTo x="5060" y="20141"/>
                <wp:lineTo x="5566" y="20860"/>
                <wp:lineTo x="6144" y="20860"/>
                <wp:lineTo x="6650" y="21477"/>
                <wp:lineTo x="6722" y="21477"/>
                <wp:lineTo x="15902" y="21477"/>
                <wp:lineTo x="15974" y="21477"/>
                <wp:lineTo x="16552" y="20963"/>
                <wp:lineTo x="18215" y="20860"/>
                <wp:lineTo x="19227" y="20244"/>
                <wp:lineTo x="19154" y="6063"/>
                <wp:lineTo x="19588" y="4727"/>
                <wp:lineTo x="19010" y="4624"/>
                <wp:lineTo x="10770" y="4419"/>
                <wp:lineTo x="21540" y="3905"/>
                <wp:lineTo x="21540" y="925"/>
                <wp:lineTo x="0" y="925"/>
              </wp:wrapPolygon>
            </wp:wrapTight>
            <wp:docPr id="4" name="Picture 4" descr="C:\Users\prabhakar\Downloads\Manuscript-Diagrams-DJ-1 Signa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bhakar\Downloads\Manuscript-Diagrams-DJ-1 Signali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2775" cy="400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05E">
        <w:rPr>
          <w:b/>
          <w:color w:val="000000"/>
          <w:szCs w:val="20"/>
        </w:rPr>
        <w:t xml:space="preserve">Supplementary </w:t>
      </w:r>
      <w:r w:rsidR="0029105E">
        <w:rPr>
          <w:b/>
        </w:rPr>
        <w:t xml:space="preserve">Figure 1: DJ-1 signaling in motor neurons. </w:t>
      </w:r>
    </w:p>
    <w:p w14:paraId="1E7C6C55"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2654BF50"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1C3C3003"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4C0AB5A9"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51E7F4AD"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4AA27A59"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563C7894"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68EAB435"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0F104B6B"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7F2A0C80"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0B2E9964"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15BF53CB" w14:textId="1FBD198F" w:rsidR="00C24BC9" w:rsidRPr="00F131D9" w:rsidRDefault="00C24BC9" w:rsidP="0065589C">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pPr>
      <w:r>
        <w:t>Mutation of DJ-1 dysregulates mitophagy and mitochondrial function. Additionally, this mutation also impairs the Nrf2 pathway leading to downre</w:t>
      </w:r>
      <w:r w:rsidR="00A91095">
        <w:t>gulation of antioxidant enzymes.</w:t>
      </w:r>
      <w:r w:rsidR="00F131D9">
        <w:t xml:space="preserve"> DJ-1 – </w:t>
      </w:r>
      <w:r w:rsidR="00747D83">
        <w:t>P</w:t>
      </w:r>
      <w:r w:rsidR="00F131D9">
        <w:t xml:space="preserve">rotein </w:t>
      </w:r>
      <w:proofErr w:type="spellStart"/>
      <w:r w:rsidR="00F131D9">
        <w:t>deglycase</w:t>
      </w:r>
      <w:proofErr w:type="spellEnd"/>
      <w:r w:rsidR="00F131D9">
        <w:t xml:space="preserve"> DJ-1; mDJ-1 – </w:t>
      </w:r>
      <w:r w:rsidR="00747D83">
        <w:t>M</w:t>
      </w:r>
      <w:r w:rsidR="00F131D9">
        <w:t xml:space="preserve">utated protein </w:t>
      </w:r>
      <w:proofErr w:type="spellStart"/>
      <w:r w:rsidR="00F131D9">
        <w:t>deglycase</w:t>
      </w:r>
      <w:proofErr w:type="spellEnd"/>
      <w:r w:rsidR="00F131D9">
        <w:t xml:space="preserve"> DJ-1; NRF2 – N</w:t>
      </w:r>
      <w:r w:rsidR="00F131D9" w:rsidRPr="00F131D9">
        <w:t>uclear factor erythroid 2–related factor 2</w:t>
      </w:r>
      <w:r w:rsidR="00F131D9">
        <w:t xml:space="preserve">; ROS – </w:t>
      </w:r>
      <w:r w:rsidR="00F131D9" w:rsidRPr="00F131D9">
        <w:t>Reactive oxygen species</w:t>
      </w:r>
      <w:r w:rsidR="00F131D9">
        <w:t>.</w:t>
      </w:r>
      <w:r w:rsidR="00120888">
        <w:t xml:space="preserve"> </w:t>
      </w:r>
      <w:r w:rsidR="00F3428B" w:rsidRPr="00F3428B">
        <w:t xml:space="preserve">Double-sided orange rectangle represents a molecular pathway within a cell; black arrow represents signal propagation; red flat arrow represents inhibition of signal propagation; </w:t>
      </w:r>
      <w:r w:rsidR="00F3428B">
        <w:t xml:space="preserve">and, </w:t>
      </w:r>
      <w:r w:rsidR="00F3428B" w:rsidRPr="00F3428B">
        <w:t>small pink rectangle re</w:t>
      </w:r>
      <w:r w:rsidR="00F3428B">
        <w:t>presents mutated protein/enzyme</w:t>
      </w:r>
      <w:r w:rsidR="00F3428B" w:rsidRPr="00F3428B">
        <w:t>.</w:t>
      </w:r>
    </w:p>
    <w:p w14:paraId="67FE4AA4" w14:textId="77777777" w:rsidR="00C24BC9" w:rsidRDefault="00C24BC9">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218262C0" w14:textId="77777777" w:rsidR="00C24BC9" w:rsidRDefault="00C24BC9">
      <w:pPr>
        <w:pBdr>
          <w:top w:val="none" w:sz="0" w:space="0" w:color="auto"/>
          <w:left w:val="none" w:sz="0" w:space="0" w:color="auto"/>
          <w:bottom w:val="none" w:sz="0" w:space="0" w:color="auto"/>
          <w:right w:val="none" w:sz="0" w:space="0" w:color="auto"/>
        </w:pBdr>
        <w:suppressAutoHyphens w:val="0"/>
        <w:spacing w:after="160" w:line="259" w:lineRule="auto"/>
        <w:textAlignment w:val="auto"/>
        <w:sectPr w:rsidR="00C24BC9">
          <w:footerReference w:type="default" r:id="rId9"/>
          <w:pgSz w:w="12240" w:h="15840"/>
          <w:pgMar w:top="1440" w:right="1440" w:bottom="1440" w:left="1440" w:header="720" w:footer="720" w:gutter="0"/>
          <w:cols w:space="720"/>
          <w:docGrid w:linePitch="360"/>
        </w:sectPr>
      </w:pPr>
    </w:p>
    <w:p w14:paraId="54929EAD" w14:textId="7CD4C3E8" w:rsidR="00C24BC9" w:rsidRDefault="0029105E" w:rsidP="000607C3">
      <w:pPr>
        <w:pBdr>
          <w:top w:val="none" w:sz="0" w:space="0" w:color="auto"/>
          <w:left w:val="none" w:sz="0" w:space="0" w:color="auto"/>
          <w:bottom w:val="none" w:sz="0" w:space="0" w:color="auto"/>
          <w:right w:val="none" w:sz="0" w:space="0" w:color="auto"/>
        </w:pBdr>
        <w:suppressAutoHyphens w:val="0"/>
        <w:spacing w:after="160" w:line="259" w:lineRule="auto"/>
        <w:jc w:val="center"/>
        <w:textAlignment w:val="auto"/>
        <w:rPr>
          <w:b/>
        </w:rPr>
      </w:pPr>
      <w:r>
        <w:rPr>
          <w:b/>
          <w:color w:val="000000"/>
          <w:szCs w:val="20"/>
        </w:rPr>
        <w:lastRenderedPageBreak/>
        <w:t xml:space="preserve">Supplementary </w:t>
      </w:r>
      <w:r>
        <w:rPr>
          <w:b/>
        </w:rPr>
        <w:t>Figure2: MMP-9 signaling in skeletal muscle cells.</w:t>
      </w:r>
    </w:p>
    <w:p w14:paraId="17DE3502" w14:textId="403AF6E5" w:rsidR="00A91095" w:rsidRDefault="002A2F36">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r w:rsidRPr="009D7C91">
        <w:rPr>
          <w:b/>
          <w:noProof/>
          <w:lang w:eastAsia="en-US"/>
        </w:rPr>
        <w:drawing>
          <wp:anchor distT="0" distB="0" distL="114300" distR="114300" simplePos="0" relativeHeight="251664384" behindDoc="1" locked="0" layoutInCell="1" allowOverlap="1" wp14:anchorId="772CC1D6" wp14:editId="46CF6D07">
            <wp:simplePos x="0" y="0"/>
            <wp:positionH relativeFrom="column">
              <wp:posOffset>1097280</wp:posOffset>
            </wp:positionH>
            <wp:positionV relativeFrom="paragraph">
              <wp:posOffset>111125</wp:posOffset>
            </wp:positionV>
            <wp:extent cx="5701665" cy="4206240"/>
            <wp:effectExtent l="0" t="0" r="0" b="3810"/>
            <wp:wrapTight wrapText="bothSides">
              <wp:wrapPolygon edited="0">
                <wp:start x="0" y="0"/>
                <wp:lineTo x="0" y="21522"/>
                <wp:lineTo x="21506" y="21522"/>
                <wp:lineTo x="21506" y="0"/>
                <wp:lineTo x="0" y="0"/>
              </wp:wrapPolygon>
            </wp:wrapTight>
            <wp:docPr id="8" name="Picture 8" descr="C:\Users\prabhakar\Downloads\Manuscript-Diagrams-MMP-9 Signa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abhakar\Downloads\Manuscript-Diagrams-MMP-9 Signali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1665" cy="4206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A43F41"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21B7CED"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394618B"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4E6EFC58"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2D3968F"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5A43B694"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72C0224E"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4FF102AC"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C004F88"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2F80672"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01C2EEF"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44179C4"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79B59E02" w14:textId="77777777" w:rsidR="002A2F36" w:rsidRDefault="002A2F36">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F52A8CB" w14:textId="77777777" w:rsidR="002A2F36" w:rsidRDefault="002A2F36">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08185B9" w14:textId="342B8136" w:rsidR="00A91095" w:rsidRDefault="00592CE2" w:rsidP="002A2F36">
      <w:pPr>
        <w:jc w:val="both"/>
      </w:pPr>
      <w:r w:rsidRPr="00592CE2">
        <w:t>MMP-9</w:t>
      </w:r>
      <w:r>
        <w:rPr>
          <w:b/>
        </w:rPr>
        <w:t xml:space="preserve"> </w:t>
      </w:r>
      <w:r w:rsidR="00DB21C6">
        <w:t>contribute</w:t>
      </w:r>
      <w:r>
        <w:t>s</w:t>
      </w:r>
      <w:r w:rsidR="00DB21C6">
        <w:t xml:space="preserve"> to the </w:t>
      </w:r>
      <w:r>
        <w:t xml:space="preserve">ALS </w:t>
      </w:r>
      <w:r w:rsidR="00DB21C6">
        <w:t>pathogenesis</w:t>
      </w:r>
      <w:r>
        <w:t xml:space="preserve"> leading to</w:t>
      </w:r>
      <w:r w:rsidR="00DB21C6">
        <w:t xml:space="preserve"> muscle atrophy</w:t>
      </w:r>
      <w:r>
        <w:t xml:space="preserve"> and</w:t>
      </w:r>
      <w:r w:rsidR="00DB21C6">
        <w:t xml:space="preserve"> alterations in the extracellular matrix</w:t>
      </w:r>
      <w:r>
        <w:t>.</w:t>
      </w:r>
      <w:r w:rsidR="00F131D9">
        <w:t xml:space="preserve"> GRB2 – </w:t>
      </w:r>
      <w:r w:rsidR="00F131D9" w:rsidRPr="00F131D9">
        <w:t>Growth factor receptor-bound protein 2</w:t>
      </w:r>
      <w:r w:rsidR="00F131D9">
        <w:t xml:space="preserve">; JNK – </w:t>
      </w:r>
      <w:r w:rsidR="00F131D9" w:rsidRPr="00F131D9">
        <w:t>Jun N-terminal kinase</w:t>
      </w:r>
      <w:r w:rsidR="00F131D9">
        <w:t xml:space="preserve">; MMP-9 – </w:t>
      </w:r>
      <w:r w:rsidR="00A27318">
        <w:t>M</w:t>
      </w:r>
      <w:r w:rsidR="00A27318" w:rsidRPr="00A27318">
        <w:t>atrix metallopeptidase 9</w:t>
      </w:r>
      <w:r w:rsidR="00A27318">
        <w:t xml:space="preserve">. </w:t>
      </w:r>
      <w:r w:rsidR="004F2E4E">
        <w:t xml:space="preserve">The green </w:t>
      </w:r>
      <w:r w:rsidR="00091AB0">
        <w:t>step arrow</w:t>
      </w:r>
      <w:r w:rsidR="004F2E4E">
        <w:t xml:space="preserve"> represents the receptor. The light blue pentagram represents the ligand. The dark blue rectangle box represents the proteins. </w:t>
      </w:r>
      <w:r w:rsidR="00F3428B">
        <w:t>Black arrow represents signal propagation; red flat arrow represents inhibition of signal propagation; small dark blue rectangle represents a protein or enzyme; small pink rectangle represents mutated protein/enzyme; light blue pentagram represents the ligand; and, green step arrow represents a receptor</w:t>
      </w:r>
      <w:r w:rsidR="004F2E4E">
        <w:t>.</w:t>
      </w:r>
      <w:r w:rsidR="00A91095">
        <w:br w:type="page"/>
      </w:r>
    </w:p>
    <w:p w14:paraId="63F3E2D8" w14:textId="5DBDA92F" w:rsidR="005F0487" w:rsidRPr="00C24BC9" w:rsidRDefault="000B4AC1" w:rsidP="002A2F36">
      <w:pPr>
        <w:tabs>
          <w:tab w:val="left" w:pos="90"/>
          <w:tab w:val="left" w:pos="558"/>
        </w:tabs>
        <w:spacing w:line="480" w:lineRule="auto"/>
        <w:jc w:val="center"/>
        <w:rPr>
          <w:b/>
        </w:rPr>
      </w:pPr>
      <w:r>
        <w:rPr>
          <w:b/>
          <w:noProof/>
          <w:lang w:eastAsia="en-US"/>
        </w:rPr>
        <w:lastRenderedPageBreak/>
        <w:drawing>
          <wp:anchor distT="0" distB="0" distL="114300" distR="114300" simplePos="0" relativeHeight="251671552" behindDoc="1" locked="0" layoutInCell="1" allowOverlap="1" wp14:anchorId="475D8429" wp14:editId="69A3F069">
            <wp:simplePos x="0" y="0"/>
            <wp:positionH relativeFrom="column">
              <wp:posOffset>266700</wp:posOffset>
            </wp:positionH>
            <wp:positionV relativeFrom="paragraph">
              <wp:posOffset>285750</wp:posOffset>
            </wp:positionV>
            <wp:extent cx="7601693" cy="4057650"/>
            <wp:effectExtent l="0" t="0" r="0" b="0"/>
            <wp:wrapTight wrapText="bothSides">
              <wp:wrapPolygon edited="0">
                <wp:start x="0" y="0"/>
                <wp:lineTo x="0" y="21499"/>
                <wp:lineTo x="21544" y="21499"/>
                <wp:lineTo x="2154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01693" cy="4057650"/>
                    </a:xfrm>
                    <a:prstGeom prst="rect">
                      <a:avLst/>
                    </a:prstGeom>
                    <a:noFill/>
                  </pic:spPr>
                </pic:pic>
              </a:graphicData>
            </a:graphic>
          </wp:anchor>
        </w:drawing>
      </w:r>
      <w:r w:rsidR="0029105E">
        <w:rPr>
          <w:b/>
          <w:color w:val="000000"/>
          <w:szCs w:val="20"/>
        </w:rPr>
        <w:t xml:space="preserve">Supplementary </w:t>
      </w:r>
      <w:r w:rsidR="0029105E">
        <w:rPr>
          <w:b/>
        </w:rPr>
        <w:t xml:space="preserve">Figure 3: </w:t>
      </w:r>
      <w:r w:rsidR="0029105E" w:rsidRPr="005F0487">
        <w:rPr>
          <w:b/>
        </w:rPr>
        <w:t xml:space="preserve">RIPK/MLKL </w:t>
      </w:r>
      <w:r w:rsidR="0029105E">
        <w:rPr>
          <w:b/>
        </w:rPr>
        <w:t>signaling in motor neurons.</w:t>
      </w:r>
    </w:p>
    <w:p w14:paraId="1E52741A" w14:textId="77777777" w:rsidR="005F0487" w:rsidRDefault="005F0487">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5C3CD80B"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25390C98"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8A4DA98"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0762B59D"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70DE0AF2"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156C7A0"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4934F335"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0F6306EF"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50DA7A9"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57E5D802"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279CA7DC"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FE06250"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E28642B" w14:textId="77777777" w:rsidR="00A91095" w:rsidRDefault="00A91095">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0E977594" w14:textId="0D716161" w:rsidR="00A91095" w:rsidRDefault="005F0487" w:rsidP="002A2F36">
      <w:pPr>
        <w:jc w:val="both"/>
        <w:rPr>
          <w:b/>
        </w:rPr>
      </w:pPr>
      <w:r>
        <w:t xml:space="preserve">RIPK/MLKL </w:t>
      </w:r>
      <w:r w:rsidRPr="005F0487">
        <w:t>signaling</w:t>
      </w:r>
      <w:r w:rsidRPr="00FB385A">
        <w:rPr>
          <w:b/>
        </w:rPr>
        <w:t xml:space="preserve"> </w:t>
      </w:r>
      <w:r>
        <w:t>initiates neuronal cell death via either IL-1β or NLRP3 inflammasome i</w:t>
      </w:r>
      <w:r w:rsidR="00A91095">
        <w:t>nduced neuroinflammation in ALS.</w:t>
      </w:r>
      <w:r w:rsidR="000B1350" w:rsidRPr="000B1350">
        <w:rPr>
          <w:bCs/>
        </w:rPr>
        <w:t xml:space="preserve"> DRP1 –</w:t>
      </w:r>
      <w:r w:rsidR="000B1350">
        <w:t xml:space="preserve"> </w:t>
      </w:r>
      <w:r w:rsidR="000B1350">
        <w:rPr>
          <w:bCs/>
        </w:rPr>
        <w:t>D</w:t>
      </w:r>
      <w:r w:rsidR="000B1350" w:rsidRPr="000B1350">
        <w:rPr>
          <w:bCs/>
        </w:rPr>
        <w:t>ynamin-related protein 1;</w:t>
      </w:r>
      <w:r w:rsidR="000B1350">
        <w:rPr>
          <w:b/>
        </w:rPr>
        <w:t xml:space="preserve"> </w:t>
      </w:r>
      <w:proofErr w:type="spellStart"/>
      <w:r w:rsidR="0035238B" w:rsidRPr="0035238B">
        <w:rPr>
          <w:bCs/>
        </w:rPr>
        <w:t>FasL</w:t>
      </w:r>
      <w:proofErr w:type="spellEnd"/>
      <w:r w:rsidR="0035238B">
        <w:rPr>
          <w:bCs/>
        </w:rPr>
        <w:t xml:space="preserve"> </w:t>
      </w:r>
      <w:r w:rsidR="0035238B">
        <w:t xml:space="preserve">– </w:t>
      </w:r>
      <w:r w:rsidR="0035238B" w:rsidRPr="0035238B">
        <w:t>FS-7-associated surface antigen</w:t>
      </w:r>
      <w:r w:rsidR="0035238B">
        <w:t xml:space="preserve"> ligand</w:t>
      </w:r>
      <w:r w:rsidR="0035238B">
        <w:rPr>
          <w:bCs/>
        </w:rPr>
        <w:t>;</w:t>
      </w:r>
      <w:r w:rsidR="0035238B" w:rsidRPr="0035238B">
        <w:rPr>
          <w:bCs/>
        </w:rPr>
        <w:t xml:space="preserve"> </w:t>
      </w:r>
      <w:r w:rsidR="0065589C">
        <w:t>IL-1β – Interleukin-1 beta; IL-18 – Interleukin-18</w:t>
      </w:r>
      <w:r w:rsidR="00174E30">
        <w:t>;</w:t>
      </w:r>
      <w:r w:rsidR="0065589C">
        <w:t xml:space="preserve"> </w:t>
      </w:r>
      <w:r w:rsidR="000B1350" w:rsidRPr="000B1350">
        <w:rPr>
          <w:bCs/>
        </w:rPr>
        <w:t>MLKL</w:t>
      </w:r>
      <w:r w:rsidR="000B1350">
        <w:rPr>
          <w:bCs/>
        </w:rPr>
        <w:t xml:space="preserve"> </w:t>
      </w:r>
      <w:r w:rsidR="000B1350">
        <w:t>– M</w:t>
      </w:r>
      <w:r w:rsidR="000B1350" w:rsidRPr="000B1350">
        <w:t xml:space="preserve">ixed lineage kinase domain-like </w:t>
      </w:r>
      <w:proofErr w:type="spellStart"/>
      <w:r w:rsidR="000B1350" w:rsidRPr="000B1350">
        <w:t>pseudokinase</w:t>
      </w:r>
      <w:proofErr w:type="spellEnd"/>
      <w:r w:rsidR="000B1350">
        <w:t>;</w:t>
      </w:r>
      <w:r w:rsidR="000B1350">
        <w:rPr>
          <w:b/>
        </w:rPr>
        <w:t xml:space="preserve"> </w:t>
      </w:r>
      <w:r w:rsidR="000B1350" w:rsidRPr="000B1350">
        <w:rPr>
          <w:bCs/>
        </w:rPr>
        <w:t>NLRP-3</w:t>
      </w:r>
      <w:r w:rsidR="000B1350">
        <w:rPr>
          <w:b/>
        </w:rPr>
        <w:t xml:space="preserve"> </w:t>
      </w:r>
      <w:r w:rsidR="000B1350">
        <w:t>–</w:t>
      </w:r>
      <w:r w:rsidR="000B1350">
        <w:rPr>
          <w:b/>
        </w:rPr>
        <w:t xml:space="preserve"> </w:t>
      </w:r>
      <w:r w:rsidR="000B1350">
        <w:rPr>
          <w:bCs/>
        </w:rPr>
        <w:t>N</w:t>
      </w:r>
      <w:r w:rsidR="000B1350" w:rsidRPr="000B1350">
        <w:rPr>
          <w:bCs/>
        </w:rPr>
        <w:t>ucleotide-binding domain, leucine-rich–containing family, pyrin domain–containing-3;</w:t>
      </w:r>
      <w:r w:rsidR="000B1350">
        <w:rPr>
          <w:b/>
        </w:rPr>
        <w:t xml:space="preserve"> </w:t>
      </w:r>
      <w:r w:rsidR="00805DC3" w:rsidRPr="00805DC3">
        <w:rPr>
          <w:bCs/>
        </w:rPr>
        <w:t>PGAM5 – Phosphoglycerate mutase family member 5</w:t>
      </w:r>
      <w:r w:rsidR="00805DC3">
        <w:rPr>
          <w:bCs/>
        </w:rPr>
        <w:t xml:space="preserve">; </w:t>
      </w:r>
      <w:r w:rsidR="008C0F68" w:rsidRPr="008C0F68">
        <w:rPr>
          <w:bCs/>
        </w:rPr>
        <w:t xml:space="preserve">DRP1 – Dynamin related protein 1; </w:t>
      </w:r>
      <w:r w:rsidR="00FF5F73" w:rsidRPr="00FF5F73">
        <w:rPr>
          <w:bCs/>
        </w:rPr>
        <w:t xml:space="preserve">RIPK1 </w:t>
      </w:r>
      <w:r w:rsidR="00FF5F73">
        <w:t>–</w:t>
      </w:r>
      <w:r w:rsidR="00FF5F73">
        <w:rPr>
          <w:b/>
        </w:rPr>
        <w:t xml:space="preserve"> </w:t>
      </w:r>
      <w:r w:rsidR="00FF5F73" w:rsidRPr="00FF5F73">
        <w:rPr>
          <w:bCs/>
        </w:rPr>
        <w:t>Receptor-interacting serine/threonine-protein kinase 1;</w:t>
      </w:r>
      <w:r w:rsidR="00FF5F73">
        <w:rPr>
          <w:b/>
        </w:rPr>
        <w:t xml:space="preserve"> </w:t>
      </w:r>
      <w:r w:rsidR="00836E35" w:rsidRPr="00836E35">
        <w:rPr>
          <w:bCs/>
        </w:rPr>
        <w:t>TNF-a</w:t>
      </w:r>
      <w:r w:rsidR="00836E35">
        <w:rPr>
          <w:b/>
        </w:rPr>
        <w:t xml:space="preserve"> </w:t>
      </w:r>
      <w:r w:rsidR="00836E35" w:rsidRPr="00805DC3">
        <w:rPr>
          <w:bCs/>
        </w:rPr>
        <w:t>–</w:t>
      </w:r>
      <w:r w:rsidR="00836E35">
        <w:rPr>
          <w:bCs/>
        </w:rPr>
        <w:t xml:space="preserve"> </w:t>
      </w:r>
      <w:r w:rsidR="00836E35" w:rsidRPr="00836E35">
        <w:rPr>
          <w:bCs/>
        </w:rPr>
        <w:t>Tumor Necrosis Factor-alpha</w:t>
      </w:r>
      <w:r w:rsidR="00836E35">
        <w:rPr>
          <w:bCs/>
        </w:rPr>
        <w:t>;</w:t>
      </w:r>
      <w:r w:rsidR="00836E35">
        <w:rPr>
          <w:b/>
        </w:rPr>
        <w:t xml:space="preserve"> </w:t>
      </w:r>
      <w:proofErr w:type="spellStart"/>
      <w:r w:rsidR="00166C77">
        <w:t>FasL</w:t>
      </w:r>
      <w:proofErr w:type="spellEnd"/>
      <w:r w:rsidR="00166C77">
        <w:t xml:space="preserve"> – </w:t>
      </w:r>
      <w:proofErr w:type="spellStart"/>
      <w:r w:rsidR="00166C77">
        <w:t>Fas</w:t>
      </w:r>
      <w:proofErr w:type="spellEnd"/>
      <w:r w:rsidR="00166C77">
        <w:t xml:space="preserve"> Ligand; </w:t>
      </w:r>
      <w:r w:rsidR="0035238B">
        <w:rPr>
          <w:bCs/>
        </w:rPr>
        <w:t xml:space="preserve">TRAIL </w:t>
      </w:r>
      <w:r w:rsidR="0035238B" w:rsidRPr="00805DC3">
        <w:rPr>
          <w:bCs/>
        </w:rPr>
        <w:t>–</w:t>
      </w:r>
      <w:r w:rsidR="0035238B">
        <w:rPr>
          <w:bCs/>
        </w:rPr>
        <w:t xml:space="preserve"> </w:t>
      </w:r>
      <w:r w:rsidR="0035238B" w:rsidRPr="0035238B">
        <w:rPr>
          <w:bCs/>
        </w:rPr>
        <w:t>tumor necrosis factor-re</w:t>
      </w:r>
      <w:r w:rsidR="0035238B">
        <w:rPr>
          <w:bCs/>
        </w:rPr>
        <w:t>l</w:t>
      </w:r>
      <w:r w:rsidR="00836E35">
        <w:rPr>
          <w:bCs/>
        </w:rPr>
        <w:t>ated apoptosis-inducing ligand.</w:t>
      </w:r>
      <w:r w:rsidR="004F2E4E">
        <w:rPr>
          <w:bCs/>
        </w:rPr>
        <w:t xml:space="preserve"> </w:t>
      </w:r>
      <w:r w:rsidR="00F3428B">
        <w:t>Black arrow represents signal propagation; small dark blue rectangle represents a protein or enzyme; purple lozenge represents mRNA; and dark green oval represents small molecules.</w:t>
      </w:r>
      <w:r w:rsidR="004F2E4E">
        <w:rPr>
          <w:bCs/>
        </w:rPr>
        <w:t xml:space="preserve"> </w:t>
      </w:r>
      <w:r w:rsidR="00A91095">
        <w:rPr>
          <w:b/>
        </w:rPr>
        <w:br w:type="page"/>
      </w:r>
    </w:p>
    <w:p w14:paraId="63866BD5" w14:textId="61D41B2D" w:rsidR="00D414D1" w:rsidRPr="00C24BC9" w:rsidRDefault="0029105E" w:rsidP="00BB51D7">
      <w:pPr>
        <w:tabs>
          <w:tab w:val="left" w:pos="90"/>
          <w:tab w:val="left" w:pos="558"/>
        </w:tabs>
        <w:spacing w:line="480" w:lineRule="auto"/>
        <w:jc w:val="center"/>
        <w:rPr>
          <w:b/>
        </w:rPr>
      </w:pPr>
      <w:r w:rsidRPr="009D7C91">
        <w:rPr>
          <w:noProof/>
          <w:lang w:eastAsia="en-US"/>
        </w:rPr>
        <w:lastRenderedPageBreak/>
        <w:drawing>
          <wp:anchor distT="0" distB="0" distL="114300" distR="114300" simplePos="0" relativeHeight="251666432" behindDoc="1" locked="0" layoutInCell="1" allowOverlap="1" wp14:anchorId="514ACBFA" wp14:editId="63ABAB32">
            <wp:simplePos x="0" y="0"/>
            <wp:positionH relativeFrom="column">
              <wp:posOffset>1809750</wp:posOffset>
            </wp:positionH>
            <wp:positionV relativeFrom="paragraph">
              <wp:posOffset>419100</wp:posOffset>
            </wp:positionV>
            <wp:extent cx="4591685" cy="3867150"/>
            <wp:effectExtent l="0" t="0" r="0" b="0"/>
            <wp:wrapTight wrapText="bothSides">
              <wp:wrapPolygon edited="0">
                <wp:start x="0" y="0"/>
                <wp:lineTo x="0" y="21494"/>
                <wp:lineTo x="21507" y="21494"/>
                <wp:lineTo x="21507" y="0"/>
                <wp:lineTo x="0" y="0"/>
              </wp:wrapPolygon>
            </wp:wrapTight>
            <wp:docPr id="14" name="Picture 14" descr="C:\Users\prabhakar\Downloads\Manuscript-Diagrams-NADPH Oxid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abhakar\Downloads\Manuscript-Diagrams-NADPH Oxidas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91685" cy="3867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000000"/>
          <w:szCs w:val="20"/>
        </w:rPr>
        <w:t xml:space="preserve">Supplementary </w:t>
      </w:r>
      <w:r>
        <w:rPr>
          <w:b/>
        </w:rPr>
        <w:t>Figure 4: NADPH oxidase signaling in terminal Schwann cells, motor neurons and muscle cells.</w:t>
      </w:r>
    </w:p>
    <w:p w14:paraId="36E3A5A4" w14:textId="65ABA969"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5656678F"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4BCFB0C4"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79BD248B"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82FE46D"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05B1439"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1239465"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D009753"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AB9FA35"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0BC09FCB"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77BEEEBB"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72D980C7"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D2E5472" w14:textId="77777777" w:rsidR="00A91095" w:rsidRDefault="00A91095" w:rsidP="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CE11E18" w14:textId="77777777" w:rsidR="002A2F36" w:rsidRDefault="002A2F36" w:rsidP="002A2F36">
      <w:pPr>
        <w:jc w:val="both"/>
      </w:pPr>
    </w:p>
    <w:p w14:paraId="156A6086" w14:textId="33A0DA3D" w:rsidR="00F3428B" w:rsidRDefault="00317106" w:rsidP="002A2F36">
      <w:pPr>
        <w:jc w:val="both"/>
        <w:rPr>
          <w:kern w:val="0"/>
          <w:sz w:val="22"/>
          <w:szCs w:val="22"/>
          <w:lang w:eastAsia="en-US"/>
        </w:rPr>
      </w:pPr>
      <w:r>
        <w:t xml:space="preserve">NADPH oxidase from the terminal Schwann cells produces reactive oxygens species (ROS), which in the motor neuron downregulate the neurotransmission of acetylcholine (Ach) thereby promoting muscle atrophy, and in promote neuronal degeneration/death via caspase3/9 pathway. </w:t>
      </w:r>
      <w:r w:rsidR="004C3C2A">
        <w:t xml:space="preserve">Ach </w:t>
      </w:r>
      <w:r w:rsidR="004C3C2A" w:rsidRPr="00805DC3">
        <w:rPr>
          <w:bCs/>
        </w:rPr>
        <w:t>–</w:t>
      </w:r>
      <w:r w:rsidR="004C3C2A">
        <w:rPr>
          <w:bCs/>
        </w:rPr>
        <w:t xml:space="preserve"> </w:t>
      </w:r>
      <w:r w:rsidR="004C3C2A">
        <w:t xml:space="preserve">Acetylcholine; </w:t>
      </w:r>
      <w:proofErr w:type="spellStart"/>
      <w:r w:rsidR="004C3C2A">
        <w:t>AchR</w:t>
      </w:r>
      <w:proofErr w:type="spellEnd"/>
      <w:r w:rsidR="004C3C2A">
        <w:t xml:space="preserve"> </w:t>
      </w:r>
      <w:r w:rsidR="004C3C2A" w:rsidRPr="00805DC3">
        <w:rPr>
          <w:bCs/>
        </w:rPr>
        <w:t>–</w:t>
      </w:r>
      <w:r w:rsidR="004C3C2A">
        <w:rPr>
          <w:bCs/>
        </w:rPr>
        <w:t xml:space="preserve"> </w:t>
      </w:r>
      <w:r w:rsidR="004C3C2A">
        <w:t>Acetylcholine Receptor;</w:t>
      </w:r>
      <w:r w:rsidR="00D9598F">
        <w:t xml:space="preserve"> ATP </w:t>
      </w:r>
      <w:r w:rsidR="00D9598F" w:rsidRPr="00805DC3">
        <w:rPr>
          <w:bCs/>
        </w:rPr>
        <w:t>–</w:t>
      </w:r>
      <w:r w:rsidR="00D9598F">
        <w:rPr>
          <w:bCs/>
        </w:rPr>
        <w:t xml:space="preserve"> </w:t>
      </w:r>
      <w:r w:rsidR="00D9598F" w:rsidRPr="00D9598F">
        <w:rPr>
          <w:bCs/>
        </w:rPr>
        <w:t>Adenosine triphosphate</w:t>
      </w:r>
      <w:r w:rsidR="00D9598F">
        <w:rPr>
          <w:bCs/>
        </w:rPr>
        <w:t xml:space="preserve">; </w:t>
      </w:r>
      <w:r w:rsidR="004C3C2A">
        <w:t xml:space="preserve">CRMP2 </w:t>
      </w:r>
      <w:r w:rsidR="004C3C2A" w:rsidRPr="00805DC3">
        <w:rPr>
          <w:bCs/>
        </w:rPr>
        <w:t>–</w:t>
      </w:r>
      <w:r w:rsidR="004C3C2A">
        <w:rPr>
          <w:bCs/>
        </w:rPr>
        <w:t xml:space="preserve"> </w:t>
      </w:r>
      <w:proofErr w:type="spellStart"/>
      <w:r w:rsidR="004C3C2A" w:rsidRPr="004C3C2A">
        <w:t>Collapsin</w:t>
      </w:r>
      <w:proofErr w:type="spellEnd"/>
      <w:r w:rsidR="004C3C2A" w:rsidRPr="004C3C2A">
        <w:t xml:space="preserve"> response mediator protein 2</w:t>
      </w:r>
      <w:r w:rsidR="004C3C2A">
        <w:t xml:space="preserve">; EGFR </w:t>
      </w:r>
      <w:r w:rsidR="004C3C2A" w:rsidRPr="00805DC3">
        <w:rPr>
          <w:bCs/>
        </w:rPr>
        <w:t>–</w:t>
      </w:r>
      <w:r w:rsidR="004C3C2A">
        <w:rPr>
          <w:bCs/>
        </w:rPr>
        <w:t xml:space="preserve"> </w:t>
      </w:r>
      <w:r w:rsidR="004C3C2A">
        <w:t>E</w:t>
      </w:r>
      <w:r w:rsidR="004C3C2A" w:rsidRPr="004C3C2A">
        <w:t>pidermal growth factor receptor</w:t>
      </w:r>
      <w:r w:rsidR="004C3C2A">
        <w:t>;</w:t>
      </w:r>
      <w:r w:rsidR="001F23F6">
        <w:t xml:space="preserve"> GSK-3</w:t>
      </w:r>
      <w:r w:rsidR="001F23F6" w:rsidRPr="001F23F6">
        <w:t>β</w:t>
      </w:r>
      <w:r w:rsidR="001F23F6">
        <w:t xml:space="preserve"> </w:t>
      </w:r>
      <w:r w:rsidR="001F23F6" w:rsidRPr="00805DC3">
        <w:rPr>
          <w:bCs/>
        </w:rPr>
        <w:t>–</w:t>
      </w:r>
      <w:r w:rsidR="001F23F6">
        <w:rPr>
          <w:bCs/>
        </w:rPr>
        <w:t xml:space="preserve"> </w:t>
      </w:r>
      <w:r w:rsidR="001F23F6" w:rsidRPr="001F23F6">
        <w:rPr>
          <w:bCs/>
        </w:rPr>
        <w:t>glycogen synthase kinase-3</w:t>
      </w:r>
      <w:r w:rsidR="005E0B77">
        <w:rPr>
          <w:bCs/>
        </w:rPr>
        <w:t xml:space="preserve"> </w:t>
      </w:r>
      <w:r w:rsidR="001F23F6" w:rsidRPr="001F23F6">
        <w:rPr>
          <w:bCs/>
        </w:rPr>
        <w:t>beta</w:t>
      </w:r>
      <w:r w:rsidR="001F23F6">
        <w:rPr>
          <w:bCs/>
        </w:rPr>
        <w:t>;</w:t>
      </w:r>
      <w:r w:rsidR="001F23F6">
        <w:t xml:space="preserve"> </w:t>
      </w:r>
      <w:r w:rsidR="005E0B77">
        <w:t xml:space="preserve">P2X7 </w:t>
      </w:r>
      <w:r w:rsidR="005E0B77" w:rsidRPr="00805DC3">
        <w:rPr>
          <w:bCs/>
        </w:rPr>
        <w:t>–</w:t>
      </w:r>
      <w:r w:rsidR="005E0B77">
        <w:rPr>
          <w:bCs/>
        </w:rPr>
        <w:t xml:space="preserve"> </w:t>
      </w:r>
      <w:r w:rsidR="005E0B77">
        <w:t xml:space="preserve">P2X purinoceptor 7; </w:t>
      </w:r>
      <w:r w:rsidR="009213CA">
        <w:t xml:space="preserve">NADP Oxidase – </w:t>
      </w:r>
      <w:r w:rsidR="009213CA" w:rsidRPr="009213CA">
        <w:t>nicotinamide adenine dinucleotide phosphate oxidase</w:t>
      </w:r>
      <w:r w:rsidR="009213CA">
        <w:t xml:space="preserve">; </w:t>
      </w:r>
      <w:r w:rsidR="001F23F6">
        <w:t xml:space="preserve">ROS – </w:t>
      </w:r>
      <w:r w:rsidR="001F23F6" w:rsidRPr="00F131D9">
        <w:t>Reactive oxygen species</w:t>
      </w:r>
      <w:r w:rsidR="001F23F6">
        <w:t>.</w:t>
      </w:r>
      <w:r w:rsidR="004F2E4E">
        <w:t xml:space="preserve"> </w:t>
      </w:r>
      <w:r w:rsidR="00F3428B">
        <w:t>Double-sided orange rectangle represents a molecular pathway within a cell; black arrow represents signal propagation; red flat arrow represents inhibition of signal propagation; small dark blue rectangle represents a protein or enzyme; dark green oval represents small molecules; and, green step arrow represents a receptor.</w:t>
      </w:r>
    </w:p>
    <w:p w14:paraId="2D05B69E" w14:textId="77777777" w:rsidR="00A91095" w:rsidRDefault="004C3C2A" w:rsidP="004C3C2A">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pPr>
      <w:r>
        <w:t xml:space="preserve"> </w:t>
      </w:r>
      <w:r w:rsidR="00A91095">
        <w:br w:type="page"/>
      </w:r>
    </w:p>
    <w:p w14:paraId="4F3B9F3E" w14:textId="15F651A6" w:rsidR="00996D26" w:rsidRPr="00C24BC9" w:rsidRDefault="00A91095" w:rsidP="002A2F36">
      <w:pPr>
        <w:tabs>
          <w:tab w:val="left" w:pos="90"/>
          <w:tab w:val="left" w:pos="558"/>
        </w:tabs>
        <w:spacing w:line="480" w:lineRule="auto"/>
        <w:jc w:val="center"/>
        <w:rPr>
          <w:b/>
        </w:rPr>
      </w:pPr>
      <w:r w:rsidRPr="009D7C91">
        <w:rPr>
          <w:b/>
          <w:noProof/>
          <w:lang w:eastAsia="en-US"/>
        </w:rPr>
        <w:lastRenderedPageBreak/>
        <w:drawing>
          <wp:anchor distT="0" distB="0" distL="114300" distR="114300" simplePos="0" relativeHeight="251667456" behindDoc="1" locked="0" layoutInCell="1" allowOverlap="1" wp14:anchorId="76BA22FC" wp14:editId="7E275AB2">
            <wp:simplePos x="0" y="0"/>
            <wp:positionH relativeFrom="column">
              <wp:posOffset>2369820</wp:posOffset>
            </wp:positionH>
            <wp:positionV relativeFrom="paragraph">
              <wp:posOffset>189865</wp:posOffset>
            </wp:positionV>
            <wp:extent cx="3413125" cy="4425315"/>
            <wp:effectExtent l="0" t="0" r="0" b="0"/>
            <wp:wrapTight wrapText="bothSides">
              <wp:wrapPolygon edited="0">
                <wp:start x="0" y="0"/>
                <wp:lineTo x="0" y="21479"/>
                <wp:lineTo x="21459" y="21479"/>
                <wp:lineTo x="21459" y="0"/>
                <wp:lineTo x="0" y="0"/>
              </wp:wrapPolygon>
            </wp:wrapTight>
            <wp:docPr id="17" name="Picture 17" descr="C:\Users\prabhakar\Downloads\Manuscript-Diagrams-SARM1 Signa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abhakar\Downloads\Manuscript-Diagrams-SARM1 Signali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3125" cy="4425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105E">
        <w:rPr>
          <w:b/>
          <w:color w:val="000000"/>
          <w:szCs w:val="20"/>
        </w:rPr>
        <w:t xml:space="preserve">Supplementary </w:t>
      </w:r>
      <w:r w:rsidR="0029105E">
        <w:rPr>
          <w:b/>
        </w:rPr>
        <w:t>Figure 5: SARM1</w:t>
      </w:r>
      <w:r w:rsidR="0029105E" w:rsidRPr="005F0487">
        <w:rPr>
          <w:b/>
        </w:rPr>
        <w:t xml:space="preserve"> </w:t>
      </w:r>
      <w:proofErr w:type="gramStart"/>
      <w:r w:rsidR="0029105E">
        <w:rPr>
          <w:b/>
        </w:rPr>
        <w:t xml:space="preserve">signaling </w:t>
      </w:r>
      <w:r w:rsidR="0029105E">
        <w:rPr>
          <w:snapToGrid w:val="0"/>
          <w:color w:val="000000"/>
          <w:w w:val="0"/>
          <w:sz w:val="0"/>
          <w:szCs w:val="0"/>
          <w:u w:color="000000"/>
          <w:bdr w:val="none" w:sz="0" w:space="0" w:color="000000"/>
          <w:shd w:val="clear" w:color="000000" w:fill="000000"/>
          <w:lang w:eastAsia="x-none" w:bidi="x-none"/>
        </w:rPr>
        <w:t xml:space="preserve"> </w:t>
      </w:r>
      <w:r w:rsidR="0029105E">
        <w:rPr>
          <w:b/>
        </w:rPr>
        <w:t>in</w:t>
      </w:r>
      <w:proofErr w:type="gramEnd"/>
      <w:r w:rsidR="0029105E">
        <w:rPr>
          <w:b/>
        </w:rPr>
        <w:t xml:space="preserve"> motor neurons. </w:t>
      </w:r>
    </w:p>
    <w:p w14:paraId="3D58F12E" w14:textId="77777777" w:rsidR="00996D26" w:rsidRDefault="00996D26">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18293B85" w14:textId="77777777" w:rsidR="00D414D1" w:rsidRDefault="00D414D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00DD0D93" w14:textId="77777777" w:rsidR="00996D26" w:rsidRDefault="00996D26">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B5E72FB"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16DD1F7"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5D1CBA4F"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22450C7"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63BA13C"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28A54474"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73FDED2"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1853FF79"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97C8EFC"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6A864511"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3C14901E"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7BE99ACC"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4BE48463" w14:textId="394D1A69" w:rsidR="00F3428B" w:rsidRDefault="00C56121" w:rsidP="002A2F36">
      <w:pPr>
        <w:jc w:val="both"/>
      </w:pPr>
      <w:r>
        <w:t>Any physical or chemical damage upregulates SARM1 signaling that leads to neurodegeneration/death.</w:t>
      </w:r>
      <w:r w:rsidR="00897F1B">
        <w:t xml:space="preserve"> JNK2 </w:t>
      </w:r>
      <w:r w:rsidR="00897F1B" w:rsidRPr="00805DC3">
        <w:rPr>
          <w:bCs/>
        </w:rPr>
        <w:t>–</w:t>
      </w:r>
      <w:r w:rsidR="00897F1B">
        <w:rPr>
          <w:bCs/>
        </w:rPr>
        <w:t xml:space="preserve"> </w:t>
      </w:r>
      <w:r w:rsidR="00694CD7" w:rsidRPr="00694CD7">
        <w:rPr>
          <w:color w:val="040C28"/>
        </w:rPr>
        <w:t>c-Jun N-terminal kinase</w:t>
      </w:r>
      <w:r w:rsidR="00897F1B">
        <w:t xml:space="preserve">; MKK4 </w:t>
      </w:r>
      <w:r w:rsidR="00897F1B" w:rsidRPr="00805DC3">
        <w:rPr>
          <w:bCs/>
        </w:rPr>
        <w:t>–</w:t>
      </w:r>
      <w:r w:rsidR="00897F1B">
        <w:t xml:space="preserve"> </w:t>
      </w:r>
      <w:r w:rsidR="00694CD7" w:rsidRPr="00694CD7">
        <w:t xml:space="preserve">Mitogen-activated protein kinase </w:t>
      </w:r>
      <w:proofErr w:type="spellStart"/>
      <w:r w:rsidR="00694CD7" w:rsidRPr="00694CD7">
        <w:t>kinase</w:t>
      </w:r>
      <w:proofErr w:type="spellEnd"/>
      <w:r w:rsidR="00694CD7" w:rsidRPr="00694CD7">
        <w:t xml:space="preserve"> 4</w:t>
      </w:r>
      <w:r w:rsidR="00897F1B">
        <w:t xml:space="preserve">; SARM1 </w:t>
      </w:r>
      <w:r w:rsidR="00897F1B" w:rsidRPr="00805DC3">
        <w:rPr>
          <w:bCs/>
        </w:rPr>
        <w:t>–</w:t>
      </w:r>
      <w:r w:rsidR="00694CD7">
        <w:t xml:space="preserve"> S</w:t>
      </w:r>
      <w:r w:rsidR="00694CD7" w:rsidRPr="00694CD7">
        <w:t>terile alpha- and armadillo-motif-containing protein</w:t>
      </w:r>
      <w:r w:rsidR="00694CD7">
        <w:t xml:space="preserve">. </w:t>
      </w:r>
      <w:r w:rsidR="00087E8D" w:rsidRPr="00087E8D">
        <w:t>The dark blue rectangle box represents the proteins.</w:t>
      </w:r>
      <w:r w:rsidR="00087E8D">
        <w:t xml:space="preserve"> </w:t>
      </w:r>
      <w:r w:rsidR="00087E8D" w:rsidRPr="00087E8D">
        <w:t>Double-sided orange rectangle represents the signaling pathways.</w:t>
      </w:r>
      <w:r w:rsidR="00087E8D">
        <w:t xml:space="preserve"> </w:t>
      </w:r>
      <w:r w:rsidR="00087E8D" w:rsidRPr="00087E8D">
        <w:t>The bright green small circle represents the phosphorylated protein.</w:t>
      </w:r>
      <w:r w:rsidR="00492A24">
        <w:t xml:space="preserve"> </w:t>
      </w:r>
      <w:r w:rsidR="00492A24" w:rsidRPr="00492A24">
        <w:t>The black arrow represents signal propagation.</w:t>
      </w:r>
      <w:r w:rsidR="00F3428B">
        <w:t xml:space="preserve"> Double-sided orange rectangle represents a molecular pathway within a cell; black arrow represents signal propagation; small dark blue rectangle represents a protein or enzyme; and, dark green oval represents small molecules.</w:t>
      </w:r>
    </w:p>
    <w:p w14:paraId="7A6C0D09" w14:textId="77777777" w:rsidR="002A2F36" w:rsidRDefault="002A2F36" w:rsidP="002A2F36">
      <w:pPr>
        <w:jc w:val="both"/>
        <w:rPr>
          <w:kern w:val="0"/>
          <w:sz w:val="22"/>
          <w:szCs w:val="22"/>
          <w:lang w:eastAsia="en-US"/>
        </w:rPr>
      </w:pPr>
    </w:p>
    <w:p w14:paraId="18B7A29C" w14:textId="7A9CE19C" w:rsidR="00883476" w:rsidRPr="00C24BC9" w:rsidRDefault="0029105E" w:rsidP="002A2F36">
      <w:pPr>
        <w:tabs>
          <w:tab w:val="left" w:pos="90"/>
          <w:tab w:val="left" w:pos="558"/>
        </w:tabs>
        <w:spacing w:line="480" w:lineRule="auto"/>
        <w:jc w:val="center"/>
        <w:rPr>
          <w:b/>
        </w:rPr>
      </w:pPr>
      <w:r>
        <w:rPr>
          <w:b/>
          <w:color w:val="000000"/>
          <w:szCs w:val="20"/>
        </w:rPr>
        <w:lastRenderedPageBreak/>
        <w:t xml:space="preserve">Supplementary </w:t>
      </w:r>
      <w:r>
        <w:rPr>
          <w:b/>
        </w:rPr>
        <w:t>Figure 6: Sema3a</w:t>
      </w:r>
      <w:r w:rsidRPr="005F0487">
        <w:rPr>
          <w:b/>
        </w:rPr>
        <w:t xml:space="preserve"> </w:t>
      </w:r>
      <w:r>
        <w:rPr>
          <w:b/>
        </w:rPr>
        <w:t>signaling</w:t>
      </w:r>
      <w:r w:rsidRPr="00367561">
        <w:rPr>
          <w:snapToGrid w:val="0"/>
          <w:color w:val="000000"/>
          <w:w w:val="0"/>
          <w:sz w:val="0"/>
          <w:szCs w:val="0"/>
          <w:u w:color="000000"/>
          <w:bdr w:val="none" w:sz="0" w:space="0" w:color="000000"/>
          <w:shd w:val="clear" w:color="000000" w:fill="000000"/>
          <w:lang w:val="x-none" w:eastAsia="x-none" w:bidi="x-none"/>
        </w:rPr>
        <w:t xml:space="preserve"> </w:t>
      </w:r>
      <w:r>
        <w:rPr>
          <w:b/>
        </w:rPr>
        <w:t>in terminal Schwann cells and motor neurons.</w:t>
      </w:r>
    </w:p>
    <w:p w14:paraId="57E5E993" w14:textId="02CD97FC" w:rsidR="00883476" w:rsidRDefault="0029105E">
      <w:pPr>
        <w:pBdr>
          <w:top w:val="none" w:sz="0" w:space="0" w:color="auto"/>
          <w:left w:val="none" w:sz="0" w:space="0" w:color="auto"/>
          <w:bottom w:val="none" w:sz="0" w:space="0" w:color="auto"/>
          <w:right w:val="none" w:sz="0" w:space="0" w:color="auto"/>
        </w:pBdr>
        <w:suppressAutoHyphens w:val="0"/>
        <w:spacing w:after="160" w:line="259" w:lineRule="auto"/>
        <w:textAlignment w:val="auto"/>
      </w:pPr>
      <w:r w:rsidRPr="009D7C91">
        <w:rPr>
          <w:noProof/>
          <w:lang w:eastAsia="en-US"/>
        </w:rPr>
        <w:drawing>
          <wp:anchor distT="0" distB="0" distL="114300" distR="114300" simplePos="0" relativeHeight="251668480" behindDoc="1" locked="0" layoutInCell="1" allowOverlap="1" wp14:anchorId="03CBA2F5" wp14:editId="3DC9B4BC">
            <wp:simplePos x="0" y="0"/>
            <wp:positionH relativeFrom="column">
              <wp:posOffset>2344140</wp:posOffset>
            </wp:positionH>
            <wp:positionV relativeFrom="paragraph">
              <wp:posOffset>7163</wp:posOffset>
            </wp:positionV>
            <wp:extent cx="4018915" cy="4609465"/>
            <wp:effectExtent l="0" t="0" r="635" b="635"/>
            <wp:wrapTight wrapText="bothSides">
              <wp:wrapPolygon edited="0">
                <wp:start x="0" y="0"/>
                <wp:lineTo x="0" y="21514"/>
                <wp:lineTo x="21501" y="21514"/>
                <wp:lineTo x="21501" y="0"/>
                <wp:lineTo x="0" y="0"/>
              </wp:wrapPolygon>
            </wp:wrapTight>
            <wp:docPr id="18" name="Picture 18" descr="C:\Users\prabhakar\Downloads\Manuscript-Diagrams-Sema3A Signa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abhakar\Downloads\Manuscript-Diagrams-Sema3A Signali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8915" cy="4609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3EA15E" w14:textId="77777777" w:rsidR="00883476" w:rsidRDefault="00883476">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3FC15B61" w14:textId="77777777" w:rsidR="00883476" w:rsidRDefault="00883476">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77DB75F8"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3949B437"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5B93650A"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40982047"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271B0FFF"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5441790F"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6ECE22F7"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75205ADC"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754A90F2"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48A78AD3"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5E85A4AE"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3DCC24DB" w14:textId="77777777" w:rsidR="0029105E" w:rsidRDefault="0029105E">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480B93DB" w14:textId="77777777" w:rsidR="009D7C91" w:rsidRDefault="009D7C91">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7F3420EE" w14:textId="46EAE166" w:rsidR="00A91095" w:rsidRDefault="003A469A" w:rsidP="002A2F36">
      <w:pPr>
        <w:jc w:val="both"/>
        <w:rPr>
          <w:b/>
        </w:rPr>
      </w:pPr>
      <w:r>
        <w:t>Sema3A, derived from terminal Schwann cells, leads to neuronal degeneration/death via NRP-1-Fyn-GSK-3β pathway in motor neurons</w:t>
      </w:r>
      <w:r w:rsidR="00A91095">
        <w:rPr>
          <w:b/>
        </w:rPr>
        <w:t>.</w:t>
      </w:r>
      <w:r w:rsidR="00FF4FF6" w:rsidRPr="00FF4FF6">
        <w:rPr>
          <w:bCs/>
        </w:rPr>
        <w:t xml:space="preserve"> Cdk5 – Cyclin-dependent kinase 5; CRMP2 – </w:t>
      </w:r>
      <w:proofErr w:type="spellStart"/>
      <w:r w:rsidR="00FF4FF6" w:rsidRPr="00FF4FF6">
        <w:rPr>
          <w:bCs/>
        </w:rPr>
        <w:t>Collapsin</w:t>
      </w:r>
      <w:proofErr w:type="spellEnd"/>
      <w:r w:rsidR="00FF4FF6" w:rsidRPr="00FF4FF6">
        <w:rPr>
          <w:bCs/>
        </w:rPr>
        <w:t xml:space="preserve"> Response Mediator Protein 2; Fyn – tyrosine-protein kinase Fyn; GSK-3β – glycogen synthase kinase-3 beta; Sema3A –</w:t>
      </w:r>
      <w:r w:rsidR="00FF4FF6">
        <w:rPr>
          <w:bCs/>
        </w:rPr>
        <w:t xml:space="preserve"> </w:t>
      </w:r>
      <w:proofErr w:type="spellStart"/>
      <w:r w:rsidR="00FF4FF6">
        <w:rPr>
          <w:bCs/>
        </w:rPr>
        <w:t>Semmaphorin</w:t>
      </w:r>
      <w:proofErr w:type="spellEnd"/>
      <w:r w:rsidR="00FF4FF6">
        <w:rPr>
          <w:bCs/>
        </w:rPr>
        <w:t xml:space="preserve"> 3</w:t>
      </w:r>
      <w:r w:rsidR="00FF4FF6" w:rsidRPr="00FF4FF6">
        <w:rPr>
          <w:bCs/>
        </w:rPr>
        <w:t>A</w:t>
      </w:r>
      <w:r w:rsidR="00FF4FF6">
        <w:rPr>
          <w:bCs/>
        </w:rPr>
        <w:t xml:space="preserve">. </w:t>
      </w:r>
      <w:r w:rsidR="00F3428B">
        <w:t>Double-sided orange rectangle represents a molecular pathway within a cell; black arrow represents signal propagation; small dark blue rectangle represents a protein or enzyme; and, dark green oval represents small molecules.</w:t>
      </w:r>
      <w:r w:rsidR="00492A24" w:rsidRPr="00492A24">
        <w:rPr>
          <w:b/>
        </w:rPr>
        <w:t xml:space="preserve"> </w:t>
      </w:r>
      <w:r w:rsidR="00A91095">
        <w:rPr>
          <w:b/>
        </w:rPr>
        <w:br w:type="page"/>
      </w:r>
    </w:p>
    <w:p w14:paraId="0DE04BA4" w14:textId="43451FBF" w:rsidR="00886AEB" w:rsidRPr="00C24BC9" w:rsidRDefault="009D7C91" w:rsidP="002A2F36">
      <w:pPr>
        <w:tabs>
          <w:tab w:val="left" w:pos="90"/>
          <w:tab w:val="left" w:pos="558"/>
        </w:tabs>
        <w:spacing w:line="480" w:lineRule="auto"/>
        <w:jc w:val="center"/>
        <w:rPr>
          <w:b/>
        </w:rPr>
      </w:pPr>
      <w:r w:rsidRPr="009D7C91">
        <w:rPr>
          <w:noProof/>
          <w:lang w:eastAsia="en-US"/>
        </w:rPr>
        <w:lastRenderedPageBreak/>
        <w:drawing>
          <wp:anchor distT="0" distB="0" distL="114300" distR="114300" simplePos="0" relativeHeight="251669504" behindDoc="1" locked="0" layoutInCell="1" allowOverlap="1" wp14:anchorId="7F652A35" wp14:editId="671138ED">
            <wp:simplePos x="0" y="0"/>
            <wp:positionH relativeFrom="column">
              <wp:posOffset>1919605</wp:posOffset>
            </wp:positionH>
            <wp:positionV relativeFrom="paragraph">
              <wp:posOffset>243840</wp:posOffset>
            </wp:positionV>
            <wp:extent cx="4300220" cy="4434840"/>
            <wp:effectExtent l="0" t="0" r="5080" b="3810"/>
            <wp:wrapTight wrapText="bothSides">
              <wp:wrapPolygon edited="0">
                <wp:start x="0" y="0"/>
                <wp:lineTo x="0" y="21526"/>
                <wp:lineTo x="21530" y="21526"/>
                <wp:lineTo x="21530" y="0"/>
                <wp:lineTo x="0" y="0"/>
              </wp:wrapPolygon>
            </wp:wrapTight>
            <wp:docPr id="19" name="Picture 19" descr="C:\Users\prabhakar\Downloads\Manuscript-Diagrams-Nrf2 Signa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abhakar\Downloads\Manuscript-Diagrams-Nrf2 Signaling.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00220" cy="443484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05E" w:rsidRPr="00012433">
        <w:rPr>
          <w:b/>
        </w:rPr>
        <w:t>Supplementary Figure 7</w:t>
      </w:r>
      <w:r w:rsidR="0029105E" w:rsidRPr="0029105E">
        <w:rPr>
          <w:b/>
        </w:rPr>
        <w:t xml:space="preserve">: </w:t>
      </w:r>
      <w:r w:rsidR="0029105E" w:rsidRPr="002D0B16">
        <w:rPr>
          <w:b/>
        </w:rPr>
        <w:t>Nrf2 signaling in motor neurons.</w:t>
      </w:r>
      <w:r w:rsidR="0029105E" w:rsidRPr="00012433">
        <w:rPr>
          <w:bCs/>
        </w:rPr>
        <w:t xml:space="preserve"> </w:t>
      </w:r>
    </w:p>
    <w:p w14:paraId="70C28BBF" w14:textId="77777777" w:rsidR="00886AEB" w:rsidRDefault="00886AEB">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72780EED"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02E193B6"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22EC591A"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602305D3"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3AA35628"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272D0297"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04C92E54"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35030D54"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51232DED"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4DA5B1D7"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68A46FA7"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075C3EC0"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78E0007F" w14:textId="77777777" w:rsidR="009D7C91" w:rsidRDefault="009D7C91" w:rsidP="00886AEB">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4480038B" w14:textId="77777777" w:rsidR="00886AEB" w:rsidRPr="00C56121" w:rsidRDefault="00886AEB">
      <w:pPr>
        <w:pBdr>
          <w:top w:val="none" w:sz="0" w:space="0" w:color="auto"/>
          <w:left w:val="none" w:sz="0" w:space="0" w:color="auto"/>
          <w:bottom w:val="none" w:sz="0" w:space="0" w:color="auto"/>
          <w:right w:val="none" w:sz="0" w:space="0" w:color="auto"/>
        </w:pBdr>
        <w:suppressAutoHyphens w:val="0"/>
        <w:spacing w:after="160" w:line="259" w:lineRule="auto"/>
        <w:textAlignment w:val="auto"/>
      </w:pPr>
    </w:p>
    <w:p w14:paraId="7E14CBA0" w14:textId="77777777" w:rsidR="00E54056" w:rsidRDefault="00E54056" w:rsidP="00E54056">
      <w:pPr>
        <w:pBdr>
          <w:top w:val="none" w:sz="0" w:space="0" w:color="auto"/>
          <w:left w:val="none" w:sz="0" w:space="0" w:color="auto"/>
          <w:bottom w:val="none" w:sz="0" w:space="0" w:color="auto"/>
          <w:right w:val="none" w:sz="0" w:space="0" w:color="auto"/>
        </w:pBdr>
        <w:suppressAutoHyphens w:val="0"/>
        <w:spacing w:after="160" w:line="259" w:lineRule="auto"/>
        <w:jc w:val="both"/>
        <w:textAlignment w:val="auto"/>
        <w:rPr>
          <w:b/>
        </w:rPr>
      </w:pPr>
    </w:p>
    <w:p w14:paraId="7ED4BB0C" w14:textId="3BD5D568" w:rsidR="00F3428B" w:rsidRDefault="00012433" w:rsidP="002A2F36">
      <w:pPr>
        <w:jc w:val="both"/>
      </w:pPr>
      <w:r w:rsidRPr="00012433">
        <w:rPr>
          <w:bCs/>
        </w:rPr>
        <w:t xml:space="preserve">Nrf2 signaling upregulates antioxidant enzymes that prevent neurodegeneration in motor neurons. </w:t>
      </w:r>
      <w:r w:rsidR="00D54730">
        <w:rPr>
          <w:bCs/>
        </w:rPr>
        <w:t xml:space="preserve">ARE </w:t>
      </w:r>
      <w:r w:rsidR="00D54730" w:rsidRPr="00012433">
        <w:rPr>
          <w:bCs/>
        </w:rPr>
        <w:t>–</w:t>
      </w:r>
      <w:r w:rsidR="00D54730">
        <w:rPr>
          <w:bCs/>
        </w:rPr>
        <w:t xml:space="preserve"> </w:t>
      </w:r>
      <w:r w:rsidR="00D54730" w:rsidRPr="00D54730">
        <w:rPr>
          <w:bCs/>
        </w:rPr>
        <w:t>Antioxidant response element</w:t>
      </w:r>
      <w:r w:rsidR="00D54730">
        <w:rPr>
          <w:bCs/>
        </w:rPr>
        <w:t xml:space="preserve">; </w:t>
      </w:r>
      <w:r w:rsidRPr="00012433">
        <w:rPr>
          <w:bCs/>
        </w:rPr>
        <w:t xml:space="preserve">Keap-1 – Kelch-like ECH-associated protein 1; NRF2 – Nuclear factor erythroid 2–related factor 2; </w:t>
      </w:r>
      <w:proofErr w:type="spellStart"/>
      <w:r w:rsidRPr="00012433">
        <w:rPr>
          <w:bCs/>
        </w:rPr>
        <w:t>Maf</w:t>
      </w:r>
      <w:proofErr w:type="spellEnd"/>
      <w:r w:rsidRPr="00012433">
        <w:rPr>
          <w:bCs/>
        </w:rPr>
        <w:t xml:space="preserve"> – musculoaponeurotic fibrosarcoma; mTDP-43 – mutated TAR DNA-binding protein 43</w:t>
      </w:r>
      <w:r>
        <w:rPr>
          <w:bCs/>
        </w:rPr>
        <w:t xml:space="preserve">. </w:t>
      </w:r>
      <w:r w:rsidR="00B80017">
        <w:t>B</w:t>
      </w:r>
      <w:r w:rsidR="00F3428B">
        <w:t xml:space="preserve">lack arrow represents signal propagation; red flat arrow represents inhibition of signal propagation; small dark blue rectangle represents a protein or enzyme; purple lozenge represents mRNA; </w:t>
      </w:r>
      <w:r w:rsidR="00B80017">
        <w:t xml:space="preserve">and, </w:t>
      </w:r>
      <w:r w:rsidR="00F3428B">
        <w:t>dark green oval represents small molecules.</w:t>
      </w:r>
      <w:r w:rsidR="00F3428B">
        <w:br w:type="page"/>
      </w:r>
    </w:p>
    <w:p w14:paraId="4218BA5D" w14:textId="77777777" w:rsidR="00012433" w:rsidRDefault="00012433">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53B1B8AA" w14:textId="22E8343A" w:rsidR="002A3DB0" w:rsidRDefault="002A3DB0" w:rsidP="002A3DB0">
      <w:pPr>
        <w:tabs>
          <w:tab w:val="left" w:pos="90"/>
          <w:tab w:val="left" w:pos="558"/>
        </w:tabs>
        <w:spacing w:line="480" w:lineRule="auto"/>
        <w:jc w:val="center"/>
        <w:rPr>
          <w:b/>
          <w:noProof/>
          <w:lang w:eastAsia="en-US"/>
        </w:rPr>
      </w:pPr>
      <w:r>
        <w:rPr>
          <w:b/>
          <w:noProof/>
          <w:lang w:eastAsia="en-US"/>
        </w:rPr>
        <w:t xml:space="preserve">Supplementary </w:t>
      </w:r>
      <w:r w:rsidRPr="008B260D">
        <w:rPr>
          <w:b/>
          <w:noProof/>
          <w:lang w:eastAsia="en-US"/>
        </w:rPr>
        <w:t xml:space="preserve">Table </w:t>
      </w:r>
      <w:r>
        <w:rPr>
          <w:b/>
          <w:noProof/>
          <w:lang w:eastAsia="en-US"/>
        </w:rPr>
        <w:t>1</w:t>
      </w:r>
      <w:r w:rsidR="00F5542A">
        <w:rPr>
          <w:b/>
          <w:noProof/>
          <w:lang w:eastAsia="en-US"/>
        </w:rPr>
        <w:t>:</w:t>
      </w:r>
      <w:r w:rsidR="00F5542A" w:rsidRPr="00F5542A">
        <w:rPr>
          <w:noProof/>
          <w:lang w:eastAsia="en-US"/>
        </w:rPr>
        <w:t xml:space="preserve"> </w:t>
      </w:r>
      <w:r w:rsidR="00F5542A" w:rsidRPr="002A2F36">
        <w:rPr>
          <w:b/>
          <w:bCs/>
          <w:noProof/>
          <w:lang w:eastAsia="en-US"/>
        </w:rPr>
        <w:t>Legend of symbols used in interactome figures</w:t>
      </w:r>
      <w:r w:rsidR="00F5542A">
        <w:rPr>
          <w:b/>
          <w:bCs/>
          <w:noProof/>
          <w:lang w:eastAsia="en-US"/>
        </w:rPr>
        <w:t>.</w:t>
      </w:r>
    </w:p>
    <w:p w14:paraId="64063FC0" w14:textId="5EDC19C6" w:rsidR="002A3DB0" w:rsidRDefault="00F5542A" w:rsidP="002A3DB0">
      <w:pPr>
        <w:tabs>
          <w:tab w:val="left" w:pos="90"/>
          <w:tab w:val="left" w:pos="558"/>
        </w:tabs>
        <w:spacing w:line="480" w:lineRule="auto"/>
        <w:jc w:val="center"/>
        <w:rPr>
          <w:noProof/>
          <w:lang w:eastAsia="en-US"/>
        </w:rPr>
      </w:pPr>
      <w:r>
        <w:rPr>
          <w:b/>
          <w:noProof/>
          <w:lang w:eastAsia="en-US"/>
        </w:rPr>
        <w:drawing>
          <wp:anchor distT="0" distB="0" distL="114300" distR="114300" simplePos="0" relativeHeight="251673600" behindDoc="1" locked="0" layoutInCell="1" allowOverlap="1" wp14:anchorId="51010197" wp14:editId="0933136C">
            <wp:simplePos x="0" y="0"/>
            <wp:positionH relativeFrom="column">
              <wp:posOffset>1419225</wp:posOffset>
            </wp:positionH>
            <wp:positionV relativeFrom="paragraph">
              <wp:posOffset>7620</wp:posOffset>
            </wp:positionV>
            <wp:extent cx="5551805" cy="2698115"/>
            <wp:effectExtent l="0" t="0" r="0" b="6985"/>
            <wp:wrapTight wrapText="bothSides">
              <wp:wrapPolygon edited="0">
                <wp:start x="0" y="0"/>
                <wp:lineTo x="0" y="21503"/>
                <wp:lineTo x="21494" y="21503"/>
                <wp:lineTo x="21494" y="0"/>
                <wp:lineTo x="0" y="0"/>
              </wp:wrapPolygon>
            </wp:wrapTight>
            <wp:docPr id="632880106" name="Picture 632880106"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80106" name="Picture 632880106" descr="A screenshot of a video gam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51805" cy="2698115"/>
                    </a:xfrm>
                    <a:prstGeom prst="rect">
                      <a:avLst/>
                    </a:prstGeom>
                    <a:noFill/>
                  </pic:spPr>
                </pic:pic>
              </a:graphicData>
            </a:graphic>
            <wp14:sizeRelH relativeFrom="margin">
              <wp14:pctWidth>0</wp14:pctWidth>
            </wp14:sizeRelH>
            <wp14:sizeRelV relativeFrom="margin">
              <wp14:pctHeight>0</wp14:pctHeight>
            </wp14:sizeRelV>
          </wp:anchor>
        </w:drawing>
      </w:r>
      <w:r w:rsidR="002A3DB0" w:rsidRPr="0061648A">
        <w:rPr>
          <w:noProof/>
          <w:lang w:eastAsia="en-US"/>
        </w:rPr>
        <w:t xml:space="preserve"> </w:t>
      </w:r>
    </w:p>
    <w:p w14:paraId="5EC89B77" w14:textId="465C52AA" w:rsidR="002A3DB0" w:rsidRDefault="002A3DB0" w:rsidP="002A3DB0">
      <w:pPr>
        <w:tabs>
          <w:tab w:val="left" w:pos="90"/>
          <w:tab w:val="left" w:pos="558"/>
        </w:tabs>
        <w:spacing w:line="480" w:lineRule="auto"/>
        <w:jc w:val="both"/>
        <w:rPr>
          <w:bCs/>
        </w:rPr>
      </w:pPr>
      <w:r>
        <w:rPr>
          <w:bCs/>
        </w:rPr>
        <w:t xml:space="preserve"> </w:t>
      </w:r>
    </w:p>
    <w:p w14:paraId="2B3BC370" w14:textId="77777777" w:rsidR="00EF43EC" w:rsidRDefault="00EF43EC" w:rsidP="00EF43EC">
      <w:pPr>
        <w:tabs>
          <w:tab w:val="left" w:pos="90"/>
          <w:tab w:val="left" w:pos="558"/>
        </w:tabs>
        <w:spacing w:line="480" w:lineRule="auto"/>
        <w:jc w:val="both"/>
        <w:rPr>
          <w:b/>
        </w:rPr>
      </w:pPr>
    </w:p>
    <w:p w14:paraId="2EC56B71" w14:textId="77777777" w:rsidR="00F3428B" w:rsidRDefault="00F3428B" w:rsidP="00EF43EC">
      <w:pPr>
        <w:tabs>
          <w:tab w:val="left" w:pos="90"/>
          <w:tab w:val="left" w:pos="558"/>
        </w:tabs>
        <w:spacing w:line="480" w:lineRule="auto"/>
        <w:jc w:val="both"/>
        <w:rPr>
          <w:b/>
        </w:rPr>
      </w:pPr>
    </w:p>
    <w:p w14:paraId="66B79A07" w14:textId="77777777" w:rsidR="00F3428B" w:rsidRDefault="00F3428B" w:rsidP="00EF43EC">
      <w:pPr>
        <w:tabs>
          <w:tab w:val="left" w:pos="90"/>
          <w:tab w:val="left" w:pos="558"/>
        </w:tabs>
        <w:spacing w:line="480" w:lineRule="auto"/>
        <w:jc w:val="both"/>
        <w:rPr>
          <w:b/>
        </w:rPr>
      </w:pPr>
    </w:p>
    <w:tbl>
      <w:tblPr>
        <w:tblpPr w:leftFromText="180" w:rightFromText="180" w:vertAnchor="page" w:horzAnchor="margin" w:tblpXSpec="center" w:tblpY="2917"/>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3250"/>
        <w:gridCol w:w="4410"/>
        <w:gridCol w:w="1170"/>
      </w:tblGrid>
      <w:tr w:rsidR="002A3DB0" w:rsidRPr="00C76295" w14:paraId="4CBB7B55" w14:textId="77777777" w:rsidTr="002D0B16">
        <w:trPr>
          <w:trHeight w:val="150"/>
        </w:trPr>
        <w:tc>
          <w:tcPr>
            <w:tcW w:w="1425" w:type="dxa"/>
            <w:shd w:val="clear" w:color="auto" w:fill="auto"/>
            <w:vAlign w:val="center"/>
          </w:tcPr>
          <w:p w14:paraId="54250823" w14:textId="77777777" w:rsidR="002A3DB0" w:rsidRPr="00C76295" w:rsidRDefault="002A3DB0" w:rsidP="002D0B16">
            <w:pPr>
              <w:rPr>
                <w:rFonts w:eastAsia="Calibri"/>
                <w:b/>
                <w:bCs/>
                <w:sz w:val="18"/>
                <w:szCs w:val="18"/>
              </w:rPr>
            </w:pPr>
            <w:proofErr w:type="spellStart"/>
            <w:r w:rsidRPr="00C76295">
              <w:rPr>
                <w:rFonts w:eastAsia="Calibri"/>
                <w:b/>
                <w:bCs/>
                <w:sz w:val="18"/>
                <w:szCs w:val="18"/>
              </w:rPr>
              <w:lastRenderedPageBreak/>
              <w:t>miR</w:t>
            </w:r>
            <w:proofErr w:type="spellEnd"/>
          </w:p>
        </w:tc>
        <w:tc>
          <w:tcPr>
            <w:tcW w:w="3250" w:type="dxa"/>
            <w:shd w:val="clear" w:color="auto" w:fill="auto"/>
            <w:vAlign w:val="center"/>
          </w:tcPr>
          <w:p w14:paraId="2BB5FF6E" w14:textId="77777777" w:rsidR="002A3DB0" w:rsidRPr="00C76295" w:rsidRDefault="002A3DB0" w:rsidP="002D0B16">
            <w:pPr>
              <w:jc w:val="center"/>
              <w:rPr>
                <w:rFonts w:eastAsia="Calibri"/>
                <w:b/>
                <w:bCs/>
                <w:sz w:val="18"/>
                <w:szCs w:val="18"/>
              </w:rPr>
            </w:pPr>
            <w:r w:rsidRPr="00C76295">
              <w:rPr>
                <w:rFonts w:eastAsia="Calibri"/>
                <w:b/>
                <w:bCs/>
                <w:sz w:val="18"/>
                <w:szCs w:val="18"/>
              </w:rPr>
              <w:t>Target</w:t>
            </w:r>
          </w:p>
        </w:tc>
        <w:tc>
          <w:tcPr>
            <w:tcW w:w="4410" w:type="dxa"/>
            <w:shd w:val="clear" w:color="auto" w:fill="auto"/>
            <w:vAlign w:val="center"/>
          </w:tcPr>
          <w:p w14:paraId="0014FB34" w14:textId="77777777" w:rsidR="002A3DB0" w:rsidRPr="00C76295" w:rsidRDefault="002A3DB0" w:rsidP="002D0B16">
            <w:pPr>
              <w:rPr>
                <w:rFonts w:eastAsia="Calibri"/>
                <w:b/>
                <w:bCs/>
                <w:sz w:val="18"/>
                <w:szCs w:val="18"/>
              </w:rPr>
            </w:pPr>
            <w:r w:rsidRPr="00C76295">
              <w:rPr>
                <w:rFonts w:eastAsia="Calibri"/>
                <w:b/>
                <w:bCs/>
                <w:sz w:val="18"/>
                <w:szCs w:val="18"/>
              </w:rPr>
              <w:t>Outcome in ALS</w:t>
            </w:r>
          </w:p>
        </w:tc>
        <w:tc>
          <w:tcPr>
            <w:tcW w:w="1170" w:type="dxa"/>
            <w:shd w:val="clear" w:color="auto" w:fill="auto"/>
            <w:vAlign w:val="center"/>
          </w:tcPr>
          <w:p w14:paraId="3FF59E02" w14:textId="77777777" w:rsidR="002A3DB0" w:rsidRPr="00C76295" w:rsidRDefault="002A3DB0" w:rsidP="002D0B16">
            <w:pPr>
              <w:rPr>
                <w:rFonts w:eastAsia="Calibri"/>
                <w:b/>
                <w:bCs/>
                <w:sz w:val="18"/>
                <w:szCs w:val="18"/>
              </w:rPr>
            </w:pPr>
            <w:r w:rsidRPr="00C76295">
              <w:rPr>
                <w:rFonts w:eastAsia="Calibri"/>
                <w:b/>
                <w:bCs/>
                <w:sz w:val="18"/>
                <w:szCs w:val="18"/>
              </w:rPr>
              <w:t>Reference</w:t>
            </w:r>
          </w:p>
        </w:tc>
      </w:tr>
      <w:tr w:rsidR="002A3DB0" w:rsidRPr="00C76295" w14:paraId="283E93FF" w14:textId="77777777" w:rsidTr="002D0B16">
        <w:trPr>
          <w:trHeight w:val="216"/>
        </w:trPr>
        <w:tc>
          <w:tcPr>
            <w:tcW w:w="1425" w:type="dxa"/>
            <w:shd w:val="clear" w:color="auto" w:fill="auto"/>
            <w:vAlign w:val="center"/>
          </w:tcPr>
          <w:p w14:paraId="4F7753BB" w14:textId="77777777" w:rsidR="002A3DB0" w:rsidRPr="00C76295" w:rsidRDefault="002A3DB0" w:rsidP="002D0B16">
            <w:pPr>
              <w:rPr>
                <w:rFonts w:eastAsia="Calibri"/>
                <w:sz w:val="18"/>
                <w:szCs w:val="18"/>
              </w:rPr>
            </w:pPr>
            <w:r w:rsidRPr="00C76295">
              <w:rPr>
                <w:rFonts w:eastAsia="Calibri"/>
                <w:sz w:val="18"/>
                <w:szCs w:val="18"/>
              </w:rPr>
              <w:t>miR-206</w:t>
            </w:r>
          </w:p>
        </w:tc>
        <w:tc>
          <w:tcPr>
            <w:tcW w:w="3250" w:type="dxa"/>
            <w:shd w:val="clear" w:color="auto" w:fill="auto"/>
            <w:vAlign w:val="center"/>
          </w:tcPr>
          <w:p w14:paraId="2FD3FD55" w14:textId="77777777" w:rsidR="002A3DB0" w:rsidRPr="00C76295" w:rsidRDefault="002A3DB0" w:rsidP="002D0B16">
            <w:pPr>
              <w:jc w:val="center"/>
              <w:rPr>
                <w:rFonts w:eastAsia="Calibri"/>
                <w:sz w:val="18"/>
                <w:szCs w:val="18"/>
              </w:rPr>
            </w:pPr>
            <w:r w:rsidRPr="00C76295">
              <w:rPr>
                <w:rFonts w:eastAsia="Calibri"/>
                <w:sz w:val="18"/>
                <w:szCs w:val="18"/>
              </w:rPr>
              <w:t>Myogenic Transcriptional factors</w:t>
            </w:r>
          </w:p>
        </w:tc>
        <w:tc>
          <w:tcPr>
            <w:tcW w:w="4410" w:type="dxa"/>
            <w:shd w:val="clear" w:color="auto" w:fill="auto"/>
            <w:vAlign w:val="center"/>
          </w:tcPr>
          <w:p w14:paraId="72AA7BE5" w14:textId="77777777" w:rsidR="002A3DB0" w:rsidRPr="00C76295" w:rsidRDefault="002A3DB0" w:rsidP="002D0B16">
            <w:pPr>
              <w:rPr>
                <w:rFonts w:eastAsia="Calibri"/>
                <w:sz w:val="18"/>
                <w:szCs w:val="18"/>
              </w:rPr>
            </w:pPr>
            <w:r w:rsidRPr="00C76295">
              <w:rPr>
                <w:rFonts w:eastAsia="Calibri"/>
                <w:sz w:val="18"/>
                <w:szCs w:val="18"/>
              </w:rPr>
              <w:t>Suppresses the expression levels of muscular H</w:t>
            </w:r>
            <w:r>
              <w:rPr>
                <w:rFonts w:eastAsia="Calibri"/>
                <w:sz w:val="18"/>
                <w:szCs w:val="18"/>
              </w:rPr>
              <w:t>DAC4</w:t>
            </w:r>
          </w:p>
        </w:tc>
        <w:tc>
          <w:tcPr>
            <w:tcW w:w="1170" w:type="dxa"/>
            <w:shd w:val="clear" w:color="auto" w:fill="auto"/>
            <w:vAlign w:val="center"/>
          </w:tcPr>
          <w:p w14:paraId="115FEE1D"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{"citationItems":[{"id":"ITEM-1","itemData":{"ISSN":"1662453X","abstract":"Amyotrophic lateral sclerosis (ALS) is a fatal neurodegenerative disease characterized by the selective degeneration of upper and lower motor neurons. Currently, there are no effective biomarkers and fundamental therapies for this disease. Dysregulation in RNA metabolism plays a critical role in the pathogenesis of ALS. With the contribution of Next Generation Sequencing, the functions of non-coding RNAs (ncRNAs) have gained increasing interests. Especially, micro RNAs (miRNAs), which are tissue-specific small ncRNAs of about 18–25 nucleotides, have emerged as key regulators of gene expression to target multiple molecules and pathways in the central nervous system (CNS). Despite intensive recent research in this field, the crucial links between ALS pathogenesis and miRNAs remain unclear. Many studies have revealed that ALS-related RNA binding proteins (RBPs), such as TAR DNA-binding protein 43 (TDP-43) and fused in sarcoma/translocated in liposarcoma (FUS), regulate miRNAs processing in both the nucleus and cytoplasm. Of interest, Cu2+/Zn2+ superoxide dismutase (SOD1), a non-RBP associated with familial ALS, shows partially similar properties to these RBPs via the dysregulation of miRNAs in the cellular pathway related to ALS. The identification and validation of miRNAs are important to understand the physiological gene regulation in the CNS, and the pathological implications in ALS, leading to a new avenue for early diagnosis and gene therapies. Here, we offer a recent overview regarding the mechanism underlying the functions of multiple miRNAs across TDP-43, FUS, and SOD1 with the context of cell biology, and challenging for clinical applications in ALS.","author":[{"dropping-particle":"","family":"Koike","given":"Yuka","non-dropping-particle":"","parse-names":false,"suffix":""},{"dropping-particle":"","family":"Onodera","given":"Osamu","non-dropping-particle":"","parse-names":false,"suffix":""}],"container-title":"Frontiers in Neuroscience","id":"ITEM-1","issued":{"date-parts":[["2023","2","21"]]},"page":"1131758","publisher":"Frontiers Media S.A.","title":"Implications of miRNAs dysregulation in amyotrophic lateral sclerosis: Challenging for clinical applications","type":"article-journal","volume":"17"},"uris":["http://www.mendeley.com/documents/?uuid=a6b7880e-6b20-48e1-91c6-38a48c753371"]}],"mendeley":{"formattedCitation":"&lt;sup&gt;1&lt;/sup&gt;","plainTextFormattedCitation":"1","previouslyFormattedCitation":"&lt;sup&gt;1&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1</w:t>
            </w:r>
            <w:r w:rsidRPr="00C76295">
              <w:rPr>
                <w:rFonts w:eastAsia="Calibri"/>
                <w:sz w:val="18"/>
                <w:szCs w:val="18"/>
              </w:rPr>
              <w:fldChar w:fldCharType="end"/>
            </w:r>
          </w:p>
        </w:tc>
      </w:tr>
      <w:tr w:rsidR="002A3DB0" w:rsidRPr="00C76295" w14:paraId="079D3F55" w14:textId="77777777" w:rsidTr="002D0B16">
        <w:trPr>
          <w:trHeight w:val="150"/>
        </w:trPr>
        <w:tc>
          <w:tcPr>
            <w:tcW w:w="1425" w:type="dxa"/>
            <w:shd w:val="clear" w:color="auto" w:fill="auto"/>
            <w:vAlign w:val="center"/>
          </w:tcPr>
          <w:p w14:paraId="03C05FBA" w14:textId="77777777" w:rsidR="002A3DB0" w:rsidRPr="00C76295" w:rsidRDefault="002A3DB0" w:rsidP="002D0B16">
            <w:pPr>
              <w:rPr>
                <w:rFonts w:eastAsia="Calibri"/>
                <w:sz w:val="18"/>
                <w:szCs w:val="18"/>
              </w:rPr>
            </w:pPr>
            <w:r w:rsidRPr="00C76295">
              <w:rPr>
                <w:rFonts w:eastAsia="Calibri"/>
                <w:sz w:val="18"/>
                <w:szCs w:val="18"/>
              </w:rPr>
              <w:t>miR-23a</w:t>
            </w:r>
          </w:p>
        </w:tc>
        <w:tc>
          <w:tcPr>
            <w:tcW w:w="3250" w:type="dxa"/>
            <w:shd w:val="clear" w:color="auto" w:fill="auto"/>
            <w:vAlign w:val="center"/>
          </w:tcPr>
          <w:p w14:paraId="06251DFE" w14:textId="77777777" w:rsidR="002A3DB0" w:rsidRPr="00C76295" w:rsidRDefault="002A3DB0" w:rsidP="002D0B16">
            <w:pPr>
              <w:jc w:val="center"/>
              <w:rPr>
                <w:rFonts w:eastAsia="Calibri"/>
                <w:sz w:val="18"/>
                <w:szCs w:val="18"/>
              </w:rPr>
            </w:pPr>
            <w:r w:rsidRPr="00C76295">
              <w:rPr>
                <w:rFonts w:eastAsia="Calibri"/>
                <w:sz w:val="18"/>
                <w:szCs w:val="18"/>
              </w:rPr>
              <w:t>PGC-</w:t>
            </w:r>
            <w:r>
              <w:rPr>
                <w:rFonts w:eastAsia="Calibri"/>
                <w:sz w:val="18"/>
                <w:szCs w:val="18"/>
              </w:rPr>
              <w:t>1α</w:t>
            </w:r>
          </w:p>
        </w:tc>
        <w:tc>
          <w:tcPr>
            <w:tcW w:w="4410" w:type="dxa"/>
            <w:shd w:val="clear" w:color="auto" w:fill="auto"/>
            <w:vAlign w:val="center"/>
          </w:tcPr>
          <w:p w14:paraId="58FC4E52" w14:textId="77777777" w:rsidR="002A3DB0" w:rsidRPr="00C76295" w:rsidRDefault="002A3DB0" w:rsidP="002D0B16">
            <w:pPr>
              <w:rPr>
                <w:rFonts w:eastAsia="Calibri"/>
                <w:sz w:val="18"/>
                <w:szCs w:val="18"/>
              </w:rPr>
            </w:pPr>
            <w:r w:rsidRPr="00C76295">
              <w:rPr>
                <w:rFonts w:eastAsia="Calibri"/>
                <w:sz w:val="18"/>
                <w:szCs w:val="18"/>
              </w:rPr>
              <w:t>Impaired mitochondrial biogenesis and function</w:t>
            </w:r>
          </w:p>
        </w:tc>
        <w:tc>
          <w:tcPr>
            <w:tcW w:w="1170" w:type="dxa"/>
            <w:shd w:val="clear" w:color="auto" w:fill="auto"/>
            <w:vAlign w:val="center"/>
          </w:tcPr>
          <w:p w14:paraId="625590B4"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{"citationItems":[{"id":"ITEM-1","itemData":{"ISSN":"1662453X","abstract":"Amyotrophic lateral sclerosis (ALS) is a fatal neurodegenerative disease characterized by the selective degeneration of upper and lower motor neurons. Currently, there are no effective biomarkers and fundamental therapies for this disease. Dysregulation in RNA metabolism plays a critical role in the pathogenesis of ALS. With the contribution of Next Generation Sequencing, the functions of non-coding RNAs (ncRNAs) have gained increasing interests. Especially, micro RNAs (miRNAs), which are tissue-specific small ncRNAs of about 18–25 nucleotides, have emerged as key regulators of gene expression to target multiple molecules and pathways in the central nervous system (CNS). Despite intensive recent research in this field, the crucial links between ALS pathogenesis and miRNAs remain unclear. Many studies have revealed that ALS-related RNA binding proteins (RBPs), such as TAR DNA-binding protein 43 (TDP-43) and fused in sarcoma/translocated in liposarcoma (FUS), regulate miRNAs processing in both the nucleus and cytoplasm. Of interest, Cu2+/Zn2+ superoxide dismutase (SOD1), a non-RBP associated with familial ALS, shows partially similar properties to these RBPs via the dysregulation of miRNAs in the cellular pathway related to ALS. The identification and validation of miRNAs are important to understand the physiological gene regulation in the CNS, and the pathological implications in ALS, leading to a new avenue for early diagnosis and gene therapies. Here, we offer a recent overview regarding the mechanism underlying the functions of multiple miRNAs across TDP-43, FUS, and SOD1 with the context of cell biology, and challenging for clinical applications in ALS.","author":[{"dropping-particle":"","family":"Koike","given":"Yuka","non-dropping-particle":"","parse-names":false,"suffix":""},{"dropping-particle":"","family":"Onodera","given":"Osamu","non-dropping-particle":"","parse-names":false,"suffix":""}],"container-title":"Frontiers in Neuroscience","id":"ITEM-1","issued":{"date-parts":[["2023","2","21"]]},"page":"1131758","publisher":"Frontiers Media S.A.","title":"Implications of miRNAs dysregulation in amyotrophic lateral sclerosis: Challenging for clinical applications","type":"article-journal","volume":"17"},"uris":["http://www.mendeley.com/documents/?uuid=a6b7880e-6b20-48e1-91c6-38a48c753371"]}],"mendeley":{"formattedCitation":"&lt;sup&gt;1&lt;/sup&gt;","plainTextFormattedCitation":"1","previouslyFormattedCitation":"&lt;sup&gt;1&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1</w:t>
            </w:r>
            <w:r w:rsidRPr="00C76295">
              <w:rPr>
                <w:rFonts w:eastAsia="Calibri"/>
                <w:sz w:val="18"/>
                <w:szCs w:val="18"/>
              </w:rPr>
              <w:fldChar w:fldCharType="end"/>
            </w:r>
          </w:p>
        </w:tc>
      </w:tr>
      <w:tr w:rsidR="002A3DB0" w:rsidRPr="00C76295" w14:paraId="33D7E2EE" w14:textId="77777777" w:rsidTr="002D0B16">
        <w:trPr>
          <w:trHeight w:val="301"/>
        </w:trPr>
        <w:tc>
          <w:tcPr>
            <w:tcW w:w="1425" w:type="dxa"/>
            <w:shd w:val="clear" w:color="auto" w:fill="auto"/>
            <w:vAlign w:val="center"/>
          </w:tcPr>
          <w:p w14:paraId="36934F9C" w14:textId="77777777" w:rsidR="002A3DB0" w:rsidRPr="00C76295" w:rsidRDefault="002A3DB0" w:rsidP="002D0B16">
            <w:pPr>
              <w:rPr>
                <w:rFonts w:eastAsia="Calibri"/>
                <w:sz w:val="18"/>
                <w:szCs w:val="18"/>
              </w:rPr>
            </w:pPr>
            <w:r w:rsidRPr="00C76295">
              <w:rPr>
                <w:rFonts w:eastAsia="Calibri"/>
                <w:sz w:val="18"/>
                <w:szCs w:val="18"/>
              </w:rPr>
              <w:t>miR-23a-3p</w:t>
            </w:r>
          </w:p>
        </w:tc>
        <w:tc>
          <w:tcPr>
            <w:tcW w:w="3250" w:type="dxa"/>
            <w:shd w:val="clear" w:color="auto" w:fill="auto"/>
            <w:vAlign w:val="center"/>
          </w:tcPr>
          <w:p w14:paraId="4C61E232" w14:textId="77777777" w:rsidR="002A3DB0" w:rsidRPr="00C76295" w:rsidRDefault="002A3DB0" w:rsidP="002D0B16">
            <w:pPr>
              <w:jc w:val="center"/>
              <w:rPr>
                <w:rFonts w:eastAsia="Calibri"/>
                <w:sz w:val="18"/>
                <w:szCs w:val="18"/>
              </w:rPr>
            </w:pPr>
            <w:r w:rsidRPr="00C76295">
              <w:rPr>
                <w:rFonts w:eastAsia="Calibri"/>
                <w:sz w:val="18"/>
                <w:szCs w:val="18"/>
              </w:rPr>
              <w:t>ERBB4</w:t>
            </w:r>
          </w:p>
        </w:tc>
        <w:tc>
          <w:tcPr>
            <w:tcW w:w="4410" w:type="dxa"/>
            <w:shd w:val="clear" w:color="auto" w:fill="auto"/>
            <w:vAlign w:val="center"/>
          </w:tcPr>
          <w:p w14:paraId="622F7FCA" w14:textId="77777777" w:rsidR="002A3DB0" w:rsidRPr="00C76295" w:rsidRDefault="002A3DB0" w:rsidP="002D0B16">
            <w:pPr>
              <w:rPr>
                <w:rFonts w:eastAsia="Calibri"/>
                <w:sz w:val="18"/>
                <w:szCs w:val="18"/>
              </w:rPr>
            </w:pPr>
            <w:r w:rsidRPr="00C76295">
              <w:rPr>
                <w:rFonts w:eastAsia="Calibri"/>
                <w:sz w:val="18"/>
                <w:szCs w:val="18"/>
              </w:rPr>
              <w:t xml:space="preserve">Suppresses the ERBB4/AKT/GSK3b signaling pathway resulting in cellular apoptosis </w:t>
            </w:r>
            <w:r>
              <w:rPr>
                <w:rFonts w:eastAsia="Calibri"/>
                <w:sz w:val="18"/>
                <w:szCs w:val="18"/>
              </w:rPr>
              <w:t xml:space="preserve"> </w:t>
            </w:r>
          </w:p>
        </w:tc>
        <w:tc>
          <w:tcPr>
            <w:tcW w:w="1170" w:type="dxa"/>
            <w:shd w:val="clear" w:color="auto" w:fill="auto"/>
            <w:vAlign w:val="center"/>
          </w:tcPr>
          <w:p w14:paraId="53464A3D" w14:textId="77777777" w:rsidR="002A3DB0" w:rsidRPr="00C76295" w:rsidRDefault="002A3DB0" w:rsidP="002D0B16">
            <w:pPr>
              <w:rPr>
                <w:rFonts w:eastAsia="Calibri"/>
                <w:sz w:val="18"/>
                <w:szCs w:val="18"/>
              </w:rPr>
            </w:pPr>
            <w:r>
              <w:rPr>
                <w:rFonts w:eastAsia="Calibri"/>
                <w:sz w:val="18"/>
                <w:szCs w:val="18"/>
              </w:rPr>
              <w:fldChar w:fldCharType="begin" w:fldLock="1"/>
            </w:r>
            <w:r>
              <w:rPr>
                <w:rFonts w:eastAsia="Calibri"/>
                <w:sz w:val="18"/>
                <w:szCs w:val="18"/>
              </w:rPr>
              <w:instrText>ADDIN CSL_CITATION {"citationItems":[{"id":"ITEM-1","itemData":{"DOI":"10.1016/J.NEUROSCIENCE.2023.05.030","ISSN":"1873-7544","PMID":"37290686","abstract":"Amyotrophic lateral sclerosis (ALS) is a neurodegenerative disease related to the progressive death of motor neurons. Understanding the pathogenesis of ALS continues to provide considerable challenges. Bulbar-onset ALS involves faster functional loss and shorter survival time than spinal cord-onset ALS. However, debate is ongoing regarding typical plasma miRNA changes in ALS patients with bulbar onset. Exosomal miRNAs have not yet been described as a tool for bulbar-onset ALS diagnosis or prognosis prediction. In this study, candidate exosomal miRNAs were identified by small RNA sequencing using samples from patients with bulbar-onset ALS and healthy controls. Potential pathogenic mechanisms were identified through enrichment analysis of target genes for differential miRNAs. Expression of miR-16-5p, miR-23a-3p, miR-22-3p, and miR-93-5p was significantly up-regulated in plasma exosomes from bulbar-onset ALS patients compared with healthy control subjects. Among them, miR-16-5p and miR-23a-3p were significantly lower in spinal-onset ALS patients than those with bulbar-onset. Furthermore, up-regulation of miR-23a-3p in motor neuron-like NSC-34 cells promoted apoptosis and inhibited cell viability. This miRNA was found to directly target ERBB4 and regulate the AKT/GSK3β pathway. Collectively, the above miRNAs and their targets are related to the development of bulbar-onset ALS. Our research indicates that miR-23a-3p might have an effect on motor neuron loss observed in bulbar-onset ALS and may be a novel target for the therapy of ALS in the future.","author":[{"dropping-particle":"","family":"Liu","given":"Yue","non-dropping-particle":"","parse-names":false,"suffix":""},{"dropping-particle":"","family":"Ding","given":"Man","non-dropping-particle":"","parse-names":false,"suffix":""},{"dropping-particle":"","family":"Pan","given":"Sijia","non-dropping-particle":"","parse-names":false,"suffix":""},{"dropping-particle":"","family":"Zhou","given":"Rumeng","non-dropping-particle":"","parse-names":false,"suffix":""},{"dropping-particle":"","family":"Yao","given":"Jiajia","non-dropping-particle":"","parse-names":false,"suffix":""},{"dropping-particle":"","family":"Fu","given":"Rong","non-dropping-particle":"","parse-names":false,"suffix":""},{"dropping-particle":"","family":"Yu","given":"Hang","non-dropping-particle":"","parse-names":false,"suffix":""},{"dropping-particle":"","family":"Lu","given":"Zuneng","non-dropping-particle":"","parse-names":false,"suffix":""}],"container-title":"Neuroscience","id":"ITEM-1","issued":{"date-parts":[["2023","8","1"]]},"page":"65-78","publisher":"Neuroscience","title":"MicroRNA-23a-3p Is Upregulated in Plasma Exosomes of Bulbar-onset ALS Patients and Targets ERBB4","type":"article-journal","volume":"524"},"uris":["http://www.mendeley.com/documents/?uuid=29b72430-9577-3eab-908b-9ad6d9bd2a68"]}],"mendeley":{"formattedCitation":"&lt;sup&gt;2&lt;/sup&gt;","plainTextFormattedCitation":"2","previouslyFormattedCitation":"&lt;sup&gt;2&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2</w:t>
            </w:r>
            <w:r>
              <w:rPr>
                <w:rFonts w:eastAsia="Calibri"/>
                <w:sz w:val="18"/>
                <w:szCs w:val="18"/>
              </w:rPr>
              <w:fldChar w:fldCharType="end"/>
            </w:r>
            <w:r w:rsidRPr="00C76295">
              <w:rPr>
                <w:rFonts w:eastAsia="Calibri"/>
                <w:sz w:val="18"/>
                <w:szCs w:val="18"/>
              </w:rPr>
              <w:t xml:space="preserve"> </w:t>
            </w:r>
          </w:p>
          <w:p w14:paraId="4A9AE88A" w14:textId="77777777" w:rsidR="002A3DB0" w:rsidRPr="00C76295" w:rsidRDefault="002A3DB0" w:rsidP="002D0B16">
            <w:pPr>
              <w:rPr>
                <w:rFonts w:eastAsia="Calibri"/>
                <w:sz w:val="18"/>
                <w:szCs w:val="18"/>
              </w:rPr>
            </w:pPr>
          </w:p>
        </w:tc>
      </w:tr>
      <w:tr w:rsidR="002A3DB0" w:rsidRPr="00C76295" w14:paraId="56BD4DA2" w14:textId="77777777" w:rsidTr="002D0B16">
        <w:trPr>
          <w:trHeight w:val="150"/>
        </w:trPr>
        <w:tc>
          <w:tcPr>
            <w:tcW w:w="1425" w:type="dxa"/>
            <w:shd w:val="clear" w:color="auto" w:fill="auto"/>
            <w:vAlign w:val="center"/>
          </w:tcPr>
          <w:p w14:paraId="7C299468" w14:textId="77777777" w:rsidR="002A3DB0" w:rsidRPr="00C76295" w:rsidRDefault="002A3DB0" w:rsidP="002D0B16">
            <w:pPr>
              <w:rPr>
                <w:rFonts w:eastAsia="Calibri"/>
                <w:sz w:val="18"/>
                <w:szCs w:val="18"/>
              </w:rPr>
            </w:pPr>
            <w:r w:rsidRPr="00C76295">
              <w:rPr>
                <w:rFonts w:eastAsia="Calibri"/>
                <w:sz w:val="18"/>
                <w:szCs w:val="18"/>
              </w:rPr>
              <w:t>miR-1</w:t>
            </w:r>
          </w:p>
        </w:tc>
        <w:tc>
          <w:tcPr>
            <w:tcW w:w="3250" w:type="dxa"/>
            <w:vMerge w:val="restart"/>
            <w:shd w:val="clear" w:color="auto" w:fill="auto"/>
            <w:vAlign w:val="center"/>
          </w:tcPr>
          <w:p w14:paraId="622F52B7" w14:textId="77777777" w:rsidR="002A3DB0" w:rsidRPr="00C76295" w:rsidRDefault="002A3DB0" w:rsidP="002D0B16">
            <w:pPr>
              <w:jc w:val="center"/>
              <w:rPr>
                <w:rFonts w:eastAsia="Calibri"/>
                <w:sz w:val="18"/>
                <w:szCs w:val="18"/>
              </w:rPr>
            </w:pPr>
            <w:r w:rsidRPr="00C76295">
              <w:rPr>
                <w:rFonts w:eastAsia="Calibri"/>
                <w:color w:val="212121"/>
                <w:sz w:val="18"/>
                <w:szCs w:val="18"/>
                <w:shd w:val="clear" w:color="auto" w:fill="FFFFFF"/>
              </w:rPr>
              <w:t xml:space="preserve">MyoD1, </w:t>
            </w:r>
            <w:proofErr w:type="spellStart"/>
            <w:r w:rsidRPr="00C76295">
              <w:rPr>
                <w:rFonts w:eastAsia="Calibri"/>
                <w:color w:val="212121"/>
                <w:sz w:val="18"/>
                <w:szCs w:val="18"/>
                <w:shd w:val="clear" w:color="auto" w:fill="FFFFFF"/>
              </w:rPr>
              <w:t>MyoG</w:t>
            </w:r>
            <w:proofErr w:type="spellEnd"/>
          </w:p>
        </w:tc>
        <w:tc>
          <w:tcPr>
            <w:tcW w:w="4410" w:type="dxa"/>
            <w:vMerge w:val="restart"/>
            <w:shd w:val="clear" w:color="auto" w:fill="auto"/>
            <w:vAlign w:val="center"/>
          </w:tcPr>
          <w:p w14:paraId="4C8516EA" w14:textId="77777777" w:rsidR="002A3DB0" w:rsidRPr="00C76295" w:rsidRDefault="002A3DB0" w:rsidP="002D0B16">
            <w:pPr>
              <w:rPr>
                <w:rFonts w:eastAsia="Calibri"/>
                <w:sz w:val="18"/>
                <w:szCs w:val="18"/>
              </w:rPr>
            </w:pPr>
            <w:r w:rsidRPr="00C76295">
              <w:rPr>
                <w:rFonts w:eastAsia="Calibri"/>
                <w:sz w:val="18"/>
                <w:szCs w:val="18"/>
              </w:rPr>
              <w:t>Increased myogenic differentiation, a mechanism to cope with the muscular atrophy.</w:t>
            </w:r>
          </w:p>
        </w:tc>
        <w:tc>
          <w:tcPr>
            <w:tcW w:w="1170" w:type="dxa"/>
            <w:vMerge w:val="restart"/>
            <w:shd w:val="clear" w:color="auto" w:fill="auto"/>
            <w:vAlign w:val="center"/>
          </w:tcPr>
          <w:p w14:paraId="28CCE015"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{"citationItems":[{"id":"ITEM-1","itemData":{"DOI":"10.1002/mus.26106","ISSN":"10974598","PMID":"29466830","abstract":"Introduction: Amyotrophic lateral sclerosis (ALS) is a debilitating neurologic disorder with poor survival rates and no clear biomarkers for disease diagnosis and prognosis. Methods: We compared serum microRNA (miRNA) expression from patients with ALS with healthy controls and patients with multiple sclerosis and Alzheimer disease. We also correlated miRNA expression in cross-sectional and longitudinal cohorts of ALS patients with clinical parameters. Results: We identified 7 miRNAs (miR-192-5p, miR-192-3p, miR-1, miR-133a-3p, miR-133b, miR-144-5p, miR-19a-3p) that were upregulated and 6 miRNAs (miR-320c, miR-320a, let-7d-3p, miR-425-5p, miR-320b, miR-139-5p) that were downregulated in patients with ALS compared with healthy controls, patients with Alzheimer disease, and patients with multiple sclerosis. Changes in 4 miRNAs (miR-136-3p, miR-30b-5p, miR-331-3p, miR-496) correlated positively and change in 1 miRNA (miR-2110) correlated negatively with changes in clinical parameters in longitudinal analysis. Discussion: Our findings identified serum miRNAs that can serve as biomarkers for ALS diagnosis and progression. Muscle Nerve 58: 261–269, 2018.","author":[{"dropping-particle":"","family":"Raheja","given":"Radhika","non-dropping-particle":"","parse-names":false,"suffix":""},{"dropping-particle":"","family":"Regev","given":"Keren","non-dropping-particle":"","parse-names":false,"suffix":""},{"dropping-particle":"","family":"Healy","given":"Brian C.","non-dropping-particle":"","parse-names":false,"suffix":""},{"dropping-particle":"","family":"Mazzola","given":"Maria Antonietta","non-dropping-particle":"","parse-names":false,"suffix":""},{"dropping-particle":"","family":"Beynon","given":"Vanessa","non-dropping-particle":"","parse-names":false,"suffix":""},{"dropping-particle":"","family":"Glehn","given":"Felipe","non-dropping-particle":"Von","parse-names":false,"suffix":""},{"dropping-particle":"","family":"Paul","given":"Anu","non-dropping-particle":"","parse-names":false,"suffix":""},{"dropping-particle":"","family":"Diaz-Cruz","given":"Camilo","non-dropping-particle":"","parse-names":false,"suffix":""},{"dropping-particle":"","family":"Gholipour","given":"Taha","non-dropping-particle":"","parse-names":false,"suffix":""},{"dropping-particle":"","family":"Glanz","given":"Bonnie I.","non-dropping-particle":"","parse-names":false,"suffix":""},{"dropping-particle":"","family":"Kivisakk","given":"Pia","non-dropping-particle":"","parse-names":false,"suffix":""},{"dropping-particle":"","family":"Chitnis","given":"Tanuja","non-dropping-particle":"","parse-names":false,"suffix":""},{"dropping-particle":"","family":"Weiner","given":"Howard L.","non-dropping-particle":"","parse-names":false,"suffix":""},{"dropping-particle":"","family":"Berry","given":"James D.","non-dropping-particle":"","parse-names":false,"suffix":""},{"dropping-particle":"","family":"Gandhi","given":"Roopali","non-dropping-particle":"","parse-names":false,"suffix":""}],"container-title":"Muscle and Nerve","id":"ITEM-1","issue":"2","issued":{"date-parts":[["2018"]]},"page":"261-269","title":"Correlating serum micrornas and clinical parameters in amyotrophic lateral sclerosis","type":"article-journal","volume":"58"},"uris":["http://www.mendeley.com/documents/?uuid=d758a6e4-fd5f-444d-a40d-bd19c7c25d95","http://www.mendeley.com/documents/?uuid=d729f4b5-94b2-4ae3-87aa-caa1ace85bb5"]}],"mendeley":{"formattedCitation":"&lt;sup&gt;3&lt;/sup&gt;","plainTextFormattedCitation":"3","previouslyFormattedCitation":"&lt;sup&gt;3&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3</w:t>
            </w:r>
            <w:r w:rsidRPr="00C76295">
              <w:rPr>
                <w:rFonts w:eastAsia="Calibri"/>
                <w:sz w:val="18"/>
                <w:szCs w:val="18"/>
              </w:rPr>
              <w:fldChar w:fldCharType="end"/>
            </w:r>
          </w:p>
        </w:tc>
      </w:tr>
      <w:tr w:rsidR="002A3DB0" w:rsidRPr="00C76295" w14:paraId="4947435E" w14:textId="77777777" w:rsidTr="002D0B16">
        <w:trPr>
          <w:trHeight w:val="150"/>
        </w:trPr>
        <w:tc>
          <w:tcPr>
            <w:tcW w:w="1425" w:type="dxa"/>
            <w:shd w:val="clear" w:color="auto" w:fill="auto"/>
            <w:vAlign w:val="center"/>
          </w:tcPr>
          <w:p w14:paraId="37582F0C" w14:textId="77777777" w:rsidR="002A3DB0" w:rsidRPr="00C76295" w:rsidRDefault="002A3DB0" w:rsidP="002D0B16">
            <w:pPr>
              <w:rPr>
                <w:rFonts w:eastAsia="Calibri"/>
                <w:sz w:val="18"/>
                <w:szCs w:val="18"/>
              </w:rPr>
            </w:pPr>
            <w:r w:rsidRPr="00C76295">
              <w:rPr>
                <w:rFonts w:eastAsia="Calibri"/>
                <w:sz w:val="18"/>
                <w:szCs w:val="18"/>
              </w:rPr>
              <w:t>miR-133a</w:t>
            </w:r>
          </w:p>
        </w:tc>
        <w:tc>
          <w:tcPr>
            <w:tcW w:w="3250" w:type="dxa"/>
            <w:vMerge/>
            <w:shd w:val="clear" w:color="auto" w:fill="auto"/>
            <w:vAlign w:val="center"/>
          </w:tcPr>
          <w:p w14:paraId="4D11A81D" w14:textId="77777777" w:rsidR="002A3DB0" w:rsidRPr="00C76295" w:rsidRDefault="002A3DB0" w:rsidP="002D0B16">
            <w:pPr>
              <w:jc w:val="center"/>
              <w:rPr>
                <w:rFonts w:eastAsia="Calibri"/>
                <w:sz w:val="18"/>
                <w:szCs w:val="18"/>
              </w:rPr>
            </w:pPr>
          </w:p>
        </w:tc>
        <w:tc>
          <w:tcPr>
            <w:tcW w:w="4410" w:type="dxa"/>
            <w:vMerge/>
            <w:shd w:val="clear" w:color="auto" w:fill="auto"/>
            <w:vAlign w:val="center"/>
          </w:tcPr>
          <w:p w14:paraId="396B48B0" w14:textId="77777777" w:rsidR="002A3DB0" w:rsidRPr="00C76295" w:rsidRDefault="002A3DB0" w:rsidP="002D0B16">
            <w:pPr>
              <w:rPr>
                <w:rFonts w:eastAsia="Calibri"/>
                <w:sz w:val="18"/>
                <w:szCs w:val="18"/>
              </w:rPr>
            </w:pPr>
          </w:p>
        </w:tc>
        <w:tc>
          <w:tcPr>
            <w:tcW w:w="1170" w:type="dxa"/>
            <w:vMerge/>
            <w:shd w:val="clear" w:color="auto" w:fill="auto"/>
            <w:vAlign w:val="center"/>
          </w:tcPr>
          <w:p w14:paraId="63D04DD8" w14:textId="77777777" w:rsidR="002A3DB0" w:rsidRPr="00C76295" w:rsidRDefault="002A3DB0" w:rsidP="002D0B16">
            <w:pPr>
              <w:rPr>
                <w:rFonts w:eastAsia="Calibri"/>
                <w:sz w:val="18"/>
                <w:szCs w:val="18"/>
              </w:rPr>
            </w:pPr>
          </w:p>
        </w:tc>
      </w:tr>
      <w:tr w:rsidR="002A3DB0" w:rsidRPr="00C76295" w14:paraId="37719B98" w14:textId="77777777" w:rsidTr="002D0B16">
        <w:trPr>
          <w:trHeight w:val="150"/>
        </w:trPr>
        <w:tc>
          <w:tcPr>
            <w:tcW w:w="1425" w:type="dxa"/>
            <w:shd w:val="clear" w:color="auto" w:fill="auto"/>
            <w:vAlign w:val="center"/>
          </w:tcPr>
          <w:p w14:paraId="4DF03634" w14:textId="77777777" w:rsidR="002A3DB0" w:rsidRPr="00C76295" w:rsidRDefault="002A3DB0" w:rsidP="002D0B16">
            <w:pPr>
              <w:rPr>
                <w:rFonts w:eastAsia="Calibri"/>
                <w:sz w:val="18"/>
                <w:szCs w:val="18"/>
              </w:rPr>
            </w:pPr>
            <w:r w:rsidRPr="00C76295">
              <w:rPr>
                <w:rFonts w:eastAsia="Calibri"/>
                <w:sz w:val="18"/>
                <w:szCs w:val="18"/>
              </w:rPr>
              <w:t>miR-133b</w:t>
            </w:r>
          </w:p>
        </w:tc>
        <w:tc>
          <w:tcPr>
            <w:tcW w:w="3250" w:type="dxa"/>
            <w:vMerge/>
            <w:shd w:val="clear" w:color="auto" w:fill="auto"/>
            <w:vAlign w:val="center"/>
          </w:tcPr>
          <w:p w14:paraId="135C468E" w14:textId="77777777" w:rsidR="002A3DB0" w:rsidRPr="00C76295" w:rsidRDefault="002A3DB0" w:rsidP="002D0B16">
            <w:pPr>
              <w:jc w:val="center"/>
              <w:rPr>
                <w:rFonts w:eastAsia="Calibri"/>
                <w:sz w:val="18"/>
                <w:szCs w:val="18"/>
              </w:rPr>
            </w:pPr>
          </w:p>
        </w:tc>
        <w:tc>
          <w:tcPr>
            <w:tcW w:w="4410" w:type="dxa"/>
            <w:vMerge/>
            <w:shd w:val="clear" w:color="auto" w:fill="auto"/>
            <w:vAlign w:val="center"/>
          </w:tcPr>
          <w:p w14:paraId="560B6B02" w14:textId="77777777" w:rsidR="002A3DB0" w:rsidRPr="00C76295" w:rsidRDefault="002A3DB0" w:rsidP="002D0B16">
            <w:pPr>
              <w:rPr>
                <w:rFonts w:eastAsia="Calibri"/>
                <w:sz w:val="18"/>
                <w:szCs w:val="18"/>
              </w:rPr>
            </w:pPr>
          </w:p>
        </w:tc>
        <w:tc>
          <w:tcPr>
            <w:tcW w:w="1170" w:type="dxa"/>
            <w:vMerge/>
            <w:shd w:val="clear" w:color="auto" w:fill="auto"/>
            <w:vAlign w:val="center"/>
          </w:tcPr>
          <w:p w14:paraId="0F151920" w14:textId="77777777" w:rsidR="002A3DB0" w:rsidRPr="00C76295" w:rsidRDefault="002A3DB0" w:rsidP="002D0B16">
            <w:pPr>
              <w:rPr>
                <w:rFonts w:eastAsia="Calibri"/>
                <w:sz w:val="18"/>
                <w:szCs w:val="18"/>
              </w:rPr>
            </w:pPr>
          </w:p>
        </w:tc>
      </w:tr>
      <w:tr w:rsidR="002A3DB0" w:rsidRPr="00C76295" w14:paraId="25E34BB9" w14:textId="77777777" w:rsidTr="002D0B16">
        <w:trPr>
          <w:trHeight w:val="150"/>
        </w:trPr>
        <w:tc>
          <w:tcPr>
            <w:tcW w:w="1425" w:type="dxa"/>
            <w:shd w:val="clear" w:color="auto" w:fill="auto"/>
            <w:vAlign w:val="center"/>
          </w:tcPr>
          <w:p w14:paraId="1C6AEE30" w14:textId="77777777" w:rsidR="002A3DB0" w:rsidRPr="00C76295" w:rsidRDefault="002A3DB0" w:rsidP="002D0B16">
            <w:pPr>
              <w:rPr>
                <w:rFonts w:eastAsia="Calibri"/>
                <w:sz w:val="18"/>
                <w:szCs w:val="18"/>
              </w:rPr>
            </w:pPr>
            <w:r w:rsidRPr="00C76295">
              <w:rPr>
                <w:rFonts w:eastAsia="Calibri"/>
                <w:sz w:val="18"/>
                <w:szCs w:val="18"/>
              </w:rPr>
              <w:t>miR-1234-3p</w:t>
            </w:r>
          </w:p>
        </w:tc>
        <w:tc>
          <w:tcPr>
            <w:tcW w:w="3250" w:type="dxa"/>
            <w:shd w:val="clear" w:color="auto" w:fill="auto"/>
            <w:vAlign w:val="center"/>
          </w:tcPr>
          <w:p w14:paraId="4D40645B" w14:textId="77777777" w:rsidR="002A3DB0" w:rsidRPr="00C76295" w:rsidRDefault="002A3DB0" w:rsidP="002D0B16">
            <w:pPr>
              <w:jc w:val="center"/>
              <w:rPr>
                <w:rFonts w:eastAsia="Calibri"/>
                <w:sz w:val="18"/>
                <w:szCs w:val="18"/>
              </w:rPr>
            </w:pPr>
            <w:r w:rsidRPr="00C76295">
              <w:rPr>
                <w:rFonts w:eastAsia="Calibri"/>
                <w:sz w:val="18"/>
                <w:szCs w:val="18"/>
              </w:rPr>
              <w:t>NLE1</w:t>
            </w:r>
          </w:p>
        </w:tc>
        <w:tc>
          <w:tcPr>
            <w:tcW w:w="4410" w:type="dxa"/>
            <w:shd w:val="clear" w:color="auto" w:fill="auto"/>
            <w:vAlign w:val="center"/>
          </w:tcPr>
          <w:p w14:paraId="3A56C463" w14:textId="77777777" w:rsidR="002A3DB0" w:rsidRPr="00C76295" w:rsidRDefault="002A3DB0" w:rsidP="002D0B16">
            <w:pPr>
              <w:rPr>
                <w:rFonts w:eastAsia="Calibri"/>
                <w:sz w:val="18"/>
                <w:szCs w:val="18"/>
              </w:rPr>
            </w:pPr>
            <w:r w:rsidRPr="00C76295">
              <w:rPr>
                <w:rFonts w:eastAsia="Calibri"/>
                <w:sz w:val="18"/>
                <w:szCs w:val="18"/>
              </w:rPr>
              <w:t>Upregulated Notch signaling</w:t>
            </w:r>
          </w:p>
        </w:tc>
        <w:tc>
          <w:tcPr>
            <w:tcW w:w="1170" w:type="dxa"/>
            <w:shd w:val="clear" w:color="auto" w:fill="auto"/>
            <w:vAlign w:val="center"/>
          </w:tcPr>
          <w:p w14:paraId="2DB8CED3"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{"citationItems":[{"id":"ITEM-1","itemData":{"DOI":"10.1016/j.neurobiolaging.2015.06.003","ISSN":"15581497","PMID":"26142125","abstract":"MicroRNAs (miRNAs) are post-transcriptional regulators of gene expression and specific mircoRNA \"fingerprints\" are thought to contribute to and/or reflect certain disease conditions. Recently, we identified surprisingly homogeneous signatures of circulating miRNAs in the serum of familial amyotrophic lateral sclerosis (ALS) patients, which were already present in presymptomatic carriers of ALS gene mutations. Here, we characterize circulating miRNAs in the serum of sporadic ALS patients. We show that, in contrast to familial ALS, miRNA signatures of sporadic ALS are highly heterogeneous suggesting a number of different etiologies. Nevertheless, 2 miRNAs, miR-1234-3p and miR-1825, could be identified to be consistently downregulated in sporadic ALS. Bioinformatic analysis revealed miRNA fingerprints resembling those of familial ALS patients and mutation carriers in 61% of sporadic ALS patients, while the remaining subgroup had clearly different miRNA signatures. These data support a higher than expected contribution of genetic factors also to sporadic ALS. Moreover, our results indicate a more heterogeneous molecular etiology of sporadic ALS compared with (mono)genic cases, which should be considered for the development of disease modifying treatments.","author":[{"dropping-particle":"","family":"Freischmidt","given":"Axel","non-dropping-particle":"","parse-names":false,"suffix":""},{"dropping-particle":"","family":"Müller","given":"Kathrin","non-dropping-particle":"","parse-names":false,"suffix":""},{"dropping-particle":"","family":"Zondler","given":"Lisa","non-dropping-particle":"","parse-names":false,"suffix":""},{"dropping-particle":"","family":"Weydt","given":"Patrick","non-dropping-particle":"","parse-names":false,"suffix":""},{"dropping-particle":"","family":"Mayer","given":"Benjamin","non-dropping-particle":"","parse-names":false,"suffix":""},{"dropping-particle":"","family":"Arnim","given":"Christine A.F.","non-dropping-particle":"von","parse-names":false,"suffix":""},{"dropping-particle":"","family":"Hübers","given":"Annemarie","non-dropping-particle":"","parse-names":false,"suffix":""},{"dropping-particle":"","family":"Dorst","given":"Johannes","non-dropping-particle":"","parse-names":false,"suffix":""},{"dropping-particle":"","family":"Otto","given":"Markus","non-dropping-particle":"","parse-names":false,"suffix":""},{"dropping-particle":"","family":"Holzmann","given":"Karlheinz","non-dropping-particle":"","parse-names":false,"suffix":""},{"dropping-particle":"","family":"Ludolph","given":"Albert C.","non-dropping-particle":"","parse-names":false,"suffix":""},{"dropping-particle":"","family":"Danzer","given":"Karin M.","non-dropping-particle":"","parse-names":false,"suffix":""},{"dropping-particle":"","family":"Weishaupt","given":"Jochen H.","non-dropping-particle":"","parse-names":false,"suffix":""}],"container-title":"Neurobiology of Aging","id":"ITEM-1","issue":"9","issued":{"date-parts":[["2015"]]},"page":"2660.e15-2660.e20","title":"Serum microRNAs in sporadic amyotrophic lateral sclerosis","type":"article-journal","volume":"36"},"uris":["http://www.mendeley.com/documents/?uuid=273c37b8-60ea-4298-b354-838a73f364c8","http://www.mendeley.com/documents/?uuid=9d1ddc43-3176-4831-a9ee-a0ac8ef66cee"]}],"mendeley":{"formattedCitation":"&lt;sup&gt;4&lt;/sup&gt;","plainTextFormattedCitation":"4","previouslyFormattedCitation":"&lt;sup&gt;4&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4</w:t>
            </w:r>
            <w:r w:rsidRPr="00C76295">
              <w:rPr>
                <w:rFonts w:eastAsia="Calibri"/>
                <w:sz w:val="18"/>
                <w:szCs w:val="18"/>
              </w:rPr>
              <w:fldChar w:fldCharType="end"/>
            </w:r>
          </w:p>
        </w:tc>
      </w:tr>
      <w:tr w:rsidR="002A3DB0" w:rsidRPr="00C76295" w14:paraId="3F4F5BFC" w14:textId="77777777" w:rsidTr="002D0B16">
        <w:trPr>
          <w:trHeight w:val="309"/>
        </w:trPr>
        <w:tc>
          <w:tcPr>
            <w:tcW w:w="1425" w:type="dxa"/>
            <w:shd w:val="clear" w:color="auto" w:fill="auto"/>
            <w:vAlign w:val="center"/>
          </w:tcPr>
          <w:p w14:paraId="1BDCAE3C" w14:textId="77777777" w:rsidR="002A3DB0" w:rsidRPr="00C76295" w:rsidRDefault="002A3DB0" w:rsidP="002D0B16">
            <w:pPr>
              <w:rPr>
                <w:rFonts w:eastAsia="Calibri"/>
                <w:sz w:val="18"/>
                <w:szCs w:val="18"/>
              </w:rPr>
            </w:pPr>
            <w:r w:rsidRPr="00C76295">
              <w:rPr>
                <w:rFonts w:eastAsia="Calibri"/>
                <w:sz w:val="18"/>
                <w:szCs w:val="18"/>
              </w:rPr>
              <w:t>miR-181</w:t>
            </w:r>
          </w:p>
        </w:tc>
        <w:tc>
          <w:tcPr>
            <w:tcW w:w="3250" w:type="dxa"/>
            <w:shd w:val="clear" w:color="auto" w:fill="auto"/>
            <w:vAlign w:val="center"/>
          </w:tcPr>
          <w:p w14:paraId="7C14E5D8" w14:textId="77777777" w:rsidR="002A3DB0" w:rsidRPr="00C76295" w:rsidRDefault="002A3DB0" w:rsidP="002D0B16">
            <w:pPr>
              <w:jc w:val="center"/>
              <w:rPr>
                <w:rFonts w:eastAsia="Calibri"/>
                <w:sz w:val="18"/>
                <w:szCs w:val="18"/>
              </w:rPr>
            </w:pPr>
            <w:r w:rsidRPr="00C76295">
              <w:rPr>
                <w:rFonts w:eastAsia="Calibri"/>
                <w:sz w:val="18"/>
                <w:szCs w:val="18"/>
              </w:rPr>
              <w:t>Chchd10</w:t>
            </w:r>
          </w:p>
        </w:tc>
        <w:tc>
          <w:tcPr>
            <w:tcW w:w="4410" w:type="dxa"/>
            <w:shd w:val="clear" w:color="auto" w:fill="auto"/>
            <w:vAlign w:val="center"/>
          </w:tcPr>
          <w:p w14:paraId="48C29C8F" w14:textId="77777777" w:rsidR="002A3DB0" w:rsidRPr="00C76295" w:rsidRDefault="002A3DB0" w:rsidP="002D0B16">
            <w:pPr>
              <w:rPr>
                <w:rFonts w:eastAsia="Calibri"/>
                <w:sz w:val="18"/>
                <w:szCs w:val="18"/>
              </w:rPr>
            </w:pPr>
            <w:r w:rsidRPr="00C76295">
              <w:rPr>
                <w:rFonts w:eastAsia="Calibri"/>
                <w:sz w:val="18"/>
                <w:szCs w:val="18"/>
              </w:rPr>
              <w:t>Impaired mitochondrial cristae maintenance and respiratory function</w:t>
            </w:r>
          </w:p>
        </w:tc>
        <w:tc>
          <w:tcPr>
            <w:tcW w:w="1170" w:type="dxa"/>
            <w:shd w:val="clear" w:color="auto" w:fill="auto"/>
            <w:vAlign w:val="center"/>
          </w:tcPr>
          <w:p w14:paraId="6CFCF4FC"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{"citationItems":[{"id":"ITEM-1","itemData":{"DOI":"10.1016/j.omtn.2022.02.007","ISSN":"21622531","abstract":"Parkinson's disease (PD) is caused by the loss of dopaminergic (DA) neurons in the substantia nigra (SN). Although PD pathogenesis is not fully understood, studies implicate perturbations in gene regulation, mitochondrial function, and neuronal activity. MicroRNAs (miRs) are small gene regulatory RNAs that inhibit diverse subsets of target mRNAs, and several studies have noted miR expression alterations in PD brains. For example, miR-181a is abundant in the brain and is increased in PD patient brain samples; however, the disease relevance of this remains unclear. Here, we show that miR-181 target mRNAs are broadly downregulated in aging and PD brains. To address whether the miR-181 family plays a role in PD pathogenesis, we generated adeno-associated viruses (AAVs) to overexpress and inhibit the miR-181 isoforms. After co-injection with AAV overexpressing alpha-synuclein (aSyn) into mouse SN (PD model), we found that moderate miR-181a/b overexpression exacerbated aSyn-induced DA neuronal loss, whereas miR-181 inhibition was neuroprotective relative to controls (GFP alone and/or scrambled RNA). Also, prolonged miR-181 overexpression in SN alone elicited measurable neurotoxicity that is coincident with an increased immune response. mRNA-seq analyses revealed that miR-181a/b inhibits genes involved in synaptic transmission, neurite outgrowth, and mitochondrial respiration, along with several genes having known protective roles and genetic links in PD.","author":[{"dropping-particle":"","family":"Stein","given":"Colleen S.","non-dropping-particle":"","parse-names":false,"suffix":""},{"dropping-particle":"","family":"McLendon","given":"Jared M.","non-dropping-particle":"","parse-names":false,"suffix":""},{"dropping-particle":"","family":"Witmer","given":"Nathan H.","non-dropping-particle":"","parse-names":false,"suffix":""},{"dropping-particle":"","family":"Boudreau","given":"Ryan L.","non-dropping-particle":"","parse-names":false,"suffix":""}],"container-title":"Molecular Therapy - Nucleic Acids","id":"ITEM-1","issue":"June","issued":{"date-parts":[["2022"]]},"page":"1-15","title":"Modulation of miR-181 influences dopaminergic neuronal degeneration in a mouse model of Parkinson's disease","type":"article-journal","volume":"28"},"uris":["http://www.mendeley.com/documents/?uuid=9efd16a9-69f0-4945-a3bb-9991de118ba9","http://www.mendeley.com/documents/?uuid=65ea4c4c-36fd-4a8c-89bc-c8c1d181f9a4"]}],"mendeley":{"formattedCitation":"&lt;sup&gt;5&lt;/sup&gt;","plainTextFormattedCitation":"5","previouslyFormattedCitation":"&lt;sup&gt;5&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5</w:t>
            </w:r>
            <w:r w:rsidRPr="00C76295">
              <w:rPr>
                <w:rFonts w:eastAsia="Calibri"/>
                <w:sz w:val="18"/>
                <w:szCs w:val="18"/>
              </w:rPr>
              <w:fldChar w:fldCharType="end"/>
            </w:r>
          </w:p>
        </w:tc>
      </w:tr>
      <w:tr w:rsidR="002A3DB0" w:rsidRPr="00C76295" w14:paraId="351AA82F" w14:textId="77777777" w:rsidTr="002D0B16">
        <w:trPr>
          <w:trHeight w:val="451"/>
        </w:trPr>
        <w:tc>
          <w:tcPr>
            <w:tcW w:w="1425" w:type="dxa"/>
            <w:shd w:val="clear" w:color="auto" w:fill="auto"/>
            <w:vAlign w:val="center"/>
          </w:tcPr>
          <w:p w14:paraId="6288B6E0" w14:textId="77777777" w:rsidR="002A3DB0" w:rsidRPr="00C76295" w:rsidRDefault="002A3DB0" w:rsidP="002D0B16">
            <w:pPr>
              <w:rPr>
                <w:rFonts w:eastAsia="Calibri"/>
                <w:sz w:val="18"/>
                <w:szCs w:val="18"/>
              </w:rPr>
            </w:pPr>
            <w:r w:rsidRPr="00C76295">
              <w:rPr>
                <w:rFonts w:eastAsia="Calibri"/>
                <w:sz w:val="18"/>
                <w:szCs w:val="18"/>
              </w:rPr>
              <w:t>miR-155</w:t>
            </w:r>
          </w:p>
        </w:tc>
        <w:tc>
          <w:tcPr>
            <w:tcW w:w="3250" w:type="dxa"/>
            <w:shd w:val="clear" w:color="auto" w:fill="auto"/>
            <w:vAlign w:val="center"/>
          </w:tcPr>
          <w:p w14:paraId="31DC9188" w14:textId="77777777" w:rsidR="002A3DB0" w:rsidRPr="00C76295" w:rsidRDefault="002A3DB0" w:rsidP="002D0B16">
            <w:pPr>
              <w:jc w:val="center"/>
              <w:rPr>
                <w:rFonts w:eastAsia="Calibri"/>
                <w:sz w:val="18"/>
                <w:szCs w:val="18"/>
              </w:rPr>
            </w:pPr>
            <w:proofErr w:type="spellStart"/>
            <w:r w:rsidRPr="00C76295">
              <w:rPr>
                <w:rFonts w:eastAsia="Calibri"/>
                <w:sz w:val="18"/>
                <w:szCs w:val="18"/>
              </w:rPr>
              <w:t>Src</w:t>
            </w:r>
            <w:proofErr w:type="spellEnd"/>
            <w:r w:rsidRPr="00C76295">
              <w:rPr>
                <w:rFonts w:eastAsia="Calibri"/>
                <w:sz w:val="18"/>
                <w:szCs w:val="18"/>
              </w:rPr>
              <w:t xml:space="preserve"> homology-2 domain-containing inositol 5 phosphatase 1 (SHIP1)</w:t>
            </w:r>
          </w:p>
        </w:tc>
        <w:tc>
          <w:tcPr>
            <w:tcW w:w="4410" w:type="dxa"/>
            <w:shd w:val="clear" w:color="auto" w:fill="auto"/>
            <w:vAlign w:val="center"/>
          </w:tcPr>
          <w:p w14:paraId="75C7E64B" w14:textId="77777777" w:rsidR="002A3DB0" w:rsidRPr="00C76295" w:rsidRDefault="002A3DB0" w:rsidP="002D0B16">
            <w:pPr>
              <w:rPr>
                <w:rFonts w:eastAsia="Calibri"/>
                <w:sz w:val="18"/>
                <w:szCs w:val="18"/>
              </w:rPr>
            </w:pPr>
            <w:r w:rsidRPr="00C76295">
              <w:rPr>
                <w:rFonts w:eastAsia="Calibri"/>
                <w:sz w:val="18"/>
                <w:szCs w:val="18"/>
              </w:rPr>
              <w:t>Promotes pro-inflammatory pathways through targeted repression of anti-inflammatory mediators</w:t>
            </w:r>
          </w:p>
        </w:tc>
        <w:tc>
          <w:tcPr>
            <w:tcW w:w="1170" w:type="dxa"/>
            <w:shd w:val="clear" w:color="auto" w:fill="auto"/>
            <w:vAlign w:val="center"/>
          </w:tcPr>
          <w:p w14:paraId="10DACDED"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{"citationItems":[{"id":"ITEM-1","itemData":{"DOI":"10.1093/hmg/ddt261","ISSN":"09646906","PMID":"23740943","abstract":"microRNAs (miRNAs) are dysregulated in a variety of disease states, suggesting that this newly discovered class of gene expression repressors may be viable therapeutic targets. A microarray of miRNA changes in ALS-model superoxide dismutase 1 (SOD1)G93A rodents identified 12 miRNAs as significantly changed. Six miRNAs tested in human ALS tissues were confirmed increased. Specifically, miR-155 was increased 5-fold in mice and 2-fold in human spinal cords. To test miRNA inhibition in the central nervous system (CNS) as a potential novel therapeutic, we developed oligonucleotide-based miRNA inhibitors (anti-miRs) that could inhibitmiRNAs throughout the CNS and in the periphery. Anti-miR-155 caused global derepression of targets in peritoneal macrophages and, following intraventricular delivery, demonstrated widespread functional distribution in the brain and spinalcord. After treating SOD1G93A mice with anti-miR-155, we significantly extended survival by 10 daysand disease duration by 15 days (38%) while a scrambled control anti-miR did not significantly improve survival or disease duration. Therefore, antisense oligonucleotides may be used to successfully inhibit miRNAs throughout the brain and spinal cord, and miR-155 is a promising new therapeutic target for human ALS. © The Author 2013. Published by Oxford University Press. All rights reserved.","author":[{"dropping-particle":"","family":"Koval","given":"Erica D.","non-dropping-particle":"","parse-names":false,"suffix":""},{"dropping-particle":"","family":"Shaner","given":"Carey","non-dropping-particle":"","parse-names":false,"suffix":""},{"dropping-particle":"","family":"Zhang","given":"Peter","non-dropping-particle":"","parse-names":false,"suffix":""},{"dropping-particle":"","family":"Maine","given":"Xavier","non-dropping-particle":"Du","parse-names":false,"suffix":""},{"dropping-particle":"","family":"Fischer","given":"Kimberlee","non-dropping-particle":"","parse-names":false,"suffix":""},{"dropping-particle":"","family":"Tay","given":"Jia","non-dropping-particle":"","parse-names":false,"suffix":""},{"dropping-particle":"","family":"Nelson Chau","given":"B.","non-dropping-particle":"","parse-names":false,"suffix":""},{"dropping-particle":"","family":"Wu","given":"Gregory F.","non-dropping-particle":"","parse-names":false,"suffix":""},{"dropping-particle":"","family":"Miller","given":"Timothy M.","non-dropping-particle":"","parse-names":false,"suffix":""}],"container-title":"Human Molecular Genetics","id":"ITEM-1","issue":"20","issued":{"date-parts":[["2013"]]},"page":"4127-4135","title":"Method for widespread microRNA-155 inhibition prolongs survival in ALS-model mice","type":"article-journal","volume":"22"},"uris":["http://www.mendeley.com/documents/?uuid=83b22d74-eb96-4416-9c1b-8c5854745e94","http://www.mendeley.com/documents/?uuid=5cf7d72d-08e4-44ec-b094-1827d341ea26"]}],"mendeley":{"formattedCitation":"&lt;sup&gt;6&lt;/sup&gt;","plainTextFormattedCitation":"6","previouslyFormattedCitation":"&lt;sup&gt;6&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6</w:t>
            </w:r>
            <w:r w:rsidRPr="00C76295">
              <w:rPr>
                <w:rFonts w:eastAsia="Calibri"/>
                <w:sz w:val="18"/>
                <w:szCs w:val="18"/>
              </w:rPr>
              <w:fldChar w:fldCharType="end"/>
            </w:r>
          </w:p>
        </w:tc>
      </w:tr>
      <w:tr w:rsidR="002A3DB0" w:rsidRPr="00C76295" w14:paraId="4AEA1B93" w14:textId="77777777" w:rsidTr="002D0B16">
        <w:trPr>
          <w:trHeight w:val="301"/>
        </w:trPr>
        <w:tc>
          <w:tcPr>
            <w:tcW w:w="1425" w:type="dxa"/>
            <w:shd w:val="clear" w:color="auto" w:fill="auto"/>
            <w:vAlign w:val="center"/>
          </w:tcPr>
          <w:p w14:paraId="5AB2D78F" w14:textId="77777777" w:rsidR="002A3DB0" w:rsidRPr="00C76295" w:rsidRDefault="002A3DB0" w:rsidP="002D0B16">
            <w:pPr>
              <w:rPr>
                <w:rFonts w:eastAsia="Calibri"/>
                <w:sz w:val="18"/>
                <w:szCs w:val="18"/>
              </w:rPr>
            </w:pPr>
            <w:r w:rsidRPr="00C76295">
              <w:rPr>
                <w:rFonts w:eastAsia="Calibri"/>
                <w:sz w:val="18"/>
                <w:szCs w:val="18"/>
              </w:rPr>
              <w:t>miR-124a</w:t>
            </w:r>
          </w:p>
        </w:tc>
        <w:tc>
          <w:tcPr>
            <w:tcW w:w="3250" w:type="dxa"/>
            <w:shd w:val="clear" w:color="auto" w:fill="auto"/>
            <w:vAlign w:val="center"/>
          </w:tcPr>
          <w:p w14:paraId="1A04638A" w14:textId="77777777" w:rsidR="002A3DB0" w:rsidRPr="00C76295" w:rsidRDefault="002A3DB0" w:rsidP="002D0B16">
            <w:pPr>
              <w:jc w:val="center"/>
              <w:rPr>
                <w:rFonts w:eastAsia="Calibri"/>
                <w:sz w:val="18"/>
                <w:szCs w:val="18"/>
              </w:rPr>
            </w:pPr>
            <w:r w:rsidRPr="00C76295">
              <w:rPr>
                <w:rFonts w:eastAsia="Calibri"/>
                <w:sz w:val="18"/>
                <w:szCs w:val="18"/>
              </w:rPr>
              <w:t>Astrocytic glutamate transporter 1 (GLT1)</w:t>
            </w:r>
          </w:p>
        </w:tc>
        <w:tc>
          <w:tcPr>
            <w:tcW w:w="4410" w:type="dxa"/>
            <w:shd w:val="clear" w:color="auto" w:fill="auto"/>
            <w:vAlign w:val="center"/>
          </w:tcPr>
          <w:p w14:paraId="356B6FC3" w14:textId="77777777" w:rsidR="002A3DB0" w:rsidRPr="00C76295" w:rsidRDefault="002A3DB0" w:rsidP="002D0B16">
            <w:pPr>
              <w:rPr>
                <w:rFonts w:eastAsia="Calibri"/>
                <w:sz w:val="18"/>
                <w:szCs w:val="18"/>
              </w:rPr>
            </w:pPr>
            <w:r w:rsidRPr="00C76295">
              <w:rPr>
                <w:rFonts w:eastAsia="Calibri"/>
                <w:sz w:val="18"/>
                <w:szCs w:val="18"/>
              </w:rPr>
              <w:t>Modulates synaptic activation</w:t>
            </w:r>
          </w:p>
        </w:tc>
        <w:tc>
          <w:tcPr>
            <w:tcW w:w="1170" w:type="dxa"/>
            <w:shd w:val="clear" w:color="auto" w:fill="auto"/>
            <w:vAlign w:val="center"/>
          </w:tcPr>
          <w:p w14:paraId="75AB6261" w14:textId="77777777" w:rsidR="002A3DB0" w:rsidRPr="00C76295" w:rsidRDefault="002A3DB0" w:rsidP="002D0B16">
            <w:pPr>
              <w:rPr>
                <w:rFonts w:eastAsia="Calibri"/>
                <w:sz w:val="18"/>
                <w:szCs w:val="18"/>
              </w:rPr>
            </w:pPr>
            <w:r>
              <w:rPr>
                <w:rFonts w:eastAsia="Calibri"/>
                <w:sz w:val="18"/>
                <w:szCs w:val="18"/>
              </w:rPr>
              <w:fldChar w:fldCharType="begin" w:fldLock="1"/>
            </w:r>
            <w:r>
              <w:rPr>
                <w:rFonts w:eastAsia="Calibri"/>
                <w:sz w:val="18"/>
                <w:szCs w:val="18"/>
              </w:rPr>
              <w:instrText>ADDIN CSL_CITATION {"citationItems":[{"id":"ITEM-1","itemData":{"DOI":"10.4103/1673-5374.322431","ISSN":"18767958","abstract":"A review of recent animal models of amyotrophic lateral sclerosis showed a large number of miRNAs had altered levels of expression in the brain and spinal cord, motor neurons of spinal cord and brainstem, and hypoglossal, facial, and red motor nuclei and were mostly upregulated. Among the miRNAs found to be upregulated in two of the studies were miR-21, miR-155, miR-125b, miR-146a, miR-124, miR-9, and miR-19b, while those downregulated in two of the studies included miR-146a, miR-29, miR-9, and miR-125b. A change of direction in miRNA expression occurred in some tissues when compared (e.g., miR-29b-3p in cerebellum and spinal cord of wobbler mice at 40 days), or at different disease stages (e.g., miR-200a in spinal cord of SOD1(G93A) mice at 95 days vs. 108 and 112 days). In the animal models, suppression of miR-129-5p resulted in increased lifespan, improved muscle strength, reduced neuromuscular junction degeneration, and tended to improve motor neuron survival in the SOD1(G93A) mouse model. Suppression of miR-155 was also associated with increased lifespan, while lowering of miR-29a tended to improve lifespan in males and increase muscle strength in SOD1(G93A) mice. Overexpression of members of miR-17~92 cluster improved motor neuron survival in SOD1(G93A) mice. Treatment with an artificial miRNA designed to target hSOD1 increased lifespan and improved muscle strength in SOD1(G93A) animals. Further studies with animal models of amyotrophic lateral sclerosis are warranted to validate these findings and identify specific miRNAs whose suppression or directed against hSOD1 results in increased lifespan, improved muscle strength, reduced neuromuscular junction degeneration, and improved motor neuron survival in SOD1(G93A) animals.","author":[{"dropping-particle":"","family":"Martinez","given":"Bridget","non-dropping-particle":"","parse-names":false,"suffix":""},{"dropping-particle":"","family":"Peplow","given":"Philip","non-dropping-particle":"","parse-names":false,"suffix":""}],"container-title":"Neural Regeneration Research","id":"ITEM-1","issue":"4","issued":{"date-parts":[["2022","4","1"]]},"page":"728-740","publisher":"Wolters Kluwer Medknow Publications","title":"MicroRNA expression in animal models of amyotrophic lateral sclerosis and potential therapeutic approaches","type":"article-journal","volume":"17"},"uris":["http://www.mendeley.com/documents/?uuid=6dd8698b-a5fe-38f7-bcfd-d372ae2d4b4d"]}],"mendeley":{"formattedCitation":"&lt;sup&gt;7&lt;/sup&gt;","plainTextFormattedCitation":"7","previouslyFormattedCitation":"&lt;sup&gt;7&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7</w:t>
            </w:r>
            <w:r>
              <w:rPr>
                <w:rFonts w:eastAsia="Calibri"/>
                <w:sz w:val="18"/>
                <w:szCs w:val="18"/>
              </w:rPr>
              <w:fldChar w:fldCharType="end"/>
            </w:r>
          </w:p>
        </w:tc>
      </w:tr>
      <w:tr w:rsidR="002A3DB0" w:rsidRPr="00C76295" w14:paraId="4D46DE0D" w14:textId="77777777" w:rsidTr="002D0B16">
        <w:trPr>
          <w:trHeight w:val="268"/>
        </w:trPr>
        <w:tc>
          <w:tcPr>
            <w:tcW w:w="1425" w:type="dxa"/>
            <w:vMerge w:val="restart"/>
            <w:shd w:val="clear" w:color="auto" w:fill="auto"/>
            <w:vAlign w:val="center"/>
          </w:tcPr>
          <w:p w14:paraId="1230A574" w14:textId="77777777" w:rsidR="002A3DB0" w:rsidRPr="00C76295" w:rsidRDefault="002A3DB0" w:rsidP="002D0B16">
            <w:pPr>
              <w:rPr>
                <w:rFonts w:eastAsia="Calibri"/>
                <w:sz w:val="18"/>
                <w:szCs w:val="18"/>
              </w:rPr>
            </w:pPr>
            <w:r w:rsidRPr="00C76295">
              <w:rPr>
                <w:rFonts w:eastAsia="Calibri"/>
                <w:sz w:val="18"/>
                <w:szCs w:val="18"/>
              </w:rPr>
              <w:t>miR146a</w:t>
            </w:r>
          </w:p>
        </w:tc>
        <w:tc>
          <w:tcPr>
            <w:tcW w:w="3250" w:type="dxa"/>
            <w:shd w:val="clear" w:color="auto" w:fill="auto"/>
            <w:vAlign w:val="center"/>
          </w:tcPr>
          <w:p w14:paraId="6F481ED1" w14:textId="77777777" w:rsidR="002A3DB0" w:rsidRPr="00C76295" w:rsidRDefault="002A3DB0" w:rsidP="002D0B16">
            <w:pPr>
              <w:jc w:val="center"/>
              <w:rPr>
                <w:rFonts w:eastAsia="Calibri"/>
                <w:sz w:val="18"/>
                <w:szCs w:val="18"/>
              </w:rPr>
            </w:pPr>
            <w:r>
              <w:rPr>
                <w:rFonts w:eastAsia="Calibri"/>
                <w:bCs/>
                <w:sz w:val="18"/>
                <w:szCs w:val="18"/>
              </w:rPr>
              <w:t>TRAF-</w:t>
            </w:r>
            <w:r w:rsidRPr="00C76295">
              <w:rPr>
                <w:rFonts w:eastAsia="Calibri"/>
                <w:bCs/>
                <w:sz w:val="18"/>
                <w:szCs w:val="18"/>
              </w:rPr>
              <w:t>6 and IL-1R-associated kinase</w:t>
            </w:r>
          </w:p>
        </w:tc>
        <w:tc>
          <w:tcPr>
            <w:tcW w:w="4410" w:type="dxa"/>
            <w:shd w:val="clear" w:color="auto" w:fill="auto"/>
            <w:vAlign w:val="center"/>
          </w:tcPr>
          <w:p w14:paraId="3CD3234C" w14:textId="77777777" w:rsidR="002A3DB0" w:rsidRPr="00C76295" w:rsidRDefault="002A3DB0" w:rsidP="002D0B16">
            <w:pPr>
              <w:rPr>
                <w:rFonts w:eastAsia="Calibri"/>
                <w:sz w:val="18"/>
                <w:szCs w:val="18"/>
              </w:rPr>
            </w:pPr>
            <w:r w:rsidRPr="00C76295">
              <w:rPr>
                <w:rFonts w:eastAsia="Calibri"/>
                <w:sz w:val="18"/>
                <w:szCs w:val="18"/>
              </w:rPr>
              <w:t>Activation of NF-kB pathway</w:t>
            </w:r>
          </w:p>
        </w:tc>
        <w:tc>
          <w:tcPr>
            <w:tcW w:w="1170" w:type="dxa"/>
            <w:shd w:val="clear" w:color="auto" w:fill="auto"/>
            <w:vAlign w:val="center"/>
          </w:tcPr>
          <w:p w14:paraId="0AFDFFB1"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{"citationItems":[{"id":"ITEM-1","itemData":{"ISSN":"20734409","PMID":"37296571","abstract":"Amyotrophic lateral sclerosis (ALS) and frontotemporal dementia (FTD) are fatal neurodegenerative disorders often co-occurring in the same patient, a feature that suggests a common origin of the two diseases. Consistently, pathological inclusions of the same proteins as well as mutations in the same genes can be identified in both ALS/FTD. Although many studies have described several disrupted pathways within neurons, glial cells are also regarded as crucial pathogenetic contributors in ALS/FTD. Here, we focus our attention on astrocytes, a heterogenous population of glial cells that perform several functions for optimal central nervous system homeostasis. Firstly, we discuss how post-mortem material from ALS/FTD patients supports astrocyte dysfunction around three pillars: neuroinflammation, abnormal protein aggregation, and atrophy/degeneration. Furthermore, we summarize current attempts at monitoring astrocyte functions in living patients using either novel imaging strategies or soluble biomarkers. We then address how astrocyte pathology is recapitulated in animal and cellular models of ALS/FTD and how we used these models both to understand the molecular mechanisms driving glial dysfunction and as platforms for pre-clinical testing of therapeutics. Finally, we present the current clinical trials for ALS/FTD, restricting our discussion to treatments that modulate astrocyte functions, directly or indirectly.","author":[{"dropping-particle":"","family":"Valori","given":"Chiara F.","non-dropping-particle":"","parse-names":false,"suffix":""},{"dropping-particle":"","family":"Sulmona","given":"Claudia","non-dropping-particle":"","parse-names":false,"suffix":""},{"dropping-particle":"","family":"Brambilla","given":"Liliana","non-dropping-particle":"","parse-names":false,"suffix":""},{"dropping-particle":"","family":"Rossi","given":"Daniela","non-dropping-particle":"","parse-names":false,"suffix":""}],"container-title":"Cells","id":"ITEM-1","issue":"11","issued":{"date-parts":[["2023","6","1"]]},"page":"1-27","publisher":"Multidisciplinary Digital Publishing Institute  (MDPI)","title":"Astrocytes: Dissecting Their Diverse Roles in Amyotrophic Lateral Sclerosis and Frontotemporal Dementia","type":"article-journal","volume":"12"},"uris":["http://www.mendeley.com/documents/?uuid=5262644c-3908-4bb1-8c5b-317c74ce3f92"]}],"mendeley":{"formattedCitation":"&lt;sup&gt;8&lt;/sup&gt;","plainTextFormattedCitation":"8","previouslyFormattedCitation":"&lt;sup&gt;8&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8</w:t>
            </w:r>
            <w:r w:rsidRPr="00C76295">
              <w:rPr>
                <w:rFonts w:eastAsia="Calibri"/>
                <w:sz w:val="18"/>
                <w:szCs w:val="18"/>
              </w:rPr>
              <w:fldChar w:fldCharType="end"/>
            </w:r>
          </w:p>
        </w:tc>
      </w:tr>
      <w:tr w:rsidR="002A3DB0" w:rsidRPr="00C76295" w14:paraId="5724EEA5" w14:textId="77777777" w:rsidTr="002D0B16">
        <w:trPr>
          <w:trHeight w:val="460"/>
        </w:trPr>
        <w:tc>
          <w:tcPr>
            <w:tcW w:w="1425" w:type="dxa"/>
            <w:vMerge/>
            <w:shd w:val="clear" w:color="auto" w:fill="auto"/>
            <w:vAlign w:val="center"/>
          </w:tcPr>
          <w:p w14:paraId="32C16DC4" w14:textId="77777777" w:rsidR="002A3DB0" w:rsidRPr="00C76295" w:rsidRDefault="002A3DB0" w:rsidP="002D0B16">
            <w:pPr>
              <w:rPr>
                <w:rFonts w:eastAsia="Calibri"/>
                <w:sz w:val="18"/>
                <w:szCs w:val="18"/>
              </w:rPr>
            </w:pPr>
          </w:p>
        </w:tc>
        <w:tc>
          <w:tcPr>
            <w:tcW w:w="3250" w:type="dxa"/>
            <w:shd w:val="clear" w:color="auto" w:fill="auto"/>
            <w:vAlign w:val="center"/>
          </w:tcPr>
          <w:p w14:paraId="419CD843" w14:textId="77777777" w:rsidR="002A3DB0" w:rsidRPr="00C76295" w:rsidRDefault="002A3DB0" w:rsidP="002D0B16">
            <w:pPr>
              <w:jc w:val="center"/>
              <w:rPr>
                <w:rFonts w:eastAsia="Calibri"/>
                <w:bCs/>
                <w:sz w:val="18"/>
                <w:szCs w:val="18"/>
              </w:rPr>
            </w:pPr>
            <w:proofErr w:type="spellStart"/>
            <w:r w:rsidRPr="00C76295">
              <w:rPr>
                <w:rFonts w:eastAsia="Calibri"/>
                <w:sz w:val="18"/>
                <w:szCs w:val="18"/>
              </w:rPr>
              <w:t>N</w:t>
            </w:r>
            <w:r>
              <w:rPr>
                <w:rFonts w:eastAsia="Calibri"/>
                <w:sz w:val="18"/>
                <w:szCs w:val="18"/>
              </w:rPr>
              <w:t>f</w:t>
            </w:r>
            <w:r w:rsidRPr="00C76295">
              <w:rPr>
                <w:rFonts w:eastAsia="Calibri"/>
                <w:sz w:val="18"/>
                <w:szCs w:val="18"/>
              </w:rPr>
              <w:t>L</w:t>
            </w:r>
            <w:proofErr w:type="spellEnd"/>
            <w:r w:rsidRPr="00C76295">
              <w:rPr>
                <w:rFonts w:eastAsia="Calibri"/>
                <w:sz w:val="18"/>
                <w:szCs w:val="18"/>
              </w:rPr>
              <w:t xml:space="preserve"> gene</w:t>
            </w:r>
          </w:p>
        </w:tc>
        <w:tc>
          <w:tcPr>
            <w:tcW w:w="4410" w:type="dxa"/>
            <w:shd w:val="clear" w:color="auto" w:fill="auto"/>
            <w:vAlign w:val="center"/>
          </w:tcPr>
          <w:p w14:paraId="392156EF" w14:textId="77777777" w:rsidR="002A3DB0" w:rsidRPr="00C76295" w:rsidRDefault="002A3DB0" w:rsidP="002D0B16">
            <w:pPr>
              <w:rPr>
                <w:rFonts w:eastAsia="Calibri"/>
                <w:sz w:val="18"/>
                <w:szCs w:val="18"/>
              </w:rPr>
            </w:pPr>
            <w:r w:rsidRPr="00C76295">
              <w:rPr>
                <w:rFonts w:eastAsia="Calibri"/>
                <w:sz w:val="18"/>
                <w:szCs w:val="18"/>
              </w:rPr>
              <w:t>Conversion of astrocytes and microglial cells into neurotoxic and proinflammatory states</w:t>
            </w:r>
          </w:p>
        </w:tc>
        <w:tc>
          <w:tcPr>
            <w:tcW w:w="1170" w:type="dxa"/>
            <w:shd w:val="clear" w:color="auto" w:fill="auto"/>
            <w:vAlign w:val="center"/>
          </w:tcPr>
          <w:p w14:paraId="4F10EB6F" w14:textId="77777777" w:rsidR="002A3DB0" w:rsidRPr="00C76295" w:rsidRDefault="002A3DB0" w:rsidP="002D0B16">
            <w:pPr>
              <w:rPr>
                <w:rFonts w:eastAsia="Calibri"/>
                <w:sz w:val="18"/>
                <w:szCs w:val="18"/>
              </w:rPr>
            </w:pPr>
            <w:r>
              <w:rPr>
                <w:rFonts w:eastAsia="Calibri"/>
                <w:sz w:val="18"/>
                <w:szCs w:val="18"/>
              </w:rPr>
              <w:fldChar w:fldCharType="begin" w:fldLock="1"/>
            </w:r>
            <w:r>
              <w:rPr>
                <w:rFonts w:eastAsia="Calibri"/>
                <w:sz w:val="18"/>
                <w:szCs w:val="18"/>
              </w:rPr>
              <w:instrText>ADDIN CSL_CITATION {"citationItems":[{"id":"ITEM-1","itemData":{"DOI":"10.3390/IJMS24054610/S1","ISSN":"14220067","PMID":"36902041","abstract":"Amyotrophic lateral sclerosis (ALS) is characterized by the progressive, irreversible loss of upper and lower motor neurons (UMNs, LMNs). MN axonal dysfunctions are emerging as relevant pathogenic events since the early ALS stages. However, the exact molecular mechanisms leading to MN axon degeneration in ALS still need to be clarified. MicroRNA (miRNA) dysregulation plays a critical role in the pathogenesis of neuromuscular diseases. These molecules represent promising biomarkers for these conditions since their expression in body fluids consistently reflects distinct pathophysiological states. Mir-146a has been reported to modulate the expression of the NFL gene, encoding the light chain of the neurofilament (NFL) protein, a recognized biomarker for ALS. Here, we analyzed miR-146a and Nfl expression in the sciatic nerve of G93A-SOD1 ALS mice during disease progression. The miRNA was also analyzed in the serum of affected mice and human patients, the last stratified relying on the predominant UMN or LMN clinical signs. We revealed a significant miR-146a increase and Nfl expression decrease in G93A-SOD1 peripheral nerve. In the serum of both ALS mice and human patients, the miRNA levels were reduced, discriminating UMN-predominant patients from the LMN ones. Our findings suggest a miR-146a contribution to peripheral axon impairment and its potential role as a diagnostic and prognostic biomarker for ALS.","author":[{"dropping-particle":"","family":"Giagnorio","given":"Eleonora","non-dropping-particle":"","parse-names":false,"suffix":""},{"dropping-particle":"","family":"Malacarne","given":"Claudia","non-dropping-particle":"","parse-names":false,"suffix":""},{"dropping-particle":"","family":"Cavalcante","given":"Paola","non-dropping-particle":"","parse-names":false,"suffix":""},{"dropping-particle":"","family":"Scandiffio","given":"Letizia","non-dropping-particle":"","parse-names":false,"suffix":""},{"dropping-particle":"","family":"Cattaneo","given":"Marco","non-dropping-particle":"","parse-names":false,"suffix":""},{"dropping-particle":"","family":"Pensato","given":"Viviana","non-dropping-particle":"","parse-names":false,"suffix":""},{"dropping-particle":"","family":"Gellera","given":"Cinzia","non-dropping-particle":"","parse-names":false,"suffix":""},{"dropping-particle":"","family":"Riva","given":"Nilo","non-dropping-particle":"","parse-names":false,"suffix":""},{"dropping-particle":"","family":"Quattrini","given":"Angelo","non-dropping-particle":"","parse-names":false,"suffix":""},{"dropping-particle":"","family":"Dalla Bella","given":"Eleonora","non-dropping-particle":"","parse-names":false,"suffix":""},{"dropping-particle":"","family":"Lauria","given":"Giuseppe","non-dropping-particle":"","parse-names":false,"suffix":""},{"dropping-particle":"","family":"Mantegazza","given":"Renato","non-dropping-particle":"","parse-names":false,"suffix":""},{"dropping-particle":"","family":"Bonanno","given":"Silvia","non-dropping-particle":"","parse-names":false,"suffix":""},{"dropping-particle":"","family":"Marcuzzo","given":"Stefania","non-dropping-particle":"","parse-names":false,"suffix":""}],"container-title":"International Journal of Molecular Sciences","id":"ITEM-1","issue":"5","issued":{"date-parts":[["2023","3","1"]]},"publisher":"Multidisciplinary Digital Publishing Institute (MDPI)","title":"MiR-146a in ALS: Contribution to Early Peripheral Nerve Degeneration and Relevance as Disease Biomarker","type":"article-journal","volume":"24"},"uris":["http://www.mendeley.com/documents/?uuid=fb495116-6116-3b59-ab4b-5bf4ace22780"]}],"mendeley":{"formattedCitation":"&lt;sup&gt;9&lt;/sup&gt;","plainTextFormattedCitation":"9","previouslyFormattedCitation":"&lt;sup&gt;9&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9</w:t>
            </w:r>
            <w:r>
              <w:rPr>
                <w:rFonts w:eastAsia="Calibri"/>
                <w:sz w:val="18"/>
                <w:szCs w:val="18"/>
              </w:rPr>
              <w:fldChar w:fldCharType="end"/>
            </w:r>
          </w:p>
        </w:tc>
      </w:tr>
      <w:tr w:rsidR="002A3DB0" w:rsidRPr="00C76295" w14:paraId="43D5A690" w14:textId="77777777" w:rsidTr="002D0B16">
        <w:trPr>
          <w:trHeight w:val="150"/>
        </w:trPr>
        <w:tc>
          <w:tcPr>
            <w:tcW w:w="1425" w:type="dxa"/>
            <w:shd w:val="clear" w:color="auto" w:fill="auto"/>
            <w:vAlign w:val="center"/>
          </w:tcPr>
          <w:p w14:paraId="3EE40A4E" w14:textId="77777777" w:rsidR="002A3DB0" w:rsidRPr="00C76295" w:rsidRDefault="002A3DB0" w:rsidP="002D0B16">
            <w:pPr>
              <w:rPr>
                <w:rFonts w:eastAsia="Calibri"/>
                <w:sz w:val="18"/>
                <w:szCs w:val="18"/>
              </w:rPr>
            </w:pPr>
            <w:r w:rsidRPr="00C76295">
              <w:rPr>
                <w:rFonts w:eastAsia="Calibri"/>
                <w:bCs/>
                <w:sz w:val="18"/>
                <w:szCs w:val="18"/>
              </w:rPr>
              <w:t>miR-494-3p</w:t>
            </w:r>
          </w:p>
        </w:tc>
        <w:tc>
          <w:tcPr>
            <w:tcW w:w="3250" w:type="dxa"/>
            <w:shd w:val="clear" w:color="auto" w:fill="auto"/>
            <w:vAlign w:val="center"/>
          </w:tcPr>
          <w:p w14:paraId="4D6C2E6C" w14:textId="77777777" w:rsidR="002A3DB0" w:rsidRPr="00C76295" w:rsidRDefault="002A3DB0" w:rsidP="002D0B16">
            <w:pPr>
              <w:jc w:val="center"/>
              <w:rPr>
                <w:rFonts w:eastAsia="Calibri"/>
                <w:sz w:val="18"/>
                <w:szCs w:val="18"/>
              </w:rPr>
            </w:pPr>
            <w:r w:rsidRPr="008B6835">
              <w:rPr>
                <w:rFonts w:eastAsia="Calibri"/>
                <w:sz w:val="18"/>
                <w:szCs w:val="18"/>
              </w:rPr>
              <w:t>Sema3A</w:t>
            </w:r>
          </w:p>
        </w:tc>
        <w:tc>
          <w:tcPr>
            <w:tcW w:w="4410" w:type="dxa"/>
            <w:shd w:val="clear" w:color="auto" w:fill="auto"/>
            <w:vAlign w:val="center"/>
          </w:tcPr>
          <w:p w14:paraId="4A3DC824" w14:textId="77777777" w:rsidR="002A3DB0" w:rsidRPr="00C76295" w:rsidRDefault="002A3DB0" w:rsidP="002D0B16">
            <w:pPr>
              <w:rPr>
                <w:rFonts w:eastAsia="Calibri"/>
                <w:sz w:val="18"/>
                <w:szCs w:val="18"/>
              </w:rPr>
            </w:pPr>
            <w:r>
              <w:rPr>
                <w:rFonts w:eastAsia="Calibri"/>
                <w:bCs/>
                <w:sz w:val="18"/>
                <w:szCs w:val="18"/>
              </w:rPr>
              <w:t>Motor neuron</w:t>
            </w:r>
            <w:r w:rsidRPr="00C76295">
              <w:rPr>
                <w:rFonts w:eastAsia="Calibri"/>
                <w:bCs/>
                <w:sz w:val="18"/>
                <w:szCs w:val="18"/>
              </w:rPr>
              <w:t xml:space="preserve"> death</w:t>
            </w:r>
          </w:p>
        </w:tc>
        <w:tc>
          <w:tcPr>
            <w:tcW w:w="1170" w:type="dxa"/>
            <w:shd w:val="clear" w:color="auto" w:fill="auto"/>
            <w:vAlign w:val="center"/>
          </w:tcPr>
          <w:p w14:paraId="3F33DDED" w14:textId="77777777" w:rsidR="002A3DB0" w:rsidRPr="00C76295" w:rsidRDefault="002A3DB0" w:rsidP="002D0B16">
            <w:pPr>
              <w:rPr>
                <w:rFonts w:eastAsia="Calibri"/>
                <w:sz w:val="18"/>
                <w:szCs w:val="18"/>
              </w:rPr>
            </w:pPr>
            <w:r w:rsidRPr="00C76295">
              <w:rPr>
                <w:rFonts w:eastAsia="Calibri"/>
                <w:sz w:val="18"/>
                <w:szCs w:val="18"/>
              </w:rPr>
              <w:fldChar w:fldCharType="begin" w:fldLock="1"/>
            </w:r>
            <w:r>
              <w:rPr>
                <w:rFonts w:eastAsia="Calibri"/>
                <w:sz w:val="18"/>
                <w:szCs w:val="18"/>
              </w:rPr>
              <w:instrText>ADDIN CSL_CITATION {"citationItems":[{"id":"ITEM-1","itemData":{"ISSN":"20734409","PMID":"37296571","abstract":"Amyotrophic lateral sclerosis (ALS) and frontotemporal dementia (FTD) are fatal neurodegenerative disorders often co-occurring in the same patient, a feature that suggests a common origin of the two diseases. Consistently, pathological inclusions of the same proteins as well as mutations in the same genes can be identified in both ALS/FTD. Although many studies have described several disrupted pathways within neurons, glial cells are also regarded as crucial pathogenetic contributors in ALS/FTD. Here, we focus our attention on astrocytes, a heterogenous population of glial cells that perform several functions for optimal central nervous system homeostasis. Firstly, we discuss how post-mortem material from ALS/FTD patients supports astrocyte dysfunction around three pillars: neuroinflammation, abnormal protein aggregation, and atrophy/degeneration. Furthermore, we summarize current attempts at monitoring astrocyte functions in living patients using either novel imaging strategies or soluble biomarkers. We then address how astrocyte pathology is recapitulated in animal and cellular models of ALS/FTD and how we used these models both to understand the molecular mechanisms driving glial dysfunction and as platforms for pre-clinical testing of therapeutics. Finally, we present the current clinical trials for ALS/FTD, restricting our discussion to treatments that modulate astrocyte functions, directly or indirectly.","author":[{"dropping-particle":"","family":"Valori","given":"Chiara F.","non-dropping-particle":"","parse-names":false,"suffix":""},{"dropping-particle":"","family":"Sulmona","given":"Claudia","non-dropping-particle":"","parse-names":false,"suffix":""},{"dropping-particle":"","family":"Brambilla","given":"Liliana","non-dropping-particle":"","parse-names":false,"suffix":""},{"dropping-particle":"","family":"Rossi","given":"Daniela","non-dropping-particle":"","parse-names":false,"suffix":""}],"container-title":"Cells","id":"ITEM-1","issue":"11","issued":{"date-parts":[["2023","6","1"]]},"page":"1-27","publisher":"Multidisciplinary Digital Publishing Institute  (MDPI)","title":"Astrocytes: Dissecting Their Diverse Roles in Amyotrophic Lateral Sclerosis and Frontotemporal Dementia","type":"article-journal","volume":"12"},"uris":["http://www.mendeley.com/documents/?uuid=5262644c-3908-4bb1-8c5b-317c74ce3f92"]}],"mendeley":{"formattedCitation":"&lt;sup&gt;8&lt;/sup&gt;","plainTextFormattedCitation":"8","previouslyFormattedCitation":"&lt;sup&gt;8&lt;/sup&gt;"},"properties":{"noteIndex":0},"schema":"https://github.com/citation-style-language/schema/raw/master/csl-citation.json"}</w:instrText>
            </w:r>
            <w:r w:rsidRPr="00C76295">
              <w:rPr>
                <w:rFonts w:eastAsia="Calibri"/>
                <w:sz w:val="18"/>
                <w:szCs w:val="18"/>
              </w:rPr>
              <w:fldChar w:fldCharType="separate"/>
            </w:r>
            <w:r w:rsidRPr="00A174E2">
              <w:rPr>
                <w:rFonts w:eastAsia="Calibri"/>
                <w:noProof/>
                <w:sz w:val="18"/>
                <w:szCs w:val="18"/>
                <w:vertAlign w:val="superscript"/>
              </w:rPr>
              <w:t>8</w:t>
            </w:r>
            <w:r w:rsidRPr="00C76295">
              <w:rPr>
                <w:rFonts w:eastAsia="Calibri"/>
                <w:sz w:val="18"/>
                <w:szCs w:val="18"/>
              </w:rPr>
              <w:fldChar w:fldCharType="end"/>
            </w:r>
          </w:p>
        </w:tc>
      </w:tr>
      <w:tr w:rsidR="002A3DB0" w:rsidRPr="00C76295" w14:paraId="0DE072AA" w14:textId="77777777" w:rsidTr="002D0B16">
        <w:trPr>
          <w:trHeight w:val="309"/>
        </w:trPr>
        <w:tc>
          <w:tcPr>
            <w:tcW w:w="1425" w:type="dxa"/>
            <w:shd w:val="clear" w:color="auto" w:fill="auto"/>
            <w:vAlign w:val="center"/>
          </w:tcPr>
          <w:p w14:paraId="7663B781" w14:textId="77777777" w:rsidR="002A3DB0" w:rsidRPr="00C76295" w:rsidRDefault="002A3DB0" w:rsidP="002D0B16">
            <w:pPr>
              <w:rPr>
                <w:rFonts w:eastAsia="Calibri"/>
                <w:sz w:val="18"/>
                <w:szCs w:val="18"/>
              </w:rPr>
            </w:pPr>
            <w:r w:rsidRPr="00C76295">
              <w:rPr>
                <w:rFonts w:eastAsia="Calibri"/>
                <w:sz w:val="18"/>
                <w:szCs w:val="18"/>
              </w:rPr>
              <w:t>miR-125b</w:t>
            </w:r>
          </w:p>
        </w:tc>
        <w:tc>
          <w:tcPr>
            <w:tcW w:w="3250" w:type="dxa"/>
            <w:shd w:val="clear" w:color="auto" w:fill="auto"/>
            <w:vAlign w:val="center"/>
          </w:tcPr>
          <w:p w14:paraId="6A83BDDB" w14:textId="77777777" w:rsidR="002A3DB0" w:rsidRPr="00C76295" w:rsidRDefault="002A3DB0" w:rsidP="002D0B16">
            <w:pPr>
              <w:jc w:val="center"/>
              <w:rPr>
                <w:rFonts w:eastAsia="Calibri"/>
                <w:sz w:val="18"/>
                <w:szCs w:val="18"/>
              </w:rPr>
            </w:pPr>
            <w:r>
              <w:rPr>
                <w:rFonts w:eastAsia="Calibri"/>
                <w:sz w:val="18"/>
                <w:szCs w:val="18"/>
              </w:rPr>
              <w:t>A20 protein</w:t>
            </w:r>
          </w:p>
        </w:tc>
        <w:tc>
          <w:tcPr>
            <w:tcW w:w="4410" w:type="dxa"/>
            <w:shd w:val="clear" w:color="auto" w:fill="auto"/>
            <w:vAlign w:val="center"/>
          </w:tcPr>
          <w:p w14:paraId="5B176D46" w14:textId="77777777" w:rsidR="002A3DB0" w:rsidRPr="00C76295" w:rsidRDefault="002A3DB0" w:rsidP="002D0B16">
            <w:pPr>
              <w:rPr>
                <w:rFonts w:eastAsia="Calibri"/>
                <w:sz w:val="18"/>
                <w:szCs w:val="18"/>
              </w:rPr>
            </w:pPr>
            <w:r>
              <w:rPr>
                <w:rFonts w:eastAsia="Calibri"/>
                <w:bCs/>
                <w:sz w:val="18"/>
                <w:szCs w:val="18"/>
              </w:rPr>
              <w:t>Motor neuron</w:t>
            </w:r>
            <w:r w:rsidRPr="00C76295">
              <w:rPr>
                <w:rFonts w:eastAsia="Calibri"/>
                <w:bCs/>
                <w:sz w:val="18"/>
                <w:szCs w:val="18"/>
              </w:rPr>
              <w:t xml:space="preserve"> </w:t>
            </w:r>
            <w:r w:rsidRPr="00C76295">
              <w:rPr>
                <w:rFonts w:eastAsia="Calibri"/>
                <w:sz w:val="18"/>
                <w:szCs w:val="18"/>
              </w:rPr>
              <w:t>degeneration</w:t>
            </w:r>
          </w:p>
        </w:tc>
        <w:tc>
          <w:tcPr>
            <w:tcW w:w="1170" w:type="dxa"/>
            <w:shd w:val="clear" w:color="auto" w:fill="auto"/>
            <w:vAlign w:val="center"/>
          </w:tcPr>
          <w:p w14:paraId="2CC7F3CB" w14:textId="77777777" w:rsidR="002A3DB0" w:rsidRPr="00C76295" w:rsidRDefault="002A3DB0" w:rsidP="002D0B16">
            <w:pPr>
              <w:rPr>
                <w:rFonts w:eastAsia="Calibri"/>
                <w:sz w:val="18"/>
                <w:szCs w:val="18"/>
              </w:rPr>
            </w:pPr>
            <w:r>
              <w:rPr>
                <w:rFonts w:eastAsia="Calibri"/>
                <w:sz w:val="18"/>
                <w:szCs w:val="18"/>
              </w:rPr>
              <w:fldChar w:fldCharType="begin" w:fldLock="1"/>
            </w:r>
            <w:r>
              <w:rPr>
                <w:rFonts w:eastAsia="Calibri"/>
                <w:sz w:val="18"/>
                <w:szCs w:val="18"/>
              </w:rPr>
              <w:instrText>ADDIN CSL_CITATION {"citationItems":[{"id":"ITEM-1","itemData":{"ISSN":"1662453X","abstract":"Amyotrophic lateral sclerosis (ALS) is a fatal neurodegenerative disease characterized by the selective degeneration of upper and lower motor neurons. Currently, there are no effective biomarkers and fundamental therapies for this disease. Dysregulation in RNA metabolism plays a critical role in the pathogenesis of ALS. With the contribution of Next Generation Sequencing, the functions of non-coding RNAs (ncRNAs) have gained increasing interests. Especially, micro RNAs (miRNAs), which are tissue-specific small ncRNAs of about 18–25 nucleotides, have emerged as key regulators of gene expression to target multiple molecules and pathways in the central nervous system (CNS). Despite intensive recent research in this field, the crucial links between ALS pathogenesis and miRNAs remain unclear. Many studies have revealed that ALS-related RNA binding proteins (RBPs), such as TAR DNA-binding protein 43 (TDP-43) and fused in sarcoma/translocated in liposarcoma (FUS), regulate miRNAs processing in both the nucleus and cytoplasm. Of interest, Cu2+/Zn2+ superoxide dismutase (SOD1), a non-RBP associated with familial ALS, shows partially similar properties to these RBPs via the dysregulation of miRNAs in the cellular pathway related to ALS. The identification and validation of miRNAs are important to understand the physiological gene regulation in the CNS, and the pathological implications in ALS, leading to a new avenue for early diagnosis and gene therapies. Here, we offer a recent overview regarding the mechanism underlying the functions of multiple miRNAs across TDP-43, FUS, and SOD1 with the context of cell biology, and challenging for clinical applications in ALS.","author":[{"dropping-particle":"","family":"Koike","given":"Yuka","non-dropping-particle":"","parse-names":false,"suffix":""},{"dropping-particle":"","family":"Onodera","given":"Osamu","non-dropping-particle":"","parse-names":false,"suffix":""}],"container-title":"Frontiers in Neuroscience","id":"ITEM-1","issued":{"date-parts":[["2023","2","21"]]},"page":"1131758","publisher":"Frontiers Media S.A.","title":"Implications of miRNAs dysregulation in amyotrophic lateral sclerosis: Challenging for clinical applications","type":"article-journal","volume":"17"},"uris":["http://www.mendeley.com/documents/?uuid=a6b7880e-6b20-48e1-91c6-38a48c753371"]}],"mendeley":{"formattedCitation":"&lt;sup&gt;1&lt;/sup&gt;","plainTextFormattedCitation":"1","previouslyFormattedCitation":"&lt;sup&gt;1&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1</w:t>
            </w:r>
            <w:r>
              <w:rPr>
                <w:rFonts w:eastAsia="Calibri"/>
                <w:sz w:val="18"/>
                <w:szCs w:val="18"/>
              </w:rPr>
              <w:fldChar w:fldCharType="end"/>
            </w:r>
          </w:p>
        </w:tc>
      </w:tr>
      <w:tr w:rsidR="002A3DB0" w:rsidRPr="00C76295" w14:paraId="55804048" w14:textId="77777777" w:rsidTr="002D0B16">
        <w:trPr>
          <w:trHeight w:val="451"/>
        </w:trPr>
        <w:tc>
          <w:tcPr>
            <w:tcW w:w="1425" w:type="dxa"/>
            <w:shd w:val="clear" w:color="auto" w:fill="auto"/>
            <w:vAlign w:val="center"/>
          </w:tcPr>
          <w:p w14:paraId="769B94E8" w14:textId="77777777" w:rsidR="002A3DB0" w:rsidRPr="00C76295" w:rsidRDefault="002A3DB0" w:rsidP="002D0B16">
            <w:pPr>
              <w:rPr>
                <w:rFonts w:eastAsia="Calibri"/>
                <w:sz w:val="18"/>
                <w:szCs w:val="18"/>
              </w:rPr>
            </w:pPr>
            <w:r w:rsidRPr="00C76295">
              <w:rPr>
                <w:rFonts w:eastAsia="Calibri"/>
                <w:sz w:val="18"/>
                <w:szCs w:val="18"/>
              </w:rPr>
              <w:t>miR-132</w:t>
            </w:r>
          </w:p>
        </w:tc>
        <w:tc>
          <w:tcPr>
            <w:tcW w:w="3250" w:type="dxa"/>
            <w:shd w:val="clear" w:color="auto" w:fill="auto"/>
            <w:vAlign w:val="center"/>
          </w:tcPr>
          <w:p w14:paraId="49AC8E7A" w14:textId="77777777" w:rsidR="002A3DB0" w:rsidRPr="00C76295" w:rsidRDefault="002A3DB0" w:rsidP="002D0B16">
            <w:pPr>
              <w:jc w:val="center"/>
              <w:rPr>
                <w:rFonts w:eastAsia="Calibri"/>
                <w:sz w:val="18"/>
                <w:szCs w:val="18"/>
              </w:rPr>
            </w:pPr>
            <w:r>
              <w:rPr>
                <w:rFonts w:eastAsia="Calibri"/>
                <w:sz w:val="18"/>
                <w:szCs w:val="18"/>
              </w:rPr>
              <w:t>TDP43</w:t>
            </w:r>
          </w:p>
        </w:tc>
        <w:tc>
          <w:tcPr>
            <w:tcW w:w="4410" w:type="dxa"/>
            <w:shd w:val="clear" w:color="auto" w:fill="auto"/>
            <w:vAlign w:val="center"/>
          </w:tcPr>
          <w:p w14:paraId="7BE2C472" w14:textId="77777777" w:rsidR="002A3DB0" w:rsidRPr="00C76295" w:rsidRDefault="002A3DB0" w:rsidP="002D0B16">
            <w:pPr>
              <w:rPr>
                <w:rFonts w:eastAsia="Calibri"/>
                <w:sz w:val="18"/>
                <w:szCs w:val="18"/>
              </w:rPr>
            </w:pPr>
            <w:r>
              <w:rPr>
                <w:rFonts w:eastAsia="Calibri"/>
                <w:sz w:val="18"/>
                <w:szCs w:val="18"/>
              </w:rPr>
              <w:t>S</w:t>
            </w:r>
            <w:r w:rsidRPr="00C76295">
              <w:rPr>
                <w:rFonts w:eastAsia="Calibri"/>
                <w:sz w:val="18"/>
                <w:szCs w:val="18"/>
              </w:rPr>
              <w:t>ynapse maturation, neural migration, and neural plasticity</w:t>
            </w:r>
          </w:p>
        </w:tc>
        <w:tc>
          <w:tcPr>
            <w:tcW w:w="1170" w:type="dxa"/>
            <w:shd w:val="clear" w:color="auto" w:fill="auto"/>
            <w:vAlign w:val="center"/>
          </w:tcPr>
          <w:p w14:paraId="4597395B" w14:textId="77777777" w:rsidR="002A3DB0" w:rsidRPr="00C76295" w:rsidRDefault="002A3DB0" w:rsidP="002D0B16">
            <w:pPr>
              <w:rPr>
                <w:rFonts w:eastAsia="Calibri"/>
                <w:sz w:val="18"/>
                <w:szCs w:val="18"/>
              </w:rPr>
            </w:pPr>
            <w:r>
              <w:rPr>
                <w:rFonts w:eastAsia="Calibri"/>
                <w:sz w:val="18"/>
                <w:szCs w:val="18"/>
              </w:rPr>
              <w:fldChar w:fldCharType="begin" w:fldLock="1"/>
            </w:r>
            <w:r>
              <w:rPr>
                <w:rFonts w:eastAsia="Calibri"/>
                <w:sz w:val="18"/>
                <w:szCs w:val="18"/>
              </w:rPr>
              <w:instrText>ADDIN CSL_CITATION {"citationItems":[{"id":"ITEM-1","itemData":{"ISSN":"1662453X","abstract":"Amyotrophic lateral sclerosis (ALS) is a fatal neurodegenerative disease characterized by the selective degeneration of upper and lower motor neurons. Currently, there are no effective biomarkers and fundamental therapies for this disease. Dysregulation in RNA metabolism plays a critical role in the pathogenesis of ALS. With the contribution of Next Generation Sequencing, the functions of non-coding RNAs (ncRNAs) have gained increasing interests. Especially, micro RNAs (miRNAs), which are tissue-specific small ncRNAs of about 18–25 nucleotides, have emerged as key regulators of gene expression to target multiple molecules and pathways in the central nervous system (CNS). Despite intensive recent research in this field, the crucial links between ALS pathogenesis and miRNAs remain unclear. Many studies have revealed that ALS-related RNA binding proteins (RBPs), such as TAR DNA-binding protein 43 (TDP-43) and fused in sarcoma/translocated in liposarcoma (FUS), regulate miRNAs processing in both the nucleus and cytoplasm. Of interest, Cu2+/Zn2+ superoxide dismutase (SOD1), a non-RBP associated with familial ALS, shows partially similar properties to these RBPs via the dysregulation of miRNAs in the cellular pathway related to ALS. The identification and validation of miRNAs are important to understand the physiological gene regulation in the CNS, and the pathological implications in ALS, leading to a new avenue for early diagnosis and gene therapies. Here, we offer a recent overview regarding the mechanism underlying the functions of multiple miRNAs across TDP-43, FUS, and SOD1 with the context of cell biology, and challenging for clinical applications in ALS.","author":[{"dropping-particle":"","family":"Koike","given":"Yuka","non-dropping-particle":"","parse-names":false,"suffix":""},{"dropping-particle":"","family":"Onodera","given":"Osamu","non-dropping-particle":"","parse-names":false,"suffix":""}],"container-title":"Frontiers in Neuroscience","id":"ITEM-1","issued":{"date-parts":[["2023","2","21"]]},"page":"1131758","publisher":"Frontiers Media S.A.","title":"Implications of miRNAs dysregulation in amyotrophic lateral sclerosis: Challenging for clinical applications","type":"article-journal","volume":"17"},"uris":["http://www.mendeley.com/documents/?uuid=a6b7880e-6b20-48e1-91c6-38a48c753371"]}],"mendeley":{"formattedCitation":"&lt;sup&gt;1&lt;/sup&gt;","plainTextFormattedCitation":"1","previouslyFormattedCitation":"&lt;sup&gt;1&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1</w:t>
            </w:r>
            <w:r>
              <w:rPr>
                <w:rFonts w:eastAsia="Calibri"/>
                <w:sz w:val="18"/>
                <w:szCs w:val="18"/>
              </w:rPr>
              <w:fldChar w:fldCharType="end"/>
            </w:r>
            <w:r>
              <w:rPr>
                <w:rFonts w:eastAsia="Calibri"/>
                <w:sz w:val="18"/>
                <w:szCs w:val="18"/>
              </w:rPr>
              <w:t xml:space="preserve"> </w:t>
            </w:r>
            <w:r>
              <w:rPr>
                <w:rFonts w:eastAsia="Calibri"/>
                <w:sz w:val="18"/>
                <w:szCs w:val="18"/>
              </w:rPr>
              <w:fldChar w:fldCharType="begin" w:fldLock="1"/>
            </w:r>
            <w:r>
              <w:rPr>
                <w:rFonts w:eastAsia="Calibri"/>
                <w:sz w:val="18"/>
                <w:szCs w:val="18"/>
              </w:rPr>
              <w:instrText>ADDIN CSL_CITATION {"citationItems":[{"id":"ITEM-1","itemData":{"DOI":"10.1186/2051-5960-1-42","ISSN":"2051-5960","PMID":"24252274","abstract":"BACKGROUND A pathological hallmark of most amyotrophic lateral sclerosis (ALS) cases are intracellular aggregates of the protein TDP-43. The pathophysiological relevance of TDP-43 is underlined by familial ALS cases caused by TDP-43 mutations. TDP-43 is involved in processing of both coding RNAs and microRNAs, which are key epigenetic regulators of transcriptome plasticity and suspected to contribute to neurological diseases. We therefore asked whether the TDP-43 binding microRNAs recently identified in cell lines are also dysregulated in ALS patients. We compared their abundance in cerebrospinal fluid (CSF), serum and immortalized lymphoblast cell lines (LCLs) derived from ALS patients and healthy controls. RESULTS We found that expression levels of 5 out of 9 TDP-43 binding microRNAs were altered in the CSF and serum of sporadic ALS cases. The differentially regulated serum microRNAs together with a poor correlation between CSF and serum levels indicate a systemic dysregulation of microRNA abundance independent from the CSF compartment, in line with the ubiquitous expression of TDP-43. The most strongly regulated microRNAs could be confirmed in LCLs from genetically defined ALS patients. While dysregulation of miR-143-5p/3p seems to be a common feature of ALS pathology, downregulation of miR-132-5p/3p and miR-574-5p/3p was evident in sporadic, TARDBP, FUS and C9ORF72, but not SOD1 mutant patients. This parallels the TDP-43 pathology found in most ALS cases, but usually not in patients with SOD1 mutation. CONCLUSIONS We thus report a systemic and genotype-dependent dysregulation of TDP-43 binding microRNAs in human biomaterial that might reflect an easily accessible biological measure of TDP-43 dysfunction. Furthermore we suggest an independent regulation of TDP-43 binding microRNAs in the serum and CSF compartment as well as a generally low transition of microRNAs across the blood-cerebrospinal fluid barrier.","author":[{"dropping-particle":"","family":"Freischmidt","given":"Axel","non-dropping-particle":"","parse-names":false,"suffix":""},{"dropping-particle":"","family":"Müller","given":"Kathrin","non-dropping-particle":"","parse-names":false,"suffix":""},{"dropping-particle":"","family":"Ludolph","given":"Albert C","non-dropping-particle":"","parse-names":false,"suffix":""},{"dropping-particle":"","family":"Weishaupt","given":"Jochen H","non-dropping-particle":"","parse-names":false,"suffix":""}],"container-title":"Acta Neuropathologica Communications","id":"ITEM-1","issue":"1","issued":{"date-parts":[["2013","12"]]},"page":"42","publisher":"BMC","title":"Systemic dysregulation of TDP-43 binding microRNAs in amyotrophic lateral sclerosis","type":"article-journal","volume":"1"},"uris":["http://www.mendeley.com/documents/?uuid=889dbeff-b536-329f-bd56-2fb744af2f3f"]}],"mendeley":{"formattedCitation":"&lt;sup&gt;10&lt;/sup&gt;","plainTextFormattedCitation":"10","previouslyFormattedCitation":"&lt;sup&gt;10&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10</w:t>
            </w:r>
            <w:r>
              <w:rPr>
                <w:rFonts w:eastAsia="Calibri"/>
                <w:sz w:val="18"/>
                <w:szCs w:val="18"/>
              </w:rPr>
              <w:fldChar w:fldCharType="end"/>
            </w:r>
          </w:p>
        </w:tc>
      </w:tr>
      <w:tr w:rsidR="002A3DB0" w:rsidRPr="00C76295" w14:paraId="46B53CF9" w14:textId="77777777" w:rsidTr="002D0B16">
        <w:trPr>
          <w:trHeight w:val="295"/>
        </w:trPr>
        <w:tc>
          <w:tcPr>
            <w:tcW w:w="1425" w:type="dxa"/>
            <w:shd w:val="clear" w:color="auto" w:fill="auto"/>
            <w:vAlign w:val="center"/>
          </w:tcPr>
          <w:p w14:paraId="342EFD66" w14:textId="77777777" w:rsidR="002A3DB0" w:rsidRPr="00C76295" w:rsidRDefault="002A3DB0" w:rsidP="002D0B16">
            <w:pPr>
              <w:rPr>
                <w:rFonts w:eastAsia="Calibri"/>
                <w:sz w:val="18"/>
                <w:szCs w:val="18"/>
              </w:rPr>
            </w:pPr>
            <w:r w:rsidRPr="00C76295">
              <w:rPr>
                <w:rFonts w:eastAsia="Calibri"/>
                <w:sz w:val="18"/>
                <w:szCs w:val="18"/>
              </w:rPr>
              <w:t>miR126-5p</w:t>
            </w:r>
          </w:p>
        </w:tc>
        <w:tc>
          <w:tcPr>
            <w:tcW w:w="3250" w:type="dxa"/>
            <w:shd w:val="clear" w:color="auto" w:fill="auto"/>
            <w:vAlign w:val="center"/>
          </w:tcPr>
          <w:p w14:paraId="09BBF379" w14:textId="77777777" w:rsidR="002A3DB0" w:rsidRPr="00C76295" w:rsidRDefault="002A3DB0" w:rsidP="002D0B16">
            <w:pPr>
              <w:jc w:val="center"/>
              <w:rPr>
                <w:rFonts w:eastAsia="Calibri"/>
                <w:sz w:val="18"/>
                <w:szCs w:val="18"/>
              </w:rPr>
            </w:pPr>
            <w:r w:rsidRPr="008B6835">
              <w:rPr>
                <w:rFonts w:eastAsia="Calibri"/>
                <w:sz w:val="18"/>
                <w:szCs w:val="18"/>
              </w:rPr>
              <w:t>Sema3A</w:t>
            </w:r>
          </w:p>
        </w:tc>
        <w:tc>
          <w:tcPr>
            <w:tcW w:w="4410" w:type="dxa"/>
            <w:shd w:val="clear" w:color="auto" w:fill="auto"/>
            <w:vAlign w:val="center"/>
          </w:tcPr>
          <w:p w14:paraId="0A780C07" w14:textId="77777777" w:rsidR="002A3DB0" w:rsidRPr="00C76295" w:rsidRDefault="002A3DB0" w:rsidP="002D0B16">
            <w:pPr>
              <w:rPr>
                <w:rFonts w:eastAsia="Calibri"/>
                <w:sz w:val="18"/>
                <w:szCs w:val="18"/>
              </w:rPr>
            </w:pPr>
            <w:r>
              <w:rPr>
                <w:rFonts w:eastAsia="Calibri"/>
                <w:sz w:val="18"/>
                <w:szCs w:val="18"/>
              </w:rPr>
              <w:t>A</w:t>
            </w:r>
            <w:r w:rsidRPr="008B6835">
              <w:rPr>
                <w:rFonts w:eastAsia="Calibri"/>
                <w:sz w:val="18"/>
                <w:szCs w:val="18"/>
              </w:rPr>
              <w:t>xon degeneration and NMJ disruption</w:t>
            </w:r>
          </w:p>
        </w:tc>
        <w:tc>
          <w:tcPr>
            <w:tcW w:w="1170" w:type="dxa"/>
            <w:shd w:val="clear" w:color="auto" w:fill="auto"/>
            <w:vAlign w:val="center"/>
          </w:tcPr>
          <w:p w14:paraId="3A721C52" w14:textId="77777777" w:rsidR="002A3DB0" w:rsidRPr="00C76295" w:rsidRDefault="002A3DB0" w:rsidP="002D0B16">
            <w:pPr>
              <w:rPr>
                <w:rFonts w:eastAsia="Calibri"/>
                <w:sz w:val="18"/>
                <w:szCs w:val="18"/>
              </w:rPr>
            </w:pPr>
            <w:r>
              <w:rPr>
                <w:rFonts w:eastAsia="Calibri"/>
                <w:sz w:val="18"/>
                <w:szCs w:val="18"/>
              </w:rPr>
              <w:fldChar w:fldCharType="begin" w:fldLock="1"/>
            </w:r>
            <w:r>
              <w:rPr>
                <w:rFonts w:eastAsia="Calibri"/>
                <w:sz w:val="18"/>
                <w:szCs w:val="18"/>
              </w:rPr>
              <w:instrText>ADDIN CSL_CITATION {"citationItems":[{"id":"ITEM-1","itemData":{"DOI":"10.1523/JNEUROSCI.3037-17.2018","ISSN":"1529-2401","PMID":"29773756","abstract":"Axon degeneration and disruption of neuromuscular junctions (NMJs) are key events in amyotrophic lateral sclerosis (ALS) pathology. Although the disease’s etiology is not fully understood, it is thought to involve a non–cell-autonomous mechanism and alterations in RNA metabolism. Here, we identified reduced levels of miR126-5p in presymptomatic ALS male mice models, and an increase in its targets: axon destabilizing Type 3 Semaphorins and their coreceptor Neuropilins. Using compartmentalized in vitro cocultures, we demonstrated that myocytes expressing diverse ALS-causing mutations promote axon degeneration and NMJ dysfunction, which were inhibited by applying Neuropilin1 blocking antibody. Finally, overexpressing miR126-5p is sufficient to transiently rescue axon degeneration and NMJ disruption both in vitro and in vivo. Thus, we demonstrate a novel mechanism underlying ALS pathology, in which alterations in miR126-5p facilitate a non–cell-autonomous mechanism of motor neuron degeneration in ALS.","author":[{"dropping-particle":"","family":"Maimon","given":"Roy","non-dropping-particle":"","parse-names":false,"suffix":""},{"dropping-particle":"","family":"Ionescu","given":"Ariel","non-dropping-particle":"","parse-names":false,"suffix":""},{"dropping-particle":"","family":"Bonnie","given":"Avichai","non-dropping-particle":"","parse-names":false,"suffix":""},{"dropping-particle":"","family":"Sweetat","given":"Sahar","non-dropping-particle":"","parse-names":false,"suffix":""},{"dropping-particle":"","family":"Wald-Altman","given":"Shane","non-dropping-particle":"","parse-names":false,"suffix":""},{"dropping-particle":"","family":"Inbar","given":"Shani","non-dropping-particle":"","parse-names":false,"suffix":""},{"dropping-particle":"","family":"Gradus","given":"Tal","non-dropping-particle":"","parse-names":false,"suffix":""},{"dropping-particle":"","family":"Trotti","given":"Davide","non-dropping-particle":"","parse-names":false,"suffix":""},{"dropping-particle":"","family":"Weil","given":"Miguel","non-dropping-particle":"","parse-names":false,"suffix":""},{"dropping-particle":"","family":"Behar","given":"Oded","non-dropping-particle":"","parse-names":false,"suffix":""},{"dropping-particle":"","family":"Perlson","given":"Eran","non-dropping-particle":"","parse-names":false,"suffix":""}],"container-title":"The Journal of neuroscience : the official journal of the Society for Neuroscience","id":"ITEM-1","issue":"24","issued":{"date-parts":[["2018","6","13"]]},"page":"5478-5494","publisher":"J Neurosci","title":"miR126-5p Downregulation Facilitates Axon Degeneration and NMJ Disruption via a Non-Cell-Autonomous Mechanism in ALS","type":"article-journal","volume":"38"},"uris":["http://www.mendeley.com/documents/?uuid=a4a826f7-1100-34e7-9dbf-6f9cc434ae37"]}],"mendeley":{"formattedCitation":"&lt;sup&gt;11&lt;/sup&gt;","plainTextFormattedCitation":"11","previouslyFormattedCitation":"&lt;sup&gt;11&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11</w:t>
            </w:r>
            <w:r>
              <w:rPr>
                <w:rFonts w:eastAsia="Calibri"/>
                <w:sz w:val="18"/>
                <w:szCs w:val="18"/>
              </w:rPr>
              <w:fldChar w:fldCharType="end"/>
            </w:r>
          </w:p>
        </w:tc>
      </w:tr>
      <w:tr w:rsidR="002A3DB0" w:rsidRPr="00C76295" w14:paraId="0EA7E0D2" w14:textId="77777777" w:rsidTr="002D0B16">
        <w:trPr>
          <w:trHeight w:val="301"/>
        </w:trPr>
        <w:tc>
          <w:tcPr>
            <w:tcW w:w="1425" w:type="dxa"/>
            <w:shd w:val="clear" w:color="auto" w:fill="auto"/>
            <w:vAlign w:val="center"/>
          </w:tcPr>
          <w:p w14:paraId="31F0E55D" w14:textId="77777777" w:rsidR="002A3DB0" w:rsidRPr="00C76295" w:rsidRDefault="002A3DB0" w:rsidP="002D0B16">
            <w:pPr>
              <w:rPr>
                <w:rFonts w:eastAsia="Calibri"/>
                <w:sz w:val="18"/>
                <w:szCs w:val="18"/>
              </w:rPr>
            </w:pPr>
            <w:r w:rsidRPr="00C76295">
              <w:rPr>
                <w:rFonts w:eastAsia="Calibri"/>
                <w:sz w:val="18"/>
                <w:szCs w:val="18"/>
              </w:rPr>
              <w:t>miR-17</w:t>
            </w:r>
          </w:p>
        </w:tc>
        <w:tc>
          <w:tcPr>
            <w:tcW w:w="3250" w:type="dxa"/>
            <w:shd w:val="clear" w:color="auto" w:fill="auto"/>
            <w:vAlign w:val="center"/>
          </w:tcPr>
          <w:p w14:paraId="019BF083" w14:textId="77777777" w:rsidR="002A3DB0" w:rsidRPr="00C76295" w:rsidRDefault="002A3DB0" w:rsidP="002D0B16">
            <w:pPr>
              <w:jc w:val="center"/>
              <w:rPr>
                <w:rFonts w:eastAsia="Calibri"/>
                <w:sz w:val="18"/>
                <w:szCs w:val="18"/>
              </w:rPr>
            </w:pPr>
            <w:r w:rsidRPr="00C76295">
              <w:rPr>
                <w:rFonts w:eastAsia="Calibri"/>
                <w:sz w:val="18"/>
                <w:szCs w:val="18"/>
              </w:rPr>
              <w:t xml:space="preserve">PTEN </w:t>
            </w:r>
          </w:p>
        </w:tc>
        <w:tc>
          <w:tcPr>
            <w:tcW w:w="4410" w:type="dxa"/>
            <w:shd w:val="clear" w:color="auto" w:fill="auto"/>
            <w:vAlign w:val="center"/>
          </w:tcPr>
          <w:p w14:paraId="56668F41" w14:textId="77777777" w:rsidR="002A3DB0" w:rsidRPr="00C76295" w:rsidRDefault="002A3DB0" w:rsidP="002D0B16">
            <w:pPr>
              <w:rPr>
                <w:rFonts w:eastAsia="Calibri"/>
                <w:sz w:val="18"/>
                <w:szCs w:val="18"/>
              </w:rPr>
            </w:pPr>
            <w:r>
              <w:rPr>
                <w:rFonts w:eastAsia="Calibri"/>
                <w:bCs/>
                <w:sz w:val="18"/>
                <w:szCs w:val="18"/>
              </w:rPr>
              <w:t>Motor neuron</w:t>
            </w:r>
            <w:r w:rsidRPr="00C76295">
              <w:rPr>
                <w:rFonts w:eastAsia="Calibri"/>
                <w:bCs/>
                <w:sz w:val="18"/>
                <w:szCs w:val="18"/>
              </w:rPr>
              <w:t xml:space="preserve"> </w:t>
            </w:r>
            <w:r w:rsidRPr="00C76295">
              <w:rPr>
                <w:rFonts w:eastAsia="Calibri"/>
                <w:sz w:val="18"/>
                <w:szCs w:val="18"/>
              </w:rPr>
              <w:t>death</w:t>
            </w:r>
          </w:p>
        </w:tc>
        <w:tc>
          <w:tcPr>
            <w:tcW w:w="1170" w:type="dxa"/>
            <w:shd w:val="clear" w:color="auto" w:fill="auto"/>
            <w:vAlign w:val="center"/>
          </w:tcPr>
          <w:p w14:paraId="37929D43" w14:textId="77777777" w:rsidR="002A3DB0" w:rsidRPr="00C76295" w:rsidRDefault="002A3DB0" w:rsidP="002D0B16">
            <w:pPr>
              <w:keepNext/>
              <w:rPr>
                <w:rFonts w:eastAsia="Calibri"/>
                <w:sz w:val="18"/>
                <w:szCs w:val="18"/>
              </w:rPr>
            </w:pPr>
            <w:r>
              <w:rPr>
                <w:rFonts w:eastAsia="Calibri"/>
                <w:sz w:val="18"/>
                <w:szCs w:val="18"/>
              </w:rPr>
              <w:fldChar w:fldCharType="begin" w:fldLock="1"/>
            </w:r>
            <w:r>
              <w:rPr>
                <w:rFonts w:eastAsia="Calibri"/>
                <w:sz w:val="18"/>
                <w:szCs w:val="18"/>
              </w:rPr>
              <w:instrText>ADDIN CSL_CITATION {"citationItems":[{"id":"ITEM-1","itemData":{"DOI":"10.32604/BIOCELL.2021.014343","ISSN":"0327-9545","abstract":"Amyotrophic lateral sclerosis (ALS), also called Lou Gehrig’s disease, is an irreversible disease that is caused by the degeneration and death of motor neurons. Approximately 5–10% of cases are familial ALS (fALS), and th... | Find, read and cite all the research you need on Tech Science Press","author":[{"dropping-particle":"","family":"Wang","given":"Hsiuying","non-dropping-particle":"","parse-names":false,"suffix":""}],"container-title":"BIOCELL","id":"ITEM-1","issue":"3","issued":{"date-parts":[["2021","3","3"]]},"page":"547-561","publisher":"Tech Science Press","title":"Phylogenetic analysis of microRNA biomarkers for amyotrophic lateral sclerosis","type":"article-journal","volume":"45"},"uris":["http://www.mendeley.com/documents/?uuid=b1b197e4-0211-32e2-a4ae-f04f34f35ffe"]}],"mendeley":{"formattedCitation":"&lt;sup&gt;12&lt;/sup&gt;","plainTextFormattedCitation":"12","previouslyFormattedCitation":"&lt;sup&gt;12&lt;/sup&gt;"},"properties":{"noteIndex":0},"schema":"https://github.com/citation-style-language/schema/raw/master/csl-citation.json"}</w:instrText>
            </w:r>
            <w:r>
              <w:rPr>
                <w:rFonts w:eastAsia="Calibri"/>
                <w:sz w:val="18"/>
                <w:szCs w:val="18"/>
              </w:rPr>
              <w:fldChar w:fldCharType="separate"/>
            </w:r>
            <w:r w:rsidRPr="00A174E2">
              <w:rPr>
                <w:rFonts w:eastAsia="Calibri"/>
                <w:noProof/>
                <w:sz w:val="18"/>
                <w:szCs w:val="18"/>
                <w:vertAlign w:val="superscript"/>
              </w:rPr>
              <w:t>12</w:t>
            </w:r>
            <w:r>
              <w:rPr>
                <w:rFonts w:eastAsia="Calibri"/>
                <w:sz w:val="18"/>
                <w:szCs w:val="18"/>
              </w:rPr>
              <w:fldChar w:fldCharType="end"/>
            </w:r>
          </w:p>
        </w:tc>
      </w:tr>
    </w:tbl>
    <w:p w14:paraId="2C9CDF6D" w14:textId="77777777" w:rsidR="00F3428B" w:rsidRDefault="00F3428B" w:rsidP="00EF43EC">
      <w:pPr>
        <w:tabs>
          <w:tab w:val="left" w:pos="90"/>
          <w:tab w:val="left" w:pos="558"/>
        </w:tabs>
        <w:spacing w:line="480" w:lineRule="auto"/>
        <w:jc w:val="both"/>
        <w:rPr>
          <w:b/>
        </w:rPr>
      </w:pPr>
    </w:p>
    <w:p w14:paraId="1DEC9B92" w14:textId="77777777" w:rsidR="002A3DB0" w:rsidRPr="0029105E" w:rsidRDefault="002A3DB0" w:rsidP="002A3DB0">
      <w:pPr>
        <w:pBdr>
          <w:top w:val="none" w:sz="0" w:space="0" w:color="auto"/>
          <w:left w:val="none" w:sz="0" w:space="0" w:color="auto"/>
          <w:bottom w:val="none" w:sz="0" w:space="0" w:color="auto"/>
          <w:right w:val="none" w:sz="0" w:space="0" w:color="auto"/>
        </w:pBdr>
        <w:suppressAutoHyphens w:val="0"/>
        <w:spacing w:after="160" w:line="259" w:lineRule="auto"/>
        <w:jc w:val="center"/>
        <w:textAlignment w:val="auto"/>
        <w:rPr>
          <w:b/>
        </w:rPr>
      </w:pPr>
      <w:r w:rsidRPr="0029105E">
        <w:rPr>
          <w:b/>
          <w:color w:val="000000"/>
          <w:szCs w:val="20"/>
        </w:rPr>
        <w:t xml:space="preserve">Supplementary </w:t>
      </w:r>
      <w:r w:rsidRPr="0029105E">
        <w:rPr>
          <w:b/>
        </w:rPr>
        <w:t xml:space="preserve">Table </w:t>
      </w:r>
      <w:r>
        <w:rPr>
          <w:b/>
        </w:rPr>
        <w:t xml:space="preserve">2: </w:t>
      </w:r>
      <w:r w:rsidRPr="002D0B16">
        <w:rPr>
          <w:b/>
        </w:rPr>
        <w:t>miRNAs involved in regulation of ALS pathogenesis.</w:t>
      </w:r>
    </w:p>
    <w:p w14:paraId="19342D1F" w14:textId="77777777" w:rsidR="00F3428B" w:rsidRDefault="00F3428B" w:rsidP="00EF43EC">
      <w:pPr>
        <w:tabs>
          <w:tab w:val="left" w:pos="90"/>
          <w:tab w:val="left" w:pos="558"/>
        </w:tabs>
        <w:spacing w:line="480" w:lineRule="auto"/>
        <w:jc w:val="both"/>
        <w:rPr>
          <w:b/>
        </w:rPr>
      </w:pPr>
    </w:p>
    <w:p w14:paraId="01B3AD8C" w14:textId="77777777" w:rsidR="00F3428B" w:rsidRDefault="00F3428B" w:rsidP="00EF43EC">
      <w:pPr>
        <w:tabs>
          <w:tab w:val="left" w:pos="90"/>
          <w:tab w:val="left" w:pos="558"/>
        </w:tabs>
        <w:spacing w:line="480" w:lineRule="auto"/>
        <w:jc w:val="both"/>
        <w:rPr>
          <w:b/>
        </w:rPr>
      </w:pPr>
    </w:p>
    <w:p w14:paraId="65157893" w14:textId="77777777" w:rsidR="00F3428B" w:rsidRDefault="00F3428B" w:rsidP="00EF43EC">
      <w:pPr>
        <w:tabs>
          <w:tab w:val="left" w:pos="90"/>
          <w:tab w:val="left" w:pos="558"/>
        </w:tabs>
        <w:spacing w:line="480" w:lineRule="auto"/>
        <w:jc w:val="both"/>
        <w:rPr>
          <w:b/>
        </w:rPr>
      </w:pPr>
    </w:p>
    <w:p w14:paraId="03BF7966" w14:textId="77777777" w:rsidR="00F3428B" w:rsidRDefault="00F3428B" w:rsidP="00EF43EC">
      <w:pPr>
        <w:tabs>
          <w:tab w:val="left" w:pos="90"/>
          <w:tab w:val="left" w:pos="558"/>
        </w:tabs>
        <w:spacing w:line="480" w:lineRule="auto"/>
        <w:jc w:val="both"/>
        <w:rPr>
          <w:b/>
        </w:rPr>
      </w:pPr>
    </w:p>
    <w:p w14:paraId="63A0E7F0" w14:textId="77777777" w:rsidR="00F3428B" w:rsidRDefault="00F3428B" w:rsidP="00EF43EC">
      <w:pPr>
        <w:tabs>
          <w:tab w:val="left" w:pos="90"/>
          <w:tab w:val="left" w:pos="558"/>
        </w:tabs>
        <w:spacing w:line="480" w:lineRule="auto"/>
        <w:jc w:val="both"/>
        <w:rPr>
          <w:b/>
        </w:rPr>
      </w:pPr>
    </w:p>
    <w:p w14:paraId="2EEED0A2" w14:textId="77777777" w:rsidR="00F3428B" w:rsidRDefault="00F3428B" w:rsidP="00EF43EC">
      <w:pPr>
        <w:tabs>
          <w:tab w:val="left" w:pos="90"/>
          <w:tab w:val="left" w:pos="558"/>
        </w:tabs>
        <w:spacing w:line="480" w:lineRule="auto"/>
        <w:jc w:val="both"/>
        <w:rPr>
          <w:b/>
        </w:rPr>
      </w:pPr>
    </w:p>
    <w:p w14:paraId="1AC6A6A7" w14:textId="77777777" w:rsidR="00F3428B" w:rsidRDefault="00F3428B" w:rsidP="00EF43EC">
      <w:pPr>
        <w:tabs>
          <w:tab w:val="left" w:pos="90"/>
          <w:tab w:val="left" w:pos="558"/>
        </w:tabs>
        <w:spacing w:line="480" w:lineRule="auto"/>
        <w:jc w:val="both"/>
        <w:rPr>
          <w:b/>
        </w:rPr>
      </w:pPr>
    </w:p>
    <w:p w14:paraId="51F4194D" w14:textId="77777777" w:rsidR="00F3428B" w:rsidRDefault="00F3428B" w:rsidP="00EF43EC">
      <w:pPr>
        <w:tabs>
          <w:tab w:val="left" w:pos="90"/>
          <w:tab w:val="left" w:pos="558"/>
        </w:tabs>
        <w:spacing w:line="480" w:lineRule="auto"/>
        <w:jc w:val="both"/>
        <w:rPr>
          <w:b/>
        </w:rPr>
      </w:pPr>
    </w:p>
    <w:p w14:paraId="1C7B8780" w14:textId="77777777" w:rsidR="00EF43EC" w:rsidRDefault="00EF43EC" w:rsidP="00EF43EC">
      <w:pPr>
        <w:tabs>
          <w:tab w:val="left" w:pos="90"/>
          <w:tab w:val="left" w:pos="558"/>
        </w:tabs>
        <w:spacing w:line="480" w:lineRule="auto"/>
        <w:jc w:val="both"/>
      </w:pPr>
    </w:p>
    <w:p w14:paraId="4A09FBE3" w14:textId="77777777" w:rsidR="00EF43EC" w:rsidRDefault="00EF43EC" w:rsidP="00EF43EC">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sectPr w:rsidR="00EF43EC" w:rsidSect="00116CBA">
          <w:pgSz w:w="15840" w:h="12240" w:orient="landscape"/>
          <w:pgMar w:top="1440" w:right="1440" w:bottom="1440" w:left="1440" w:header="720" w:footer="720" w:gutter="0"/>
          <w:cols w:space="720"/>
          <w:docGrid w:linePitch="360"/>
        </w:sectPr>
      </w:pPr>
    </w:p>
    <w:p w14:paraId="34D67F68" w14:textId="1DBEF1BE" w:rsidR="003A7317" w:rsidRPr="002A2F36" w:rsidRDefault="00A53AB0" w:rsidP="002A2F36">
      <w:pPr>
        <w:pStyle w:val="MDPI41tablecaption"/>
        <w:ind w:left="0"/>
        <w:jc w:val="center"/>
        <w:rPr>
          <w:rFonts w:ascii="Times New Roman" w:hAnsi="Times New Roman" w:cs="Times New Roman"/>
          <w:b/>
          <w:sz w:val="24"/>
          <w:szCs w:val="24"/>
        </w:rPr>
      </w:pPr>
      <w:r w:rsidRPr="0029105E">
        <w:rPr>
          <w:rFonts w:ascii="Times New Roman" w:hAnsi="Times New Roman" w:cs="Times New Roman"/>
          <w:b/>
          <w:sz w:val="24"/>
          <w:szCs w:val="24"/>
        </w:rPr>
        <w:lastRenderedPageBreak/>
        <w:t xml:space="preserve">Supplementary </w:t>
      </w:r>
      <w:r w:rsidR="003A7317" w:rsidRPr="0029105E">
        <w:rPr>
          <w:rFonts w:ascii="Times New Roman" w:hAnsi="Times New Roman" w:cs="Times New Roman"/>
          <w:b/>
          <w:sz w:val="24"/>
          <w:szCs w:val="24"/>
        </w:rPr>
        <w:t xml:space="preserve">Table </w:t>
      </w:r>
      <w:r w:rsidR="0029105E">
        <w:rPr>
          <w:rFonts w:ascii="Times New Roman" w:hAnsi="Times New Roman" w:cs="Times New Roman"/>
          <w:b/>
          <w:sz w:val="24"/>
          <w:szCs w:val="24"/>
        </w:rPr>
        <w:t>3</w:t>
      </w:r>
      <w:r w:rsidR="00B34959">
        <w:rPr>
          <w:rFonts w:ascii="Times New Roman" w:hAnsi="Times New Roman" w:cs="Times New Roman"/>
          <w:b/>
          <w:sz w:val="24"/>
          <w:szCs w:val="24"/>
        </w:rPr>
        <w:t>:</w:t>
      </w:r>
      <w:r w:rsidR="003A7317" w:rsidRPr="0029105E">
        <w:rPr>
          <w:rFonts w:ascii="Times New Roman" w:hAnsi="Times New Roman" w:cs="Times New Roman"/>
          <w:b/>
          <w:sz w:val="24"/>
          <w:szCs w:val="24"/>
        </w:rPr>
        <w:t xml:space="preserve"> </w:t>
      </w:r>
      <w:proofErr w:type="spellStart"/>
      <w:r w:rsidR="003A7317" w:rsidRPr="002A2F36">
        <w:rPr>
          <w:rFonts w:ascii="Times New Roman" w:hAnsi="Times New Roman" w:cs="Times New Roman"/>
          <w:b/>
          <w:sz w:val="24"/>
          <w:szCs w:val="24"/>
        </w:rPr>
        <w:t>MeSH</w:t>
      </w:r>
      <w:proofErr w:type="spellEnd"/>
      <w:r w:rsidR="003A7317" w:rsidRPr="002A2F36">
        <w:rPr>
          <w:rFonts w:ascii="Times New Roman" w:hAnsi="Times New Roman" w:cs="Times New Roman"/>
          <w:b/>
          <w:sz w:val="24"/>
          <w:szCs w:val="24"/>
        </w:rPr>
        <w:t xml:space="preserve"> keywords used for computer-based screening.</w:t>
      </w:r>
    </w:p>
    <w:tbl>
      <w:tblPr>
        <w:tblW w:w="7857" w:type="dxa"/>
        <w:tblInd w:w="589" w:type="dxa"/>
        <w:tblLayout w:type="fixed"/>
        <w:tblCellMar>
          <w:left w:w="0" w:type="dxa"/>
          <w:right w:w="0" w:type="dxa"/>
        </w:tblCellMar>
        <w:tblLook w:val="04A0" w:firstRow="1" w:lastRow="0" w:firstColumn="1" w:lastColumn="0" w:noHBand="0" w:noVBand="1"/>
      </w:tblPr>
      <w:tblGrid>
        <w:gridCol w:w="7857"/>
      </w:tblGrid>
      <w:tr w:rsidR="003A7317" w:rsidRPr="00F14DA1" w14:paraId="440EC73B" w14:textId="77777777" w:rsidTr="00166C5C">
        <w:tc>
          <w:tcPr>
            <w:tcW w:w="7857" w:type="dxa"/>
            <w:tcBorders>
              <w:top w:val="single" w:sz="8" w:space="0" w:color="auto"/>
              <w:bottom w:val="single" w:sz="4" w:space="0" w:color="000000"/>
            </w:tcBorders>
            <w:shd w:val="clear" w:color="auto" w:fill="auto"/>
            <w:tcMar>
              <w:top w:w="30" w:type="dxa"/>
              <w:left w:w="45" w:type="dxa"/>
              <w:bottom w:w="30" w:type="dxa"/>
              <w:right w:w="45" w:type="dxa"/>
            </w:tcMar>
            <w:vAlign w:val="center"/>
          </w:tcPr>
          <w:p w14:paraId="23E284D6" w14:textId="77777777" w:rsidR="003A7317" w:rsidRPr="00F14DA1" w:rsidRDefault="003A7317" w:rsidP="00166C5C">
            <w:pPr>
              <w:autoSpaceDE w:val="0"/>
              <w:autoSpaceDN w:val="0"/>
              <w:adjustRightInd w:val="0"/>
              <w:snapToGrid w:val="0"/>
              <w:jc w:val="center"/>
              <w:rPr>
                <w:b/>
                <w:sz w:val="22"/>
                <w:szCs w:val="22"/>
                <w:lang w:eastAsia="en-US"/>
              </w:rPr>
            </w:pPr>
            <w:proofErr w:type="spellStart"/>
            <w:r w:rsidRPr="00F14DA1">
              <w:rPr>
                <w:b/>
                <w:sz w:val="22"/>
                <w:szCs w:val="22"/>
                <w:lang w:eastAsia="en-US"/>
              </w:rPr>
              <w:t>MeSH</w:t>
            </w:r>
            <w:proofErr w:type="spellEnd"/>
            <w:r w:rsidRPr="00F14DA1">
              <w:rPr>
                <w:b/>
                <w:sz w:val="22"/>
                <w:szCs w:val="22"/>
                <w:lang w:eastAsia="en-US"/>
              </w:rPr>
              <w:t xml:space="preserve"> keywords</w:t>
            </w:r>
          </w:p>
        </w:tc>
      </w:tr>
      <w:tr w:rsidR="003A7317" w:rsidRPr="00F14DA1" w14:paraId="7A59AB65" w14:textId="77777777" w:rsidTr="00166C5C">
        <w:tc>
          <w:tcPr>
            <w:tcW w:w="7857" w:type="dxa"/>
            <w:tcBorders>
              <w:top w:val="single" w:sz="4" w:space="0" w:color="000000"/>
              <w:bottom w:val="single" w:sz="6" w:space="0" w:color="000000"/>
            </w:tcBorders>
            <w:shd w:val="clear" w:color="auto" w:fill="auto"/>
            <w:tcMar>
              <w:top w:w="30" w:type="dxa"/>
              <w:left w:w="45" w:type="dxa"/>
              <w:bottom w:w="30" w:type="dxa"/>
              <w:right w:w="45" w:type="dxa"/>
            </w:tcMar>
            <w:vAlign w:val="center"/>
          </w:tcPr>
          <w:p w14:paraId="05FDF2D6"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Astrocytes AND Neuromuscular Junction</w:t>
            </w:r>
          </w:p>
        </w:tc>
      </w:tr>
      <w:tr w:rsidR="003A7317" w:rsidRPr="00F14DA1" w14:paraId="775C5F7E"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5D112F9C"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ataxin-2 AND Neuromuscular Junction</w:t>
            </w:r>
          </w:p>
        </w:tc>
      </w:tr>
      <w:tr w:rsidR="003A7317" w:rsidRPr="00F14DA1" w14:paraId="784765A3"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2DC84D3A"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C9ORF72 gene AND Neuromuscular Junction</w:t>
            </w:r>
          </w:p>
        </w:tc>
      </w:tr>
      <w:tr w:rsidR="003A7317" w:rsidRPr="00F14DA1" w14:paraId="03160824"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66130790"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ER Stress AND Neuromuscular Junction</w:t>
            </w:r>
          </w:p>
        </w:tc>
      </w:tr>
      <w:tr w:rsidR="003A7317" w:rsidRPr="00F14DA1" w14:paraId="4922B1A1"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7F4304F9"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FUS AND Neuromuscular Junction</w:t>
            </w:r>
          </w:p>
        </w:tc>
      </w:tr>
      <w:tr w:rsidR="003A7317" w:rsidRPr="00F14DA1" w14:paraId="0DFE22A3"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530550EB"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glial support cells AND Neuromuscular Junction</w:t>
            </w:r>
          </w:p>
        </w:tc>
      </w:tr>
      <w:tr w:rsidR="003A7317" w:rsidRPr="00F14DA1" w14:paraId="75655A31"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698383D4"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Glutamate Receptor (AMPA) AND Neuromuscular Junction</w:t>
            </w:r>
          </w:p>
        </w:tc>
      </w:tr>
      <w:tr w:rsidR="003A7317" w:rsidRPr="00F14DA1" w14:paraId="1BDA21DF"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4C420582"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inflammatory cells AND Neuromuscular Junction</w:t>
            </w:r>
          </w:p>
        </w:tc>
      </w:tr>
      <w:tr w:rsidR="003A7317" w:rsidRPr="00F14DA1" w14:paraId="5E7ED358"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1A523318"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microglial cell AND Neuromuscular Junction</w:t>
            </w:r>
          </w:p>
        </w:tc>
      </w:tr>
      <w:tr w:rsidR="003A7317" w:rsidRPr="00F14DA1" w14:paraId="122F1CEB"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427EB694"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Misfolded proteins AND Neuromuscular Junction</w:t>
            </w:r>
          </w:p>
        </w:tc>
      </w:tr>
      <w:tr w:rsidR="003A7317" w:rsidRPr="00F14DA1" w14:paraId="09598743"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34750BFC"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Motor neurons AND Neuromuscular Junction</w:t>
            </w:r>
          </w:p>
        </w:tc>
      </w:tr>
      <w:tr w:rsidR="003A7317" w:rsidRPr="00F14DA1" w14:paraId="78F1C86F"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4AA6B81B"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Neuromuscular junction</w:t>
            </w:r>
          </w:p>
        </w:tc>
      </w:tr>
      <w:tr w:rsidR="003A7317" w:rsidRPr="00F14DA1" w14:paraId="091B929E"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6EA3485A"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protein recycling AND Neuromuscular Junction</w:t>
            </w:r>
          </w:p>
        </w:tc>
      </w:tr>
      <w:tr w:rsidR="003A7317" w:rsidRPr="00F14DA1" w14:paraId="4FC6C602" w14:textId="77777777" w:rsidTr="00166C5C">
        <w:tc>
          <w:tcPr>
            <w:tcW w:w="7857" w:type="dxa"/>
            <w:tcBorders>
              <w:top w:val="single" w:sz="6" w:space="0" w:color="CCCCCC"/>
              <w:bottom w:val="single" w:sz="6" w:space="0" w:color="000000"/>
            </w:tcBorders>
            <w:shd w:val="clear" w:color="auto" w:fill="auto"/>
            <w:tcMar>
              <w:top w:w="30" w:type="dxa"/>
              <w:left w:w="45" w:type="dxa"/>
              <w:bottom w:w="30" w:type="dxa"/>
              <w:right w:w="45" w:type="dxa"/>
            </w:tcMar>
            <w:vAlign w:val="center"/>
          </w:tcPr>
          <w:p w14:paraId="01D47CDC"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SOD1 gene AND Neuromuscular Junction</w:t>
            </w:r>
          </w:p>
        </w:tc>
      </w:tr>
      <w:tr w:rsidR="003A7317" w:rsidRPr="00F14DA1" w14:paraId="00FD99A5" w14:textId="77777777" w:rsidTr="00166C5C">
        <w:tc>
          <w:tcPr>
            <w:tcW w:w="7857" w:type="dxa"/>
            <w:tcBorders>
              <w:top w:val="single" w:sz="6" w:space="0" w:color="CCCCCC"/>
              <w:bottom w:val="single" w:sz="6" w:space="0" w:color="CCCCCC"/>
            </w:tcBorders>
            <w:shd w:val="clear" w:color="auto" w:fill="auto"/>
            <w:tcMar>
              <w:top w:w="30" w:type="dxa"/>
              <w:left w:w="45" w:type="dxa"/>
              <w:bottom w:w="30" w:type="dxa"/>
              <w:right w:w="45" w:type="dxa"/>
            </w:tcMar>
            <w:vAlign w:val="center"/>
          </w:tcPr>
          <w:p w14:paraId="17A71C83"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SPTLC1 AND Neuromuscular Junction</w:t>
            </w:r>
          </w:p>
        </w:tc>
      </w:tr>
      <w:tr w:rsidR="003A7317" w:rsidRPr="00F14DA1" w14:paraId="300F1C5D" w14:textId="77777777" w:rsidTr="00166C5C">
        <w:tc>
          <w:tcPr>
            <w:tcW w:w="7857" w:type="dxa"/>
            <w:tcBorders>
              <w:top w:val="single" w:sz="6" w:space="0" w:color="CCCCCC"/>
              <w:bottom w:val="single" w:sz="6" w:space="0" w:color="CCCCCC"/>
            </w:tcBorders>
            <w:shd w:val="clear" w:color="auto" w:fill="auto"/>
            <w:tcMar>
              <w:top w:w="30" w:type="dxa"/>
              <w:left w:w="45" w:type="dxa"/>
              <w:bottom w:w="30" w:type="dxa"/>
              <w:right w:w="45" w:type="dxa"/>
            </w:tcMar>
            <w:vAlign w:val="center"/>
          </w:tcPr>
          <w:p w14:paraId="1BFC106E" w14:textId="77777777" w:rsidR="003A7317" w:rsidRPr="00174C26" w:rsidRDefault="003A7317" w:rsidP="00166C5C">
            <w:pPr>
              <w:autoSpaceDE w:val="0"/>
              <w:autoSpaceDN w:val="0"/>
              <w:adjustRightInd w:val="0"/>
              <w:snapToGrid w:val="0"/>
              <w:jc w:val="center"/>
              <w:rPr>
                <w:sz w:val="22"/>
                <w:szCs w:val="22"/>
                <w:lang w:eastAsia="en-US"/>
              </w:rPr>
            </w:pPr>
            <w:r w:rsidRPr="00174C26">
              <w:rPr>
                <w:color w:val="000000"/>
                <w:sz w:val="22"/>
                <w:szCs w:val="22"/>
              </w:rPr>
              <w:t>ALS AND TDP-43 AND Neuromuscular Junction</w:t>
            </w:r>
          </w:p>
        </w:tc>
      </w:tr>
      <w:tr w:rsidR="003A7317" w:rsidRPr="00F14DA1" w14:paraId="30A5B1C2" w14:textId="77777777" w:rsidTr="00166C5C">
        <w:tc>
          <w:tcPr>
            <w:tcW w:w="7857" w:type="dxa"/>
            <w:tcBorders>
              <w:top w:val="single" w:sz="6" w:space="0" w:color="CCCCCC"/>
              <w:bottom w:val="single" w:sz="6" w:space="0" w:color="CCCCCC"/>
            </w:tcBorders>
            <w:shd w:val="clear" w:color="auto" w:fill="auto"/>
            <w:tcMar>
              <w:top w:w="30" w:type="dxa"/>
              <w:left w:w="45" w:type="dxa"/>
              <w:bottom w:w="30" w:type="dxa"/>
              <w:right w:w="45" w:type="dxa"/>
            </w:tcMar>
            <w:vAlign w:val="center"/>
          </w:tcPr>
          <w:p w14:paraId="4EBFD6F1" w14:textId="77777777" w:rsidR="003A7317" w:rsidRPr="00174C26" w:rsidRDefault="003A7317" w:rsidP="00166C5C">
            <w:pPr>
              <w:autoSpaceDE w:val="0"/>
              <w:autoSpaceDN w:val="0"/>
              <w:adjustRightInd w:val="0"/>
              <w:snapToGrid w:val="0"/>
              <w:jc w:val="center"/>
              <w:rPr>
                <w:color w:val="000000"/>
                <w:sz w:val="22"/>
                <w:szCs w:val="22"/>
              </w:rPr>
            </w:pPr>
            <w:r w:rsidRPr="00174C26">
              <w:rPr>
                <w:color w:val="000000"/>
                <w:sz w:val="22"/>
                <w:szCs w:val="22"/>
              </w:rPr>
              <w:t>ALS AND ubiquilin-2 (UBQLN2) AND Neuromuscular Junction</w:t>
            </w:r>
          </w:p>
        </w:tc>
      </w:tr>
    </w:tbl>
    <w:p w14:paraId="5FA1254F" w14:textId="77777777" w:rsidR="003A7317" w:rsidRDefault="003A7317" w:rsidP="003A7317">
      <w:pPr>
        <w:pBdr>
          <w:top w:val="none" w:sz="0" w:space="0" w:color="auto"/>
          <w:left w:val="none" w:sz="0" w:space="0" w:color="auto"/>
          <w:bottom w:val="none" w:sz="0" w:space="0" w:color="auto"/>
          <w:right w:val="none" w:sz="0" w:space="0" w:color="auto"/>
        </w:pBdr>
        <w:suppressAutoHyphens w:val="0"/>
        <w:jc w:val="center"/>
        <w:textAlignment w:val="auto"/>
        <w:rPr>
          <w:color w:val="000000"/>
          <w:kern w:val="0"/>
          <w:lang w:eastAsia="en-US"/>
        </w:rPr>
      </w:pPr>
    </w:p>
    <w:p w14:paraId="6A0C7833" w14:textId="77777777" w:rsidR="0029105E" w:rsidRDefault="0029105E" w:rsidP="002A2F36">
      <w:pPr>
        <w:pBdr>
          <w:top w:val="none" w:sz="0" w:space="0" w:color="auto"/>
          <w:left w:val="none" w:sz="0" w:space="0" w:color="auto"/>
          <w:bottom w:val="none" w:sz="0" w:space="0" w:color="auto"/>
          <w:right w:val="none" w:sz="0" w:space="0" w:color="auto"/>
        </w:pBdr>
        <w:suppressAutoHyphens w:val="0"/>
        <w:textAlignment w:val="auto"/>
        <w:rPr>
          <w:b/>
        </w:rPr>
      </w:pPr>
      <w:r>
        <w:t>A l</w:t>
      </w:r>
      <w:r w:rsidRPr="0049060A">
        <w:t>ist of Medical Subject Headings (</w:t>
      </w:r>
      <w:proofErr w:type="spellStart"/>
      <w:r w:rsidRPr="0049060A">
        <w:t>MeSH</w:t>
      </w:r>
      <w:proofErr w:type="spellEnd"/>
      <w:r w:rsidRPr="0049060A">
        <w:t xml:space="preserve">) keywords to optimize recall and precision of peer-reviewed articles is provided in </w:t>
      </w:r>
      <w:r>
        <w:t xml:space="preserve">Supplementary </w:t>
      </w:r>
      <w:r w:rsidRPr="0049060A">
        <w:t xml:space="preserve">Table </w:t>
      </w:r>
      <w:r>
        <w:t>3.</w:t>
      </w:r>
    </w:p>
    <w:p w14:paraId="44212CA1" w14:textId="77777777" w:rsidR="003A7317" w:rsidRDefault="003A7317">
      <w:pPr>
        <w:pBdr>
          <w:top w:val="none" w:sz="0" w:space="0" w:color="auto"/>
          <w:left w:val="none" w:sz="0" w:space="0" w:color="auto"/>
          <w:bottom w:val="none" w:sz="0" w:space="0" w:color="auto"/>
          <w:right w:val="none" w:sz="0" w:space="0" w:color="auto"/>
        </w:pBdr>
        <w:suppressAutoHyphens w:val="0"/>
        <w:spacing w:after="160" w:line="259" w:lineRule="auto"/>
        <w:textAlignment w:val="auto"/>
        <w:rPr>
          <w:b/>
        </w:rPr>
      </w:pPr>
    </w:p>
    <w:p w14:paraId="47B9E9AA" w14:textId="77777777" w:rsidR="00116CBA" w:rsidRDefault="00116CBA" w:rsidP="00116CBA">
      <w:pPr>
        <w:tabs>
          <w:tab w:val="left" w:pos="90"/>
          <w:tab w:val="left" w:pos="558"/>
        </w:tabs>
        <w:spacing w:line="480" w:lineRule="auto"/>
        <w:jc w:val="both"/>
        <w:rPr>
          <w:b/>
        </w:rPr>
      </w:pPr>
    </w:p>
    <w:p w14:paraId="4245FC0B" w14:textId="77777777" w:rsidR="00116CBA" w:rsidRDefault="00116CBA" w:rsidP="00116CBA">
      <w:pPr>
        <w:tabs>
          <w:tab w:val="left" w:pos="90"/>
          <w:tab w:val="left" w:pos="558"/>
        </w:tabs>
        <w:spacing w:line="480" w:lineRule="auto"/>
        <w:jc w:val="both"/>
        <w:rPr>
          <w:b/>
        </w:rPr>
      </w:pPr>
    </w:p>
    <w:p w14:paraId="11E3114F" w14:textId="77777777" w:rsidR="00116CBA" w:rsidRDefault="00116CBA" w:rsidP="00116CBA">
      <w:pPr>
        <w:tabs>
          <w:tab w:val="left" w:pos="90"/>
          <w:tab w:val="left" w:pos="558"/>
        </w:tabs>
        <w:spacing w:line="480" w:lineRule="auto"/>
        <w:jc w:val="both"/>
        <w:rPr>
          <w:b/>
        </w:rPr>
      </w:pPr>
    </w:p>
    <w:p w14:paraId="4F1BB8F9" w14:textId="77777777" w:rsidR="00116CBA" w:rsidRDefault="00116CBA" w:rsidP="00116CBA">
      <w:pPr>
        <w:tabs>
          <w:tab w:val="left" w:pos="90"/>
          <w:tab w:val="left" w:pos="558"/>
        </w:tabs>
        <w:spacing w:line="480" w:lineRule="auto"/>
        <w:jc w:val="both"/>
        <w:rPr>
          <w:b/>
        </w:rPr>
      </w:pPr>
    </w:p>
    <w:p w14:paraId="759407EA" w14:textId="77777777" w:rsidR="00116CBA" w:rsidRDefault="00116CBA" w:rsidP="00116CBA">
      <w:pPr>
        <w:tabs>
          <w:tab w:val="left" w:pos="90"/>
          <w:tab w:val="left" w:pos="558"/>
        </w:tabs>
        <w:spacing w:line="480" w:lineRule="auto"/>
        <w:jc w:val="both"/>
        <w:rPr>
          <w:b/>
        </w:rPr>
      </w:pPr>
    </w:p>
    <w:p w14:paraId="4B008595" w14:textId="77777777" w:rsidR="00116CBA" w:rsidRDefault="00116CBA" w:rsidP="00116CBA">
      <w:pPr>
        <w:tabs>
          <w:tab w:val="left" w:pos="90"/>
          <w:tab w:val="left" w:pos="558"/>
        </w:tabs>
        <w:spacing w:line="480" w:lineRule="auto"/>
        <w:jc w:val="both"/>
        <w:rPr>
          <w:b/>
        </w:rPr>
      </w:pPr>
    </w:p>
    <w:p w14:paraId="6E117C6B" w14:textId="77777777" w:rsidR="00116CBA" w:rsidRDefault="00116CBA" w:rsidP="00116CBA">
      <w:pPr>
        <w:tabs>
          <w:tab w:val="left" w:pos="90"/>
          <w:tab w:val="left" w:pos="558"/>
        </w:tabs>
        <w:spacing w:line="480" w:lineRule="auto"/>
        <w:jc w:val="both"/>
        <w:rPr>
          <w:b/>
        </w:rPr>
        <w:sectPr w:rsidR="00116CBA">
          <w:pgSz w:w="12240" w:h="15840"/>
          <w:pgMar w:top="1440" w:right="1440" w:bottom="1440" w:left="1440" w:header="720" w:footer="720" w:gutter="0"/>
          <w:cols w:space="720"/>
          <w:docGrid w:linePitch="360"/>
        </w:sectPr>
      </w:pPr>
    </w:p>
    <w:p w14:paraId="19FC4550" w14:textId="1CE317C7" w:rsidR="00A174E2" w:rsidRDefault="007C395F" w:rsidP="002A2F36">
      <w:pPr>
        <w:pBdr>
          <w:top w:val="none" w:sz="0" w:space="0" w:color="auto"/>
          <w:left w:val="none" w:sz="0" w:space="0" w:color="auto"/>
          <w:bottom w:val="none" w:sz="0" w:space="0" w:color="auto"/>
          <w:right w:val="none" w:sz="0" w:space="0" w:color="auto"/>
        </w:pBdr>
        <w:suppressAutoHyphens w:val="0"/>
        <w:spacing w:after="160" w:line="259" w:lineRule="auto"/>
        <w:jc w:val="center"/>
        <w:textAlignment w:val="auto"/>
        <w:rPr>
          <w:b/>
          <w:color w:val="000000"/>
          <w:szCs w:val="20"/>
        </w:rPr>
      </w:pPr>
      <w:r>
        <w:rPr>
          <w:b/>
          <w:color w:val="000000"/>
          <w:szCs w:val="20"/>
        </w:rPr>
        <w:lastRenderedPageBreak/>
        <w:t xml:space="preserve">Supplementary Table </w:t>
      </w:r>
      <w:r w:rsidR="0029105E">
        <w:rPr>
          <w:b/>
          <w:color w:val="000000"/>
          <w:szCs w:val="20"/>
        </w:rPr>
        <w:t>4</w:t>
      </w:r>
      <w:r w:rsidR="002A3DB0">
        <w:rPr>
          <w:b/>
          <w:color w:val="000000"/>
          <w:szCs w:val="20"/>
        </w:rPr>
        <w:t xml:space="preserve">: </w:t>
      </w:r>
      <w:r w:rsidR="00A174E2">
        <w:rPr>
          <w:b/>
          <w:color w:val="000000"/>
          <w:szCs w:val="20"/>
        </w:rPr>
        <w:t>PRISMA 2020 Checklist</w:t>
      </w:r>
      <w:r w:rsidR="00A174E2">
        <w:rPr>
          <w:b/>
          <w:color w:val="000000"/>
          <w:szCs w:val="20"/>
        </w:rPr>
        <w:fldChar w:fldCharType="begin" w:fldLock="1"/>
      </w:r>
      <w:r w:rsidR="00A174E2">
        <w:rPr>
          <w:b/>
          <w:color w:val="000000"/>
          <w:szCs w:val="20"/>
        </w:rPr>
        <w:instrText>ADDIN CSL_CITATION {"citationItems":[{"id":"ITEM-1","itemData":{"DOI":"10.1136/BMJ.N71","ISSN":"1756-1833","PMID":"33782057","abstract":"The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reviews.\n\nSystematic reviews serve many critical roles. They can provide syntheses of the state of knowledge in a field, from which future research priorities can be identified; they can address questions that otherwise could not be answered by individual studies; they can identify problems in primary research that should be rectified in future studies; and they can generate or evaluate theories about how or why phenomena occur. Systematic reviews therefore generate various types of knowledge for different users of reviews (such as patients, healthcare providers, researchers, and policy makers).12 To ensure a systematic review is valuable to users, authors should prepare a transparent, complete, and accurate account of why the review was done, what they did (such as how studies were identified and selected) and what they found (such as characteristics of contributing studies and results of meta-analyses). Up-to-date reporting guidance facilitates authors achieving this.3\n\nThe Preferred Reporting Items for Systematic reviews and Meta-Analyses (PRISMA) statement published in 2009 (hereafter referred to as PRISMA 2009)45678910 …","author":[{"dropping-particle":"","family":"Page","given":"Matthew J.","non-dropping-particle":"","parse-names":false,"suffix":""},{"dropping-particle":"","family":"McKenzie","given":"Joanne E.","non-dropping-particle":"","parse-names":false,"suffix":""},{"dropping-particle":"","family":"Bossuyt","given":"Patrick M.","non-dropping-particle":"","parse-names":false,"suffix":""},{"dropping-particle":"","family":"Boutron","given":"Isabelle","non-dropping-particle":"","parse-names":false,"suffix":""},{"dropping-particle":"","family":"Hoffmann","given":"Tammy C.","non-dropping-particle":"","parse-names":false,"suffix":""},{"dropping-particle":"","family":"Mulrow","given":"Cynthia D.","non-dropping-particle":"","parse-names":false,"suffix":""},{"dropping-particle":"","family":"Shamseer","given":"Larissa","non-dropping-particle":"","parse-names":false,"suffix":""},{"dropping-particle":"","family":"Tetzlaff","given":"Jennifer M.","non-dropping-particle":"","parse-names":false,"suffix":""},{"dropping-particle":"","family":"Akl","given":"Elie A.","non-dropping-particle":"","parse-names":false,"suffix":""},{"dropping-particle":"","family":"Brennan","given":"Sue E.","non-dropping-particle":"","parse-names":false,"suffix":""},{"dropping-particle":"","family":"Chou","given":"Roger","non-dropping-particle":"","parse-names":false,"suffix":""},{"dropping-particle":"","family":"Glanville","given":"Julie","non-dropping-particle":"","parse-names":false,"suffix":""},{"dropping-particle":"","family":"Grimshaw","given":"Jeremy M.","non-dropping-particle":"","parse-names":false,"suffix":""},{"dropping-particle":"","family":"Hróbjartsson","given":"Asbjørn","non-dropping-particle":"","parse-names":false,"suffix":""},{"dropping-particle":"","family":"Lalu","given":"Manoj M.","non-dropping-particle":"","parse-names":false,"suffix":""},{"dropping-particle":"","family":"Li","given":"Tianjing","non-dropping-particle":"","parse-names":false,"suffix":""},{"dropping-particle":"","family":"Loder","given":"Elizabeth W.","non-dropping-particle":"","parse-names":false,"suffix":""},{"dropping-particle":"","family":"Mayo-Wilson","given":"Evan","non-dropping-particle":"","parse-names":false,"suffix":""},{"dropping-particle":"","family":"McDonald","given":"Steve","non-dropping-particle":"","parse-names":false,"suffix":""},{"dropping-particle":"","family":"McGuinness","given":"Luke A.","non-dropping-particle":"","parse-names":false,"suffix":""},{"dropping-particle":"","family":"Stewart","given":"Lesley A.","non-dropping-particle":"","parse-names":false,"suffix":""},{"dropping-particle":"","family":"Thomas","given":"James","non-dropping-particle":"","parse-names":false,"suffix":""},{"dropping-particle":"","family":"Tricco","given":"Andrea C.","non-dropping-particle":"","parse-names":false,"suffix":""},{"dropping-particle":"","family":"Welch","given":"Vivian A.","non-dropping-particle":"","parse-names":false,"suffix":""},{"dropping-particle":"","family":"Whiting","given":"Penny","non-dropping-particle":"","parse-names":false,"suffix":""},{"dropping-particle":"","family":"Moher","given":"David","non-dropping-particle":"","parse-names":false,"suffix":""}],"container-title":"BMJ","id":"ITEM-1","issued":{"date-parts":[["2021","3","29"]]},"publisher":"British Medical Journal Publishing Group","title":"The PRISMA 2020 statement: an updated guideline for reporting systematic reviews","type":"article-journal","volume":"372"},"uris":["http://www.mendeley.com/documents/?uuid=3a432559-08ce-31b1-a98b-b6d6e81c46e1"]}],"mendeley":{"formattedCitation":"&lt;sup&gt;13&lt;/sup&gt;","plainTextFormattedCitation":"13","previouslyFormattedCitation":"&lt;sup&gt;13&lt;/sup&gt;"},"properties":{"noteIndex":0},"schema":"https://github.com/citation-style-language/schema/raw/master/csl-citation.json"}</w:instrText>
      </w:r>
      <w:r w:rsidR="00A174E2">
        <w:rPr>
          <w:b/>
          <w:color w:val="000000"/>
          <w:szCs w:val="20"/>
        </w:rPr>
        <w:fldChar w:fldCharType="separate"/>
      </w:r>
      <w:r w:rsidR="00A174E2" w:rsidRPr="00A174E2">
        <w:rPr>
          <w:noProof/>
          <w:color w:val="000000"/>
          <w:szCs w:val="20"/>
          <w:vertAlign w:val="superscript"/>
        </w:rPr>
        <w:t>13</w:t>
      </w:r>
      <w:r w:rsidR="00A174E2">
        <w:rPr>
          <w:b/>
          <w:color w:val="000000"/>
          <w:szCs w:val="20"/>
        </w:rPr>
        <w:fldChar w:fldCharType="end"/>
      </w:r>
      <w:r w:rsidR="002A3DB0">
        <w:rPr>
          <w:b/>
          <w:color w:val="000000"/>
          <w:szCs w:val="20"/>
        </w:rPr>
        <w:t>.</w:t>
      </w:r>
    </w:p>
    <w:tbl>
      <w:tblPr>
        <w:tblW w:w="10145" w:type="dxa"/>
        <w:tblBorders>
          <w:top w:val="nil"/>
          <w:left w:val="nil"/>
          <w:bottom w:val="nil"/>
          <w:right w:val="nil"/>
        </w:tblBorders>
        <w:tblLook w:val="0000" w:firstRow="0" w:lastRow="0" w:firstColumn="0" w:lastColumn="0" w:noHBand="0" w:noVBand="0"/>
      </w:tblPr>
      <w:tblGrid>
        <w:gridCol w:w="1367"/>
        <w:gridCol w:w="587"/>
        <w:gridCol w:w="6764"/>
        <w:gridCol w:w="1427"/>
      </w:tblGrid>
      <w:tr w:rsidR="00A174E2" w:rsidRPr="004C1685" w14:paraId="71BF9241" w14:textId="77777777" w:rsidTr="00A174E2">
        <w:trPr>
          <w:trHeight w:val="65"/>
          <w:tblHeader/>
        </w:trPr>
        <w:tc>
          <w:tcPr>
            <w:tcW w:w="110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DFBCF8C" w14:textId="77777777" w:rsidR="00A174E2" w:rsidRPr="00930A31" w:rsidRDefault="00A174E2" w:rsidP="00166C5C">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39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056249F" w14:textId="77777777" w:rsidR="00A174E2" w:rsidRPr="00930A31" w:rsidRDefault="00A174E2" w:rsidP="00166C5C">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769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3C7BDDB" w14:textId="77777777" w:rsidR="00A174E2" w:rsidRPr="00930A31" w:rsidRDefault="00A174E2" w:rsidP="00166C5C">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95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0CB4915" w14:textId="77777777" w:rsidR="00A174E2" w:rsidRPr="00930A31" w:rsidRDefault="00A174E2" w:rsidP="00166C5C">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A174E2" w:rsidRPr="004C1685" w14:paraId="5C2FF6FE" w14:textId="77777777" w:rsidTr="00A174E2">
        <w:trPr>
          <w:trHeight w:val="24"/>
        </w:trPr>
        <w:tc>
          <w:tcPr>
            <w:tcW w:w="91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5AA978" w14:textId="77777777" w:rsidR="00A174E2" w:rsidRPr="00930A31" w:rsidRDefault="00A174E2" w:rsidP="00166C5C">
            <w:pPr>
              <w:pStyle w:val="Default"/>
              <w:rPr>
                <w:rFonts w:ascii="Arial" w:hAnsi="Arial" w:cs="Arial"/>
                <w:sz w:val="18"/>
                <w:szCs w:val="18"/>
              </w:rPr>
            </w:pPr>
            <w:r w:rsidRPr="00930A31">
              <w:rPr>
                <w:rFonts w:ascii="Arial" w:hAnsi="Arial" w:cs="Arial"/>
                <w:b/>
                <w:bCs/>
                <w:sz w:val="18"/>
                <w:szCs w:val="18"/>
              </w:rPr>
              <w:t xml:space="preserve">TITLE </w:t>
            </w:r>
          </w:p>
        </w:tc>
        <w:tc>
          <w:tcPr>
            <w:tcW w:w="952" w:type="dxa"/>
            <w:tcBorders>
              <w:top w:val="double" w:sz="5" w:space="0" w:color="000000"/>
              <w:left w:val="single" w:sz="5" w:space="0" w:color="000000"/>
              <w:bottom w:val="single" w:sz="5" w:space="0" w:color="000000"/>
              <w:right w:val="single" w:sz="5" w:space="0" w:color="000000"/>
            </w:tcBorders>
            <w:shd w:val="clear" w:color="auto" w:fill="FFFFCC"/>
          </w:tcPr>
          <w:p w14:paraId="7A24431F" w14:textId="77777777" w:rsidR="00A174E2" w:rsidRPr="00930A31" w:rsidRDefault="00A174E2" w:rsidP="00166C5C">
            <w:pPr>
              <w:pStyle w:val="Default"/>
              <w:jc w:val="right"/>
              <w:rPr>
                <w:rFonts w:ascii="Arial" w:hAnsi="Arial" w:cs="Arial"/>
                <w:color w:val="auto"/>
                <w:sz w:val="18"/>
                <w:szCs w:val="18"/>
              </w:rPr>
            </w:pPr>
          </w:p>
        </w:tc>
      </w:tr>
      <w:tr w:rsidR="00A174E2" w:rsidRPr="004C1685" w14:paraId="2B2AADBE" w14:textId="77777777" w:rsidTr="00A174E2">
        <w:trPr>
          <w:trHeight w:val="48"/>
        </w:trPr>
        <w:tc>
          <w:tcPr>
            <w:tcW w:w="1108" w:type="dxa"/>
            <w:tcBorders>
              <w:top w:val="single" w:sz="5" w:space="0" w:color="000000"/>
              <w:left w:val="single" w:sz="5" w:space="0" w:color="000000"/>
              <w:bottom w:val="double" w:sz="2" w:space="0" w:color="FFFFCC"/>
              <w:right w:val="single" w:sz="5" w:space="0" w:color="000000"/>
            </w:tcBorders>
          </w:tcPr>
          <w:p w14:paraId="37235C7E"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391" w:type="dxa"/>
            <w:tcBorders>
              <w:top w:val="single" w:sz="5" w:space="0" w:color="000000"/>
              <w:left w:val="single" w:sz="5" w:space="0" w:color="000000"/>
              <w:bottom w:val="double" w:sz="2" w:space="0" w:color="FFFFCC"/>
              <w:right w:val="single" w:sz="5" w:space="0" w:color="000000"/>
            </w:tcBorders>
          </w:tcPr>
          <w:p w14:paraId="62A02F07"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w:t>
            </w:r>
          </w:p>
        </w:tc>
        <w:tc>
          <w:tcPr>
            <w:tcW w:w="7692" w:type="dxa"/>
            <w:tcBorders>
              <w:top w:val="single" w:sz="5" w:space="0" w:color="000000"/>
              <w:left w:val="single" w:sz="5" w:space="0" w:color="000000"/>
              <w:bottom w:val="double" w:sz="5" w:space="0" w:color="000000"/>
              <w:right w:val="single" w:sz="5" w:space="0" w:color="000000"/>
            </w:tcBorders>
          </w:tcPr>
          <w:p w14:paraId="363916E8"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952" w:type="dxa"/>
            <w:tcBorders>
              <w:top w:val="single" w:sz="5" w:space="0" w:color="000000"/>
              <w:left w:val="single" w:sz="5" w:space="0" w:color="000000"/>
              <w:bottom w:val="double" w:sz="5" w:space="0" w:color="000000"/>
              <w:right w:val="single" w:sz="5" w:space="0" w:color="000000"/>
            </w:tcBorders>
          </w:tcPr>
          <w:p w14:paraId="47308352"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2, 5, and 35</w:t>
            </w:r>
          </w:p>
        </w:tc>
      </w:tr>
      <w:tr w:rsidR="00A174E2" w:rsidRPr="004C1685" w14:paraId="373DC5DF" w14:textId="77777777" w:rsidTr="00A174E2">
        <w:trPr>
          <w:trHeight w:val="24"/>
        </w:trPr>
        <w:tc>
          <w:tcPr>
            <w:tcW w:w="91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581A68" w14:textId="77777777" w:rsidR="00A174E2" w:rsidRPr="00930A31" w:rsidRDefault="00A174E2" w:rsidP="00166C5C">
            <w:pPr>
              <w:pStyle w:val="Default"/>
              <w:rPr>
                <w:rFonts w:ascii="Arial" w:hAnsi="Arial" w:cs="Arial"/>
                <w:sz w:val="18"/>
                <w:szCs w:val="18"/>
              </w:rPr>
            </w:pPr>
            <w:r w:rsidRPr="00930A31">
              <w:rPr>
                <w:rFonts w:ascii="Arial" w:hAnsi="Arial" w:cs="Arial"/>
                <w:b/>
                <w:bCs/>
                <w:sz w:val="18"/>
                <w:szCs w:val="18"/>
              </w:rPr>
              <w:t xml:space="preserve">ABSTRACT </w:t>
            </w:r>
          </w:p>
        </w:tc>
        <w:tc>
          <w:tcPr>
            <w:tcW w:w="952" w:type="dxa"/>
            <w:tcBorders>
              <w:top w:val="double" w:sz="5" w:space="0" w:color="000000"/>
              <w:left w:val="single" w:sz="5" w:space="0" w:color="000000"/>
              <w:bottom w:val="single" w:sz="5" w:space="0" w:color="000000"/>
              <w:right w:val="single" w:sz="5" w:space="0" w:color="000000"/>
            </w:tcBorders>
            <w:shd w:val="clear" w:color="auto" w:fill="FFFFCC"/>
          </w:tcPr>
          <w:p w14:paraId="11F9CD18" w14:textId="77777777" w:rsidR="00A174E2" w:rsidRPr="00930A31" w:rsidRDefault="00A174E2" w:rsidP="00166C5C">
            <w:pPr>
              <w:pStyle w:val="Default"/>
              <w:jc w:val="right"/>
              <w:rPr>
                <w:rFonts w:ascii="Arial" w:hAnsi="Arial" w:cs="Arial"/>
                <w:color w:val="auto"/>
                <w:sz w:val="18"/>
                <w:szCs w:val="18"/>
              </w:rPr>
            </w:pPr>
          </w:p>
        </w:tc>
      </w:tr>
      <w:tr w:rsidR="00A174E2" w:rsidRPr="004C1685" w14:paraId="23F09674" w14:textId="77777777" w:rsidTr="00A174E2">
        <w:trPr>
          <w:trHeight w:val="48"/>
        </w:trPr>
        <w:tc>
          <w:tcPr>
            <w:tcW w:w="1108" w:type="dxa"/>
            <w:tcBorders>
              <w:top w:val="single" w:sz="5" w:space="0" w:color="000000"/>
              <w:left w:val="single" w:sz="5" w:space="0" w:color="000000"/>
              <w:bottom w:val="double" w:sz="2" w:space="0" w:color="FFFFCC"/>
              <w:right w:val="single" w:sz="5" w:space="0" w:color="000000"/>
            </w:tcBorders>
          </w:tcPr>
          <w:p w14:paraId="57DCBFAC"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391" w:type="dxa"/>
            <w:tcBorders>
              <w:top w:val="single" w:sz="5" w:space="0" w:color="000000"/>
              <w:left w:val="single" w:sz="5" w:space="0" w:color="000000"/>
              <w:bottom w:val="double" w:sz="2" w:space="0" w:color="FFFFCC"/>
              <w:right w:val="single" w:sz="5" w:space="0" w:color="000000"/>
            </w:tcBorders>
          </w:tcPr>
          <w:p w14:paraId="4AB20426"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w:t>
            </w:r>
          </w:p>
        </w:tc>
        <w:tc>
          <w:tcPr>
            <w:tcW w:w="7692" w:type="dxa"/>
            <w:tcBorders>
              <w:top w:val="single" w:sz="5" w:space="0" w:color="000000"/>
              <w:left w:val="single" w:sz="5" w:space="0" w:color="000000"/>
              <w:bottom w:val="double" w:sz="5" w:space="0" w:color="000000"/>
              <w:right w:val="single" w:sz="5" w:space="0" w:color="000000"/>
            </w:tcBorders>
          </w:tcPr>
          <w:p w14:paraId="2A55F767"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952" w:type="dxa"/>
            <w:tcBorders>
              <w:top w:val="single" w:sz="5" w:space="0" w:color="000000"/>
              <w:left w:val="single" w:sz="5" w:space="0" w:color="000000"/>
              <w:bottom w:val="double" w:sz="5" w:space="0" w:color="000000"/>
              <w:right w:val="single" w:sz="5" w:space="0" w:color="000000"/>
            </w:tcBorders>
          </w:tcPr>
          <w:p w14:paraId="3F00FCD7"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 xml:space="preserve">Supplementary </w:t>
            </w:r>
          </w:p>
        </w:tc>
      </w:tr>
      <w:tr w:rsidR="00A174E2" w:rsidRPr="004C1685" w14:paraId="41EC0D0D" w14:textId="77777777" w:rsidTr="00A174E2">
        <w:trPr>
          <w:trHeight w:val="24"/>
        </w:trPr>
        <w:tc>
          <w:tcPr>
            <w:tcW w:w="91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C8AB84" w14:textId="77777777" w:rsidR="00A174E2" w:rsidRPr="00930A31" w:rsidRDefault="00A174E2" w:rsidP="00166C5C">
            <w:pPr>
              <w:pStyle w:val="Default"/>
              <w:rPr>
                <w:rFonts w:ascii="Arial" w:hAnsi="Arial" w:cs="Arial"/>
                <w:sz w:val="18"/>
                <w:szCs w:val="18"/>
              </w:rPr>
            </w:pPr>
            <w:r w:rsidRPr="00930A31">
              <w:rPr>
                <w:rFonts w:ascii="Arial" w:hAnsi="Arial" w:cs="Arial"/>
                <w:b/>
                <w:bCs/>
                <w:sz w:val="18"/>
                <w:szCs w:val="18"/>
              </w:rPr>
              <w:t xml:space="preserve">INTRODUCTION </w:t>
            </w:r>
          </w:p>
        </w:tc>
        <w:tc>
          <w:tcPr>
            <w:tcW w:w="952" w:type="dxa"/>
            <w:tcBorders>
              <w:top w:val="double" w:sz="5" w:space="0" w:color="000000"/>
              <w:left w:val="single" w:sz="5" w:space="0" w:color="000000"/>
              <w:bottom w:val="single" w:sz="5" w:space="0" w:color="000000"/>
              <w:right w:val="single" w:sz="5" w:space="0" w:color="000000"/>
            </w:tcBorders>
            <w:shd w:val="clear" w:color="auto" w:fill="FFFFCC"/>
          </w:tcPr>
          <w:p w14:paraId="3068DCD1" w14:textId="77777777" w:rsidR="00A174E2" w:rsidRPr="00930A31" w:rsidRDefault="00A174E2" w:rsidP="00166C5C">
            <w:pPr>
              <w:pStyle w:val="Default"/>
              <w:jc w:val="right"/>
              <w:rPr>
                <w:rFonts w:ascii="Arial" w:hAnsi="Arial" w:cs="Arial"/>
                <w:color w:val="auto"/>
                <w:sz w:val="18"/>
                <w:szCs w:val="18"/>
              </w:rPr>
            </w:pPr>
          </w:p>
        </w:tc>
      </w:tr>
      <w:tr w:rsidR="00A174E2" w:rsidRPr="004C1685" w14:paraId="407A85D7"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17BD7E5F"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391" w:type="dxa"/>
            <w:tcBorders>
              <w:top w:val="single" w:sz="5" w:space="0" w:color="000000"/>
              <w:left w:val="single" w:sz="5" w:space="0" w:color="000000"/>
              <w:bottom w:val="single" w:sz="5" w:space="0" w:color="000000"/>
              <w:right w:val="single" w:sz="5" w:space="0" w:color="000000"/>
            </w:tcBorders>
          </w:tcPr>
          <w:p w14:paraId="5BA5C366"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3</w:t>
            </w:r>
          </w:p>
        </w:tc>
        <w:tc>
          <w:tcPr>
            <w:tcW w:w="7692" w:type="dxa"/>
            <w:tcBorders>
              <w:top w:val="single" w:sz="5" w:space="0" w:color="000000"/>
              <w:left w:val="single" w:sz="5" w:space="0" w:color="000000"/>
              <w:bottom w:val="single" w:sz="5" w:space="0" w:color="000000"/>
              <w:right w:val="single" w:sz="5" w:space="0" w:color="000000"/>
            </w:tcBorders>
          </w:tcPr>
          <w:p w14:paraId="01460570"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952" w:type="dxa"/>
            <w:tcBorders>
              <w:top w:val="single" w:sz="5" w:space="0" w:color="000000"/>
              <w:left w:val="single" w:sz="5" w:space="0" w:color="000000"/>
              <w:bottom w:val="single" w:sz="5" w:space="0" w:color="000000"/>
              <w:right w:val="single" w:sz="5" w:space="0" w:color="000000"/>
            </w:tcBorders>
          </w:tcPr>
          <w:p w14:paraId="764B43F2"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5</w:t>
            </w:r>
          </w:p>
        </w:tc>
      </w:tr>
      <w:tr w:rsidR="00A174E2" w:rsidRPr="004C1685" w14:paraId="571EA46A" w14:textId="77777777" w:rsidTr="00A174E2">
        <w:trPr>
          <w:trHeight w:val="48"/>
        </w:trPr>
        <w:tc>
          <w:tcPr>
            <w:tcW w:w="1108" w:type="dxa"/>
            <w:tcBorders>
              <w:top w:val="single" w:sz="5" w:space="0" w:color="000000"/>
              <w:left w:val="single" w:sz="5" w:space="0" w:color="000000"/>
              <w:bottom w:val="double" w:sz="2" w:space="0" w:color="FFFFCC"/>
              <w:right w:val="single" w:sz="5" w:space="0" w:color="000000"/>
            </w:tcBorders>
          </w:tcPr>
          <w:p w14:paraId="376D4FEA"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391" w:type="dxa"/>
            <w:tcBorders>
              <w:top w:val="single" w:sz="5" w:space="0" w:color="000000"/>
              <w:left w:val="single" w:sz="5" w:space="0" w:color="000000"/>
              <w:bottom w:val="double" w:sz="2" w:space="0" w:color="FFFFCC"/>
              <w:right w:val="single" w:sz="5" w:space="0" w:color="000000"/>
            </w:tcBorders>
          </w:tcPr>
          <w:p w14:paraId="779F906E"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4</w:t>
            </w:r>
          </w:p>
        </w:tc>
        <w:tc>
          <w:tcPr>
            <w:tcW w:w="7692" w:type="dxa"/>
            <w:tcBorders>
              <w:top w:val="single" w:sz="5" w:space="0" w:color="000000"/>
              <w:left w:val="single" w:sz="5" w:space="0" w:color="000000"/>
              <w:bottom w:val="double" w:sz="5" w:space="0" w:color="000000"/>
              <w:right w:val="single" w:sz="5" w:space="0" w:color="000000"/>
            </w:tcBorders>
          </w:tcPr>
          <w:p w14:paraId="3F74D6A7"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952" w:type="dxa"/>
            <w:tcBorders>
              <w:top w:val="single" w:sz="5" w:space="0" w:color="000000"/>
              <w:left w:val="single" w:sz="5" w:space="0" w:color="000000"/>
              <w:bottom w:val="double" w:sz="5" w:space="0" w:color="000000"/>
              <w:right w:val="single" w:sz="5" w:space="0" w:color="000000"/>
            </w:tcBorders>
          </w:tcPr>
          <w:p w14:paraId="005BA6E7"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2, 5</w:t>
            </w:r>
          </w:p>
        </w:tc>
      </w:tr>
      <w:tr w:rsidR="00A174E2" w:rsidRPr="004C1685" w14:paraId="71AD2553" w14:textId="77777777" w:rsidTr="00A174E2">
        <w:trPr>
          <w:trHeight w:val="24"/>
        </w:trPr>
        <w:tc>
          <w:tcPr>
            <w:tcW w:w="91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964EB3" w14:textId="77777777" w:rsidR="00A174E2" w:rsidRPr="00930A31" w:rsidRDefault="00A174E2" w:rsidP="00166C5C">
            <w:pPr>
              <w:pStyle w:val="Default"/>
              <w:rPr>
                <w:rFonts w:ascii="Arial" w:hAnsi="Arial" w:cs="Arial"/>
                <w:sz w:val="18"/>
                <w:szCs w:val="18"/>
              </w:rPr>
            </w:pPr>
            <w:r w:rsidRPr="00930A31">
              <w:rPr>
                <w:rFonts w:ascii="Arial" w:hAnsi="Arial" w:cs="Arial"/>
                <w:b/>
                <w:bCs/>
                <w:sz w:val="18"/>
                <w:szCs w:val="18"/>
              </w:rPr>
              <w:t xml:space="preserve">METHODS </w:t>
            </w:r>
          </w:p>
        </w:tc>
        <w:tc>
          <w:tcPr>
            <w:tcW w:w="952" w:type="dxa"/>
            <w:tcBorders>
              <w:top w:val="double" w:sz="5" w:space="0" w:color="000000"/>
              <w:left w:val="single" w:sz="5" w:space="0" w:color="000000"/>
              <w:bottom w:val="single" w:sz="5" w:space="0" w:color="000000"/>
              <w:right w:val="single" w:sz="5" w:space="0" w:color="000000"/>
            </w:tcBorders>
            <w:shd w:val="clear" w:color="auto" w:fill="FFFFCC"/>
          </w:tcPr>
          <w:p w14:paraId="1A56093D" w14:textId="77777777" w:rsidR="00A174E2" w:rsidRPr="00930A31" w:rsidRDefault="00A174E2" w:rsidP="00166C5C">
            <w:pPr>
              <w:pStyle w:val="Default"/>
              <w:jc w:val="right"/>
              <w:rPr>
                <w:rFonts w:ascii="Arial" w:hAnsi="Arial" w:cs="Arial"/>
                <w:color w:val="auto"/>
                <w:sz w:val="18"/>
                <w:szCs w:val="18"/>
              </w:rPr>
            </w:pPr>
          </w:p>
        </w:tc>
      </w:tr>
      <w:tr w:rsidR="00A174E2" w:rsidRPr="004C1685" w14:paraId="6A601D75"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1A7DDBE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391" w:type="dxa"/>
            <w:tcBorders>
              <w:top w:val="single" w:sz="5" w:space="0" w:color="000000"/>
              <w:left w:val="single" w:sz="5" w:space="0" w:color="000000"/>
              <w:bottom w:val="single" w:sz="5" w:space="0" w:color="000000"/>
              <w:right w:val="single" w:sz="5" w:space="0" w:color="000000"/>
            </w:tcBorders>
          </w:tcPr>
          <w:p w14:paraId="69695B52"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5</w:t>
            </w:r>
          </w:p>
        </w:tc>
        <w:tc>
          <w:tcPr>
            <w:tcW w:w="7692" w:type="dxa"/>
            <w:tcBorders>
              <w:top w:val="single" w:sz="5" w:space="0" w:color="000000"/>
              <w:left w:val="single" w:sz="5" w:space="0" w:color="000000"/>
              <w:bottom w:val="single" w:sz="5" w:space="0" w:color="000000"/>
              <w:right w:val="single" w:sz="5" w:space="0" w:color="000000"/>
            </w:tcBorders>
          </w:tcPr>
          <w:p w14:paraId="09E13A0D"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952" w:type="dxa"/>
            <w:tcBorders>
              <w:top w:val="single" w:sz="5" w:space="0" w:color="000000"/>
              <w:left w:val="single" w:sz="5" w:space="0" w:color="000000"/>
              <w:bottom w:val="single" w:sz="5" w:space="0" w:color="000000"/>
              <w:right w:val="single" w:sz="5" w:space="0" w:color="000000"/>
            </w:tcBorders>
          </w:tcPr>
          <w:p w14:paraId="207CAF5C"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36</w:t>
            </w:r>
          </w:p>
        </w:tc>
      </w:tr>
      <w:tr w:rsidR="00A174E2" w:rsidRPr="004C1685" w14:paraId="4898E300" w14:textId="77777777" w:rsidTr="00A174E2">
        <w:trPr>
          <w:trHeight w:val="192"/>
        </w:trPr>
        <w:tc>
          <w:tcPr>
            <w:tcW w:w="1108" w:type="dxa"/>
            <w:tcBorders>
              <w:top w:val="single" w:sz="5" w:space="0" w:color="000000"/>
              <w:left w:val="single" w:sz="5" w:space="0" w:color="000000"/>
              <w:bottom w:val="single" w:sz="5" w:space="0" w:color="000000"/>
              <w:right w:val="single" w:sz="5" w:space="0" w:color="000000"/>
            </w:tcBorders>
          </w:tcPr>
          <w:p w14:paraId="045704D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391" w:type="dxa"/>
            <w:tcBorders>
              <w:top w:val="single" w:sz="5" w:space="0" w:color="000000"/>
              <w:left w:val="single" w:sz="5" w:space="0" w:color="000000"/>
              <w:bottom w:val="single" w:sz="5" w:space="0" w:color="000000"/>
              <w:right w:val="single" w:sz="5" w:space="0" w:color="000000"/>
            </w:tcBorders>
          </w:tcPr>
          <w:p w14:paraId="1960B4AC"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6</w:t>
            </w:r>
          </w:p>
        </w:tc>
        <w:tc>
          <w:tcPr>
            <w:tcW w:w="7692" w:type="dxa"/>
            <w:tcBorders>
              <w:top w:val="single" w:sz="5" w:space="0" w:color="000000"/>
              <w:left w:val="single" w:sz="5" w:space="0" w:color="000000"/>
              <w:bottom w:val="single" w:sz="5" w:space="0" w:color="000000"/>
              <w:right w:val="single" w:sz="5" w:space="0" w:color="000000"/>
            </w:tcBorders>
          </w:tcPr>
          <w:p w14:paraId="2DFFEFCB"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952" w:type="dxa"/>
            <w:tcBorders>
              <w:top w:val="single" w:sz="5" w:space="0" w:color="000000"/>
              <w:left w:val="single" w:sz="5" w:space="0" w:color="000000"/>
              <w:bottom w:val="single" w:sz="5" w:space="0" w:color="000000"/>
              <w:right w:val="single" w:sz="5" w:space="0" w:color="000000"/>
            </w:tcBorders>
          </w:tcPr>
          <w:p w14:paraId="4E9F1942"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35</w:t>
            </w:r>
          </w:p>
        </w:tc>
      </w:tr>
      <w:tr w:rsidR="00A174E2" w:rsidRPr="004C1685" w14:paraId="3EFF105C"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2C4951AA"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Search strategy</w:t>
            </w:r>
          </w:p>
        </w:tc>
        <w:tc>
          <w:tcPr>
            <w:tcW w:w="391" w:type="dxa"/>
            <w:tcBorders>
              <w:top w:val="single" w:sz="5" w:space="0" w:color="000000"/>
              <w:left w:val="single" w:sz="5" w:space="0" w:color="000000"/>
              <w:bottom w:val="single" w:sz="5" w:space="0" w:color="000000"/>
              <w:right w:val="single" w:sz="5" w:space="0" w:color="000000"/>
            </w:tcBorders>
          </w:tcPr>
          <w:p w14:paraId="13CEB85C"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7</w:t>
            </w:r>
          </w:p>
        </w:tc>
        <w:tc>
          <w:tcPr>
            <w:tcW w:w="7692" w:type="dxa"/>
            <w:tcBorders>
              <w:top w:val="single" w:sz="5" w:space="0" w:color="000000"/>
              <w:left w:val="single" w:sz="5" w:space="0" w:color="000000"/>
              <w:bottom w:val="single" w:sz="5" w:space="0" w:color="000000"/>
              <w:right w:val="single" w:sz="5" w:space="0" w:color="000000"/>
            </w:tcBorders>
          </w:tcPr>
          <w:p w14:paraId="7C834D7A"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952" w:type="dxa"/>
            <w:tcBorders>
              <w:top w:val="single" w:sz="5" w:space="0" w:color="000000"/>
              <w:left w:val="single" w:sz="5" w:space="0" w:color="000000"/>
              <w:bottom w:val="single" w:sz="5" w:space="0" w:color="000000"/>
              <w:right w:val="single" w:sz="5" w:space="0" w:color="000000"/>
            </w:tcBorders>
          </w:tcPr>
          <w:p w14:paraId="54403A07"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35 ,36</w:t>
            </w:r>
          </w:p>
        </w:tc>
      </w:tr>
      <w:tr w:rsidR="00A174E2" w:rsidRPr="004C1685" w14:paraId="223F81CB"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5A236FE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Selection process</w:t>
            </w:r>
          </w:p>
        </w:tc>
        <w:tc>
          <w:tcPr>
            <w:tcW w:w="391" w:type="dxa"/>
            <w:tcBorders>
              <w:top w:val="single" w:sz="5" w:space="0" w:color="000000"/>
              <w:left w:val="single" w:sz="5" w:space="0" w:color="000000"/>
              <w:bottom w:val="single" w:sz="5" w:space="0" w:color="000000"/>
              <w:right w:val="single" w:sz="5" w:space="0" w:color="000000"/>
            </w:tcBorders>
          </w:tcPr>
          <w:p w14:paraId="1C8848D5"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8</w:t>
            </w:r>
          </w:p>
        </w:tc>
        <w:tc>
          <w:tcPr>
            <w:tcW w:w="7692" w:type="dxa"/>
            <w:tcBorders>
              <w:top w:val="single" w:sz="5" w:space="0" w:color="000000"/>
              <w:left w:val="single" w:sz="5" w:space="0" w:color="000000"/>
              <w:bottom w:val="single" w:sz="5" w:space="0" w:color="000000"/>
              <w:right w:val="single" w:sz="5" w:space="0" w:color="000000"/>
            </w:tcBorders>
          </w:tcPr>
          <w:p w14:paraId="335EE667"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952" w:type="dxa"/>
            <w:tcBorders>
              <w:top w:val="single" w:sz="5" w:space="0" w:color="000000"/>
              <w:left w:val="single" w:sz="5" w:space="0" w:color="000000"/>
              <w:bottom w:val="single" w:sz="5" w:space="0" w:color="000000"/>
              <w:right w:val="single" w:sz="5" w:space="0" w:color="000000"/>
            </w:tcBorders>
          </w:tcPr>
          <w:p w14:paraId="5AB9BAC8"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35, 36</w:t>
            </w:r>
          </w:p>
        </w:tc>
      </w:tr>
      <w:tr w:rsidR="00A174E2" w:rsidRPr="004C1685" w14:paraId="415B72FF" w14:textId="77777777" w:rsidTr="00A174E2">
        <w:trPr>
          <w:trHeight w:val="153"/>
        </w:trPr>
        <w:tc>
          <w:tcPr>
            <w:tcW w:w="1108" w:type="dxa"/>
            <w:tcBorders>
              <w:top w:val="single" w:sz="5" w:space="0" w:color="000000"/>
              <w:left w:val="single" w:sz="5" w:space="0" w:color="000000"/>
              <w:bottom w:val="single" w:sz="5" w:space="0" w:color="000000"/>
              <w:right w:val="single" w:sz="5" w:space="0" w:color="000000"/>
            </w:tcBorders>
          </w:tcPr>
          <w:p w14:paraId="79631B3D"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391" w:type="dxa"/>
            <w:tcBorders>
              <w:top w:val="single" w:sz="5" w:space="0" w:color="000000"/>
              <w:left w:val="single" w:sz="5" w:space="0" w:color="000000"/>
              <w:bottom w:val="single" w:sz="5" w:space="0" w:color="000000"/>
              <w:right w:val="single" w:sz="5" w:space="0" w:color="000000"/>
            </w:tcBorders>
          </w:tcPr>
          <w:p w14:paraId="6A18F2D6"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9</w:t>
            </w:r>
          </w:p>
        </w:tc>
        <w:tc>
          <w:tcPr>
            <w:tcW w:w="7692" w:type="dxa"/>
            <w:tcBorders>
              <w:top w:val="single" w:sz="5" w:space="0" w:color="000000"/>
              <w:left w:val="single" w:sz="5" w:space="0" w:color="000000"/>
              <w:bottom w:val="single" w:sz="5" w:space="0" w:color="000000"/>
              <w:right w:val="single" w:sz="5" w:space="0" w:color="000000"/>
            </w:tcBorders>
          </w:tcPr>
          <w:p w14:paraId="5A28E95C"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952" w:type="dxa"/>
            <w:tcBorders>
              <w:top w:val="single" w:sz="5" w:space="0" w:color="000000"/>
              <w:left w:val="single" w:sz="5" w:space="0" w:color="000000"/>
              <w:bottom w:val="single" w:sz="5" w:space="0" w:color="000000"/>
              <w:right w:val="single" w:sz="5" w:space="0" w:color="000000"/>
            </w:tcBorders>
          </w:tcPr>
          <w:p w14:paraId="6E8D64A8"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35, 36</w:t>
            </w:r>
          </w:p>
        </w:tc>
      </w:tr>
      <w:tr w:rsidR="00A174E2" w:rsidRPr="004C1685" w14:paraId="6F80B891" w14:textId="77777777" w:rsidTr="00A174E2">
        <w:trPr>
          <w:trHeight w:val="48"/>
        </w:trPr>
        <w:tc>
          <w:tcPr>
            <w:tcW w:w="1108" w:type="dxa"/>
            <w:vMerge w:val="restart"/>
            <w:tcBorders>
              <w:top w:val="single" w:sz="5" w:space="0" w:color="000000"/>
              <w:left w:val="single" w:sz="5" w:space="0" w:color="000000"/>
              <w:right w:val="single" w:sz="5" w:space="0" w:color="000000"/>
            </w:tcBorders>
          </w:tcPr>
          <w:p w14:paraId="6C57851D"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391" w:type="dxa"/>
            <w:tcBorders>
              <w:top w:val="single" w:sz="5" w:space="0" w:color="000000"/>
              <w:left w:val="single" w:sz="5" w:space="0" w:color="000000"/>
              <w:bottom w:val="single" w:sz="5" w:space="0" w:color="000000"/>
              <w:right w:val="single" w:sz="5" w:space="0" w:color="000000"/>
            </w:tcBorders>
          </w:tcPr>
          <w:p w14:paraId="749A99A0"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10a</w:t>
            </w:r>
          </w:p>
        </w:tc>
        <w:tc>
          <w:tcPr>
            <w:tcW w:w="7692" w:type="dxa"/>
            <w:tcBorders>
              <w:top w:val="single" w:sz="5" w:space="0" w:color="000000"/>
              <w:left w:val="single" w:sz="5" w:space="0" w:color="000000"/>
              <w:bottom w:val="single" w:sz="5" w:space="0" w:color="000000"/>
              <w:right w:val="single" w:sz="5" w:space="0" w:color="000000"/>
            </w:tcBorders>
          </w:tcPr>
          <w:p w14:paraId="6A04852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952" w:type="dxa"/>
            <w:tcBorders>
              <w:top w:val="single" w:sz="5" w:space="0" w:color="000000"/>
              <w:left w:val="single" w:sz="5" w:space="0" w:color="000000"/>
              <w:bottom w:val="single" w:sz="5" w:space="0" w:color="000000"/>
              <w:right w:val="single" w:sz="5" w:space="0" w:color="000000"/>
            </w:tcBorders>
          </w:tcPr>
          <w:p w14:paraId="4A746CDA"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30980E1D" w14:textId="77777777" w:rsidTr="00A174E2">
        <w:trPr>
          <w:trHeight w:val="48"/>
        </w:trPr>
        <w:tc>
          <w:tcPr>
            <w:tcW w:w="1108" w:type="dxa"/>
            <w:vMerge/>
            <w:tcBorders>
              <w:left w:val="single" w:sz="5" w:space="0" w:color="000000"/>
              <w:bottom w:val="single" w:sz="5" w:space="0" w:color="000000"/>
              <w:right w:val="single" w:sz="5" w:space="0" w:color="000000"/>
            </w:tcBorders>
          </w:tcPr>
          <w:p w14:paraId="3835768E"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7612045E"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10b</w:t>
            </w:r>
          </w:p>
        </w:tc>
        <w:tc>
          <w:tcPr>
            <w:tcW w:w="7692" w:type="dxa"/>
            <w:tcBorders>
              <w:top w:val="single" w:sz="5" w:space="0" w:color="000000"/>
              <w:left w:val="single" w:sz="5" w:space="0" w:color="000000"/>
              <w:bottom w:val="single" w:sz="5" w:space="0" w:color="000000"/>
              <w:right w:val="single" w:sz="5" w:space="0" w:color="000000"/>
            </w:tcBorders>
          </w:tcPr>
          <w:p w14:paraId="2C3E81BC"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952" w:type="dxa"/>
            <w:tcBorders>
              <w:top w:val="single" w:sz="5" w:space="0" w:color="000000"/>
              <w:left w:val="single" w:sz="5" w:space="0" w:color="000000"/>
              <w:bottom w:val="single" w:sz="5" w:space="0" w:color="000000"/>
              <w:right w:val="single" w:sz="5" w:space="0" w:color="000000"/>
            </w:tcBorders>
          </w:tcPr>
          <w:p w14:paraId="7503DF3D"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33FA4D5F"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54623830"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391" w:type="dxa"/>
            <w:tcBorders>
              <w:top w:val="single" w:sz="5" w:space="0" w:color="000000"/>
              <w:left w:val="single" w:sz="5" w:space="0" w:color="000000"/>
              <w:bottom w:val="single" w:sz="5" w:space="0" w:color="000000"/>
              <w:right w:val="single" w:sz="5" w:space="0" w:color="000000"/>
            </w:tcBorders>
          </w:tcPr>
          <w:p w14:paraId="5712787B"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11</w:t>
            </w:r>
          </w:p>
        </w:tc>
        <w:tc>
          <w:tcPr>
            <w:tcW w:w="7692" w:type="dxa"/>
            <w:tcBorders>
              <w:top w:val="single" w:sz="5" w:space="0" w:color="000000"/>
              <w:left w:val="single" w:sz="5" w:space="0" w:color="000000"/>
              <w:bottom w:val="single" w:sz="5" w:space="0" w:color="000000"/>
              <w:right w:val="single" w:sz="5" w:space="0" w:color="000000"/>
            </w:tcBorders>
          </w:tcPr>
          <w:p w14:paraId="7AA4E7DD"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952" w:type="dxa"/>
            <w:tcBorders>
              <w:top w:val="single" w:sz="5" w:space="0" w:color="000000"/>
              <w:left w:val="single" w:sz="5" w:space="0" w:color="000000"/>
              <w:bottom w:val="single" w:sz="5" w:space="0" w:color="000000"/>
              <w:right w:val="single" w:sz="5" w:space="0" w:color="000000"/>
            </w:tcBorders>
          </w:tcPr>
          <w:p w14:paraId="235FF9AE"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3FC024DD"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24770217"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391" w:type="dxa"/>
            <w:tcBorders>
              <w:top w:val="single" w:sz="5" w:space="0" w:color="000000"/>
              <w:left w:val="single" w:sz="5" w:space="0" w:color="000000"/>
              <w:bottom w:val="single" w:sz="5" w:space="0" w:color="000000"/>
              <w:right w:val="single" w:sz="5" w:space="0" w:color="000000"/>
            </w:tcBorders>
          </w:tcPr>
          <w:p w14:paraId="0497F843"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12</w:t>
            </w:r>
          </w:p>
        </w:tc>
        <w:tc>
          <w:tcPr>
            <w:tcW w:w="7692" w:type="dxa"/>
            <w:tcBorders>
              <w:top w:val="single" w:sz="5" w:space="0" w:color="000000"/>
              <w:left w:val="single" w:sz="5" w:space="0" w:color="000000"/>
              <w:bottom w:val="single" w:sz="5" w:space="0" w:color="000000"/>
              <w:right w:val="single" w:sz="5" w:space="0" w:color="000000"/>
            </w:tcBorders>
          </w:tcPr>
          <w:p w14:paraId="551BD5E4"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952" w:type="dxa"/>
            <w:tcBorders>
              <w:top w:val="single" w:sz="5" w:space="0" w:color="000000"/>
              <w:left w:val="single" w:sz="5" w:space="0" w:color="000000"/>
              <w:bottom w:val="single" w:sz="5" w:space="0" w:color="000000"/>
              <w:right w:val="single" w:sz="5" w:space="0" w:color="000000"/>
            </w:tcBorders>
          </w:tcPr>
          <w:p w14:paraId="27E96478"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18C3E37A" w14:textId="77777777" w:rsidTr="00A174E2">
        <w:trPr>
          <w:trHeight w:val="48"/>
        </w:trPr>
        <w:tc>
          <w:tcPr>
            <w:tcW w:w="1108" w:type="dxa"/>
            <w:vMerge w:val="restart"/>
            <w:tcBorders>
              <w:top w:val="single" w:sz="5" w:space="0" w:color="000000"/>
              <w:left w:val="single" w:sz="5" w:space="0" w:color="000000"/>
              <w:right w:val="single" w:sz="5" w:space="0" w:color="000000"/>
            </w:tcBorders>
          </w:tcPr>
          <w:p w14:paraId="495300E2"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Synthesis methods</w:t>
            </w:r>
          </w:p>
        </w:tc>
        <w:tc>
          <w:tcPr>
            <w:tcW w:w="391" w:type="dxa"/>
            <w:tcBorders>
              <w:top w:val="single" w:sz="5" w:space="0" w:color="000000"/>
              <w:left w:val="single" w:sz="5" w:space="0" w:color="000000"/>
              <w:bottom w:val="single" w:sz="5" w:space="0" w:color="000000"/>
              <w:right w:val="single" w:sz="5" w:space="0" w:color="000000"/>
            </w:tcBorders>
          </w:tcPr>
          <w:p w14:paraId="1055CCB3"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13a</w:t>
            </w:r>
          </w:p>
        </w:tc>
        <w:tc>
          <w:tcPr>
            <w:tcW w:w="7692" w:type="dxa"/>
            <w:tcBorders>
              <w:top w:val="single" w:sz="5" w:space="0" w:color="000000"/>
              <w:left w:val="single" w:sz="5" w:space="0" w:color="000000"/>
              <w:bottom w:val="single" w:sz="5" w:space="0" w:color="000000"/>
              <w:right w:val="single" w:sz="5" w:space="0" w:color="000000"/>
            </w:tcBorders>
          </w:tcPr>
          <w:p w14:paraId="469AA666"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952" w:type="dxa"/>
            <w:tcBorders>
              <w:top w:val="single" w:sz="5" w:space="0" w:color="000000"/>
              <w:left w:val="single" w:sz="5" w:space="0" w:color="000000"/>
              <w:bottom w:val="single" w:sz="5" w:space="0" w:color="000000"/>
              <w:right w:val="single" w:sz="5" w:space="0" w:color="000000"/>
            </w:tcBorders>
          </w:tcPr>
          <w:p w14:paraId="35EE79D0"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057A30BC" w14:textId="77777777" w:rsidTr="00A174E2">
        <w:trPr>
          <w:trHeight w:val="48"/>
        </w:trPr>
        <w:tc>
          <w:tcPr>
            <w:tcW w:w="1108" w:type="dxa"/>
            <w:vMerge/>
            <w:tcBorders>
              <w:left w:val="single" w:sz="5" w:space="0" w:color="000000"/>
              <w:right w:val="single" w:sz="5" w:space="0" w:color="000000"/>
            </w:tcBorders>
          </w:tcPr>
          <w:p w14:paraId="2DFA7AAA"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7D40A033"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13b</w:t>
            </w:r>
          </w:p>
        </w:tc>
        <w:tc>
          <w:tcPr>
            <w:tcW w:w="7692" w:type="dxa"/>
            <w:tcBorders>
              <w:top w:val="single" w:sz="5" w:space="0" w:color="000000"/>
              <w:left w:val="single" w:sz="5" w:space="0" w:color="000000"/>
              <w:bottom w:val="single" w:sz="5" w:space="0" w:color="000000"/>
              <w:right w:val="single" w:sz="5" w:space="0" w:color="000000"/>
            </w:tcBorders>
          </w:tcPr>
          <w:p w14:paraId="334EB991"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952" w:type="dxa"/>
            <w:tcBorders>
              <w:top w:val="single" w:sz="5" w:space="0" w:color="000000"/>
              <w:left w:val="single" w:sz="5" w:space="0" w:color="000000"/>
              <w:bottom w:val="single" w:sz="5" w:space="0" w:color="000000"/>
              <w:right w:val="single" w:sz="5" w:space="0" w:color="000000"/>
            </w:tcBorders>
          </w:tcPr>
          <w:p w14:paraId="6E31BF06"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01E78F41" w14:textId="77777777" w:rsidTr="00A174E2">
        <w:trPr>
          <w:trHeight w:val="48"/>
        </w:trPr>
        <w:tc>
          <w:tcPr>
            <w:tcW w:w="1108" w:type="dxa"/>
            <w:vMerge/>
            <w:tcBorders>
              <w:left w:val="single" w:sz="5" w:space="0" w:color="000000"/>
              <w:right w:val="single" w:sz="5" w:space="0" w:color="000000"/>
            </w:tcBorders>
          </w:tcPr>
          <w:p w14:paraId="3BAC50F9"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5CAB2E88"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13c</w:t>
            </w:r>
          </w:p>
        </w:tc>
        <w:tc>
          <w:tcPr>
            <w:tcW w:w="7692" w:type="dxa"/>
            <w:tcBorders>
              <w:top w:val="single" w:sz="5" w:space="0" w:color="000000"/>
              <w:left w:val="single" w:sz="5" w:space="0" w:color="000000"/>
              <w:bottom w:val="single" w:sz="5" w:space="0" w:color="000000"/>
              <w:right w:val="single" w:sz="5" w:space="0" w:color="000000"/>
            </w:tcBorders>
          </w:tcPr>
          <w:p w14:paraId="2E24FB96"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952" w:type="dxa"/>
            <w:tcBorders>
              <w:top w:val="single" w:sz="5" w:space="0" w:color="000000"/>
              <w:left w:val="single" w:sz="5" w:space="0" w:color="000000"/>
              <w:bottom w:val="single" w:sz="5" w:space="0" w:color="000000"/>
              <w:right w:val="single" w:sz="5" w:space="0" w:color="000000"/>
            </w:tcBorders>
          </w:tcPr>
          <w:p w14:paraId="5BD47DB6"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74D17C43" w14:textId="77777777" w:rsidTr="00A174E2">
        <w:trPr>
          <w:trHeight w:val="48"/>
        </w:trPr>
        <w:tc>
          <w:tcPr>
            <w:tcW w:w="1108" w:type="dxa"/>
            <w:vMerge/>
            <w:tcBorders>
              <w:left w:val="single" w:sz="5" w:space="0" w:color="000000"/>
              <w:right w:val="single" w:sz="5" w:space="0" w:color="000000"/>
            </w:tcBorders>
          </w:tcPr>
          <w:p w14:paraId="2B6F65D0"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6BA1B50E"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13d</w:t>
            </w:r>
          </w:p>
        </w:tc>
        <w:tc>
          <w:tcPr>
            <w:tcW w:w="7692" w:type="dxa"/>
            <w:tcBorders>
              <w:top w:val="single" w:sz="5" w:space="0" w:color="000000"/>
              <w:left w:val="single" w:sz="5" w:space="0" w:color="000000"/>
              <w:bottom w:val="single" w:sz="5" w:space="0" w:color="000000"/>
              <w:right w:val="single" w:sz="5" w:space="0" w:color="000000"/>
            </w:tcBorders>
          </w:tcPr>
          <w:p w14:paraId="35ABB86C"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952" w:type="dxa"/>
            <w:tcBorders>
              <w:top w:val="single" w:sz="5" w:space="0" w:color="000000"/>
              <w:left w:val="single" w:sz="5" w:space="0" w:color="000000"/>
              <w:bottom w:val="single" w:sz="5" w:space="0" w:color="000000"/>
              <w:right w:val="single" w:sz="5" w:space="0" w:color="000000"/>
            </w:tcBorders>
          </w:tcPr>
          <w:p w14:paraId="17CED516" w14:textId="77777777" w:rsidR="00A174E2" w:rsidRPr="00930A31" w:rsidRDefault="00A174E2" w:rsidP="00166C5C">
            <w:pPr>
              <w:pStyle w:val="Default"/>
              <w:spacing w:before="40" w:after="40"/>
              <w:rPr>
                <w:rFonts w:ascii="Arial" w:hAnsi="Arial" w:cs="Arial"/>
                <w:color w:val="auto"/>
                <w:sz w:val="18"/>
                <w:szCs w:val="18"/>
              </w:rPr>
            </w:pPr>
            <w:r w:rsidRPr="0081588E">
              <w:rPr>
                <w:rFonts w:ascii="Arial" w:hAnsi="Arial" w:cs="Arial"/>
                <w:color w:val="auto"/>
                <w:sz w:val="18"/>
                <w:szCs w:val="18"/>
              </w:rPr>
              <w:t>NA</w:t>
            </w:r>
          </w:p>
        </w:tc>
      </w:tr>
      <w:tr w:rsidR="00A174E2" w:rsidRPr="004C1685" w14:paraId="3F19AA97" w14:textId="77777777" w:rsidTr="00A174E2">
        <w:trPr>
          <w:trHeight w:val="48"/>
        </w:trPr>
        <w:tc>
          <w:tcPr>
            <w:tcW w:w="1108" w:type="dxa"/>
            <w:vMerge/>
            <w:tcBorders>
              <w:left w:val="single" w:sz="5" w:space="0" w:color="000000"/>
              <w:right w:val="single" w:sz="5" w:space="0" w:color="000000"/>
            </w:tcBorders>
          </w:tcPr>
          <w:p w14:paraId="23991D4A"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4405589B"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13e</w:t>
            </w:r>
          </w:p>
        </w:tc>
        <w:tc>
          <w:tcPr>
            <w:tcW w:w="7692" w:type="dxa"/>
            <w:tcBorders>
              <w:top w:val="single" w:sz="5" w:space="0" w:color="000000"/>
              <w:left w:val="single" w:sz="5" w:space="0" w:color="000000"/>
              <w:bottom w:val="single" w:sz="5" w:space="0" w:color="000000"/>
              <w:right w:val="single" w:sz="5" w:space="0" w:color="000000"/>
            </w:tcBorders>
          </w:tcPr>
          <w:p w14:paraId="1C24F90B"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952" w:type="dxa"/>
            <w:tcBorders>
              <w:top w:val="single" w:sz="5" w:space="0" w:color="000000"/>
              <w:left w:val="single" w:sz="5" w:space="0" w:color="000000"/>
              <w:bottom w:val="single" w:sz="5" w:space="0" w:color="000000"/>
              <w:right w:val="single" w:sz="5" w:space="0" w:color="000000"/>
            </w:tcBorders>
          </w:tcPr>
          <w:p w14:paraId="5172E074" w14:textId="77777777" w:rsidR="00A174E2" w:rsidRPr="00930A31" w:rsidRDefault="00A174E2" w:rsidP="00166C5C">
            <w:pPr>
              <w:pStyle w:val="Default"/>
              <w:spacing w:before="40" w:after="40"/>
              <w:rPr>
                <w:rFonts w:ascii="Arial" w:hAnsi="Arial" w:cs="Arial"/>
                <w:color w:val="auto"/>
                <w:sz w:val="18"/>
                <w:szCs w:val="18"/>
              </w:rPr>
            </w:pPr>
            <w:r w:rsidRPr="0081588E">
              <w:rPr>
                <w:rFonts w:ascii="Arial" w:hAnsi="Arial" w:cs="Arial"/>
                <w:color w:val="auto"/>
                <w:sz w:val="18"/>
                <w:szCs w:val="18"/>
              </w:rPr>
              <w:t>NA</w:t>
            </w:r>
          </w:p>
        </w:tc>
      </w:tr>
      <w:tr w:rsidR="00A174E2" w:rsidRPr="004C1685" w14:paraId="7C1CA721" w14:textId="77777777" w:rsidTr="00A174E2">
        <w:trPr>
          <w:trHeight w:val="50"/>
        </w:trPr>
        <w:tc>
          <w:tcPr>
            <w:tcW w:w="1108" w:type="dxa"/>
            <w:vMerge/>
            <w:tcBorders>
              <w:left w:val="single" w:sz="5" w:space="0" w:color="000000"/>
              <w:bottom w:val="single" w:sz="5" w:space="0" w:color="000000"/>
              <w:right w:val="single" w:sz="5" w:space="0" w:color="000000"/>
            </w:tcBorders>
          </w:tcPr>
          <w:p w14:paraId="56B244A3"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0FFFFCA1"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13f</w:t>
            </w:r>
          </w:p>
        </w:tc>
        <w:tc>
          <w:tcPr>
            <w:tcW w:w="7692" w:type="dxa"/>
            <w:tcBorders>
              <w:top w:val="single" w:sz="5" w:space="0" w:color="000000"/>
              <w:left w:val="single" w:sz="5" w:space="0" w:color="000000"/>
              <w:bottom w:val="single" w:sz="5" w:space="0" w:color="000000"/>
              <w:right w:val="single" w:sz="5" w:space="0" w:color="000000"/>
            </w:tcBorders>
          </w:tcPr>
          <w:p w14:paraId="6A8B770A"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952" w:type="dxa"/>
            <w:tcBorders>
              <w:top w:val="single" w:sz="5" w:space="0" w:color="000000"/>
              <w:left w:val="single" w:sz="5" w:space="0" w:color="000000"/>
              <w:bottom w:val="single" w:sz="5" w:space="0" w:color="000000"/>
              <w:right w:val="single" w:sz="5" w:space="0" w:color="000000"/>
            </w:tcBorders>
          </w:tcPr>
          <w:p w14:paraId="0362B093"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619EBBDF"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724491E0"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391" w:type="dxa"/>
            <w:tcBorders>
              <w:top w:val="single" w:sz="5" w:space="0" w:color="000000"/>
              <w:left w:val="single" w:sz="5" w:space="0" w:color="000000"/>
              <w:bottom w:val="single" w:sz="5" w:space="0" w:color="000000"/>
              <w:right w:val="single" w:sz="5" w:space="0" w:color="000000"/>
            </w:tcBorders>
          </w:tcPr>
          <w:p w14:paraId="4B9D2600"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14</w:t>
            </w:r>
          </w:p>
        </w:tc>
        <w:tc>
          <w:tcPr>
            <w:tcW w:w="7692" w:type="dxa"/>
            <w:tcBorders>
              <w:top w:val="single" w:sz="5" w:space="0" w:color="000000"/>
              <w:left w:val="single" w:sz="5" w:space="0" w:color="000000"/>
              <w:bottom w:val="single" w:sz="5" w:space="0" w:color="000000"/>
              <w:right w:val="single" w:sz="5" w:space="0" w:color="000000"/>
            </w:tcBorders>
          </w:tcPr>
          <w:p w14:paraId="66C7AFEE"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952" w:type="dxa"/>
            <w:tcBorders>
              <w:top w:val="single" w:sz="5" w:space="0" w:color="000000"/>
              <w:left w:val="single" w:sz="5" w:space="0" w:color="000000"/>
              <w:bottom w:val="single" w:sz="5" w:space="0" w:color="000000"/>
              <w:right w:val="single" w:sz="5" w:space="0" w:color="000000"/>
            </w:tcBorders>
          </w:tcPr>
          <w:p w14:paraId="15B526D0"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6A393EBC"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219A50B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391" w:type="dxa"/>
            <w:tcBorders>
              <w:top w:val="single" w:sz="5" w:space="0" w:color="000000"/>
              <w:left w:val="single" w:sz="5" w:space="0" w:color="000000"/>
              <w:bottom w:val="single" w:sz="5" w:space="0" w:color="000000"/>
              <w:right w:val="single" w:sz="5" w:space="0" w:color="000000"/>
            </w:tcBorders>
          </w:tcPr>
          <w:p w14:paraId="3816B214"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15</w:t>
            </w:r>
          </w:p>
        </w:tc>
        <w:tc>
          <w:tcPr>
            <w:tcW w:w="7692" w:type="dxa"/>
            <w:tcBorders>
              <w:top w:val="single" w:sz="5" w:space="0" w:color="000000"/>
              <w:left w:val="single" w:sz="5" w:space="0" w:color="000000"/>
              <w:bottom w:val="single" w:sz="5" w:space="0" w:color="000000"/>
              <w:right w:val="single" w:sz="5" w:space="0" w:color="000000"/>
            </w:tcBorders>
          </w:tcPr>
          <w:p w14:paraId="59BA74F1"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952" w:type="dxa"/>
            <w:tcBorders>
              <w:top w:val="single" w:sz="5" w:space="0" w:color="000000"/>
              <w:left w:val="single" w:sz="5" w:space="0" w:color="000000"/>
              <w:bottom w:val="single" w:sz="5" w:space="0" w:color="000000"/>
              <w:right w:val="single" w:sz="5" w:space="0" w:color="000000"/>
            </w:tcBorders>
          </w:tcPr>
          <w:p w14:paraId="61252CEC"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6B29C3AE" w14:textId="77777777" w:rsidTr="00A174E2">
        <w:trPr>
          <w:trHeight w:val="24"/>
        </w:trPr>
        <w:tc>
          <w:tcPr>
            <w:tcW w:w="91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28ACCE" w14:textId="77777777" w:rsidR="00A174E2" w:rsidRPr="00930A31" w:rsidRDefault="00A174E2" w:rsidP="00166C5C">
            <w:pPr>
              <w:pStyle w:val="Default"/>
              <w:rPr>
                <w:rFonts w:ascii="Arial" w:hAnsi="Arial" w:cs="Arial"/>
                <w:sz w:val="18"/>
                <w:szCs w:val="18"/>
              </w:rPr>
            </w:pPr>
            <w:r w:rsidRPr="00930A31">
              <w:rPr>
                <w:rFonts w:ascii="Arial" w:hAnsi="Arial" w:cs="Arial"/>
                <w:b/>
                <w:bCs/>
                <w:sz w:val="18"/>
                <w:szCs w:val="18"/>
              </w:rPr>
              <w:t xml:space="preserve">RESULTS </w:t>
            </w:r>
          </w:p>
        </w:tc>
        <w:tc>
          <w:tcPr>
            <w:tcW w:w="952" w:type="dxa"/>
            <w:tcBorders>
              <w:top w:val="double" w:sz="5" w:space="0" w:color="000000"/>
              <w:left w:val="single" w:sz="5" w:space="0" w:color="000000"/>
              <w:bottom w:val="single" w:sz="5" w:space="0" w:color="000000"/>
              <w:right w:val="single" w:sz="5" w:space="0" w:color="000000"/>
            </w:tcBorders>
            <w:shd w:val="clear" w:color="auto" w:fill="FFFFCC"/>
          </w:tcPr>
          <w:p w14:paraId="007A3401" w14:textId="77777777" w:rsidR="00A174E2" w:rsidRPr="00930A31" w:rsidRDefault="00A174E2" w:rsidP="00166C5C">
            <w:pPr>
              <w:pStyle w:val="Default"/>
              <w:jc w:val="center"/>
              <w:rPr>
                <w:rFonts w:ascii="Arial" w:hAnsi="Arial" w:cs="Arial"/>
                <w:color w:val="auto"/>
                <w:sz w:val="18"/>
                <w:szCs w:val="18"/>
              </w:rPr>
            </w:pPr>
          </w:p>
        </w:tc>
      </w:tr>
      <w:tr w:rsidR="00A174E2" w:rsidRPr="004C1685" w14:paraId="649D3AF9" w14:textId="77777777" w:rsidTr="00A174E2">
        <w:trPr>
          <w:trHeight w:val="48"/>
        </w:trPr>
        <w:tc>
          <w:tcPr>
            <w:tcW w:w="1108" w:type="dxa"/>
            <w:vMerge w:val="restart"/>
            <w:tcBorders>
              <w:top w:val="single" w:sz="5" w:space="0" w:color="000000"/>
              <w:left w:val="single" w:sz="5" w:space="0" w:color="000000"/>
              <w:right w:val="single" w:sz="5" w:space="0" w:color="000000"/>
            </w:tcBorders>
          </w:tcPr>
          <w:p w14:paraId="3C44E8B1"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391" w:type="dxa"/>
            <w:tcBorders>
              <w:top w:val="single" w:sz="5" w:space="0" w:color="000000"/>
              <w:left w:val="single" w:sz="5" w:space="0" w:color="000000"/>
              <w:bottom w:val="single" w:sz="5" w:space="0" w:color="000000"/>
              <w:right w:val="single" w:sz="5" w:space="0" w:color="000000"/>
            </w:tcBorders>
          </w:tcPr>
          <w:p w14:paraId="3A9FA4B2"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16a</w:t>
            </w:r>
          </w:p>
        </w:tc>
        <w:tc>
          <w:tcPr>
            <w:tcW w:w="7692" w:type="dxa"/>
            <w:tcBorders>
              <w:top w:val="single" w:sz="5" w:space="0" w:color="000000"/>
              <w:left w:val="single" w:sz="5" w:space="0" w:color="000000"/>
              <w:bottom w:val="single" w:sz="5" w:space="0" w:color="000000"/>
              <w:right w:val="single" w:sz="5" w:space="0" w:color="000000"/>
            </w:tcBorders>
          </w:tcPr>
          <w:p w14:paraId="197E04B4"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952" w:type="dxa"/>
            <w:tcBorders>
              <w:top w:val="single" w:sz="5" w:space="0" w:color="000000"/>
              <w:left w:val="single" w:sz="5" w:space="0" w:color="000000"/>
              <w:bottom w:val="single" w:sz="5" w:space="0" w:color="000000"/>
              <w:right w:val="single" w:sz="5" w:space="0" w:color="000000"/>
            </w:tcBorders>
          </w:tcPr>
          <w:p w14:paraId="12871E2C"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37, Figure 15</w:t>
            </w:r>
          </w:p>
        </w:tc>
      </w:tr>
      <w:tr w:rsidR="00A174E2" w:rsidRPr="004C1685" w14:paraId="7224985D" w14:textId="77777777" w:rsidTr="00A174E2">
        <w:trPr>
          <w:trHeight w:val="48"/>
        </w:trPr>
        <w:tc>
          <w:tcPr>
            <w:tcW w:w="1108" w:type="dxa"/>
            <w:vMerge/>
            <w:tcBorders>
              <w:left w:val="single" w:sz="5" w:space="0" w:color="000000"/>
              <w:bottom w:val="single" w:sz="5" w:space="0" w:color="000000"/>
              <w:right w:val="single" w:sz="5" w:space="0" w:color="000000"/>
            </w:tcBorders>
          </w:tcPr>
          <w:p w14:paraId="7EEC5D1C"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4CBD08A3"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16b</w:t>
            </w:r>
          </w:p>
        </w:tc>
        <w:tc>
          <w:tcPr>
            <w:tcW w:w="7692" w:type="dxa"/>
            <w:tcBorders>
              <w:top w:val="single" w:sz="5" w:space="0" w:color="000000"/>
              <w:left w:val="single" w:sz="5" w:space="0" w:color="000000"/>
              <w:bottom w:val="single" w:sz="5" w:space="0" w:color="000000"/>
              <w:right w:val="single" w:sz="5" w:space="0" w:color="000000"/>
            </w:tcBorders>
          </w:tcPr>
          <w:p w14:paraId="0B012CA9"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952" w:type="dxa"/>
            <w:tcBorders>
              <w:top w:val="single" w:sz="5" w:space="0" w:color="000000"/>
              <w:left w:val="single" w:sz="5" w:space="0" w:color="000000"/>
              <w:bottom w:val="single" w:sz="5" w:space="0" w:color="000000"/>
              <w:right w:val="single" w:sz="5" w:space="0" w:color="000000"/>
            </w:tcBorders>
          </w:tcPr>
          <w:p w14:paraId="471B01E5"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36</w:t>
            </w:r>
          </w:p>
        </w:tc>
      </w:tr>
      <w:tr w:rsidR="00A174E2" w:rsidRPr="004C1685" w14:paraId="03536A1A" w14:textId="77777777" w:rsidTr="00A174E2">
        <w:trPr>
          <w:trHeight w:val="103"/>
        </w:trPr>
        <w:tc>
          <w:tcPr>
            <w:tcW w:w="1108" w:type="dxa"/>
            <w:tcBorders>
              <w:top w:val="single" w:sz="5" w:space="0" w:color="000000"/>
              <w:left w:val="single" w:sz="5" w:space="0" w:color="000000"/>
              <w:bottom w:val="single" w:sz="5" w:space="0" w:color="000000"/>
              <w:right w:val="single" w:sz="5" w:space="0" w:color="000000"/>
            </w:tcBorders>
          </w:tcPr>
          <w:p w14:paraId="00F61064"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391" w:type="dxa"/>
            <w:tcBorders>
              <w:top w:val="single" w:sz="5" w:space="0" w:color="000000"/>
              <w:left w:val="single" w:sz="5" w:space="0" w:color="000000"/>
              <w:bottom w:val="single" w:sz="5" w:space="0" w:color="000000"/>
              <w:right w:val="single" w:sz="5" w:space="0" w:color="000000"/>
            </w:tcBorders>
          </w:tcPr>
          <w:p w14:paraId="7ADF6F51"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17</w:t>
            </w:r>
          </w:p>
        </w:tc>
        <w:tc>
          <w:tcPr>
            <w:tcW w:w="7692" w:type="dxa"/>
            <w:tcBorders>
              <w:top w:val="single" w:sz="5" w:space="0" w:color="000000"/>
              <w:left w:val="single" w:sz="5" w:space="0" w:color="000000"/>
              <w:bottom w:val="single" w:sz="5" w:space="0" w:color="000000"/>
              <w:right w:val="single" w:sz="5" w:space="0" w:color="000000"/>
            </w:tcBorders>
          </w:tcPr>
          <w:p w14:paraId="68BE6FF5"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952" w:type="dxa"/>
            <w:tcBorders>
              <w:top w:val="single" w:sz="5" w:space="0" w:color="000000"/>
              <w:left w:val="single" w:sz="5" w:space="0" w:color="000000"/>
              <w:bottom w:val="single" w:sz="5" w:space="0" w:color="000000"/>
              <w:right w:val="single" w:sz="5" w:space="0" w:color="000000"/>
            </w:tcBorders>
          </w:tcPr>
          <w:p w14:paraId="6CDA0735"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0F66BC6B"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321A260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391" w:type="dxa"/>
            <w:tcBorders>
              <w:top w:val="single" w:sz="5" w:space="0" w:color="000000"/>
              <w:left w:val="single" w:sz="5" w:space="0" w:color="000000"/>
              <w:bottom w:val="single" w:sz="5" w:space="0" w:color="000000"/>
              <w:right w:val="single" w:sz="5" w:space="0" w:color="000000"/>
            </w:tcBorders>
          </w:tcPr>
          <w:p w14:paraId="30310E45"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18</w:t>
            </w:r>
          </w:p>
        </w:tc>
        <w:tc>
          <w:tcPr>
            <w:tcW w:w="7692" w:type="dxa"/>
            <w:tcBorders>
              <w:top w:val="single" w:sz="5" w:space="0" w:color="000000"/>
              <w:left w:val="single" w:sz="5" w:space="0" w:color="000000"/>
              <w:bottom w:val="single" w:sz="5" w:space="0" w:color="000000"/>
              <w:right w:val="single" w:sz="5" w:space="0" w:color="000000"/>
            </w:tcBorders>
          </w:tcPr>
          <w:p w14:paraId="64FD3AFD"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952" w:type="dxa"/>
            <w:tcBorders>
              <w:top w:val="single" w:sz="5" w:space="0" w:color="000000"/>
              <w:left w:val="single" w:sz="5" w:space="0" w:color="000000"/>
              <w:bottom w:val="single" w:sz="5" w:space="0" w:color="000000"/>
              <w:right w:val="single" w:sz="5" w:space="0" w:color="000000"/>
            </w:tcBorders>
          </w:tcPr>
          <w:p w14:paraId="61CCF884"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48DF0F9C"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73570DE4"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391" w:type="dxa"/>
            <w:tcBorders>
              <w:top w:val="single" w:sz="5" w:space="0" w:color="000000"/>
              <w:left w:val="single" w:sz="5" w:space="0" w:color="000000"/>
              <w:bottom w:val="single" w:sz="5" w:space="0" w:color="000000"/>
              <w:right w:val="single" w:sz="5" w:space="0" w:color="000000"/>
            </w:tcBorders>
          </w:tcPr>
          <w:p w14:paraId="6DBCC66E"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19</w:t>
            </w:r>
          </w:p>
        </w:tc>
        <w:tc>
          <w:tcPr>
            <w:tcW w:w="7692" w:type="dxa"/>
            <w:tcBorders>
              <w:top w:val="single" w:sz="5" w:space="0" w:color="000000"/>
              <w:left w:val="single" w:sz="5" w:space="0" w:color="000000"/>
              <w:bottom w:val="single" w:sz="5" w:space="0" w:color="000000"/>
              <w:right w:val="single" w:sz="5" w:space="0" w:color="000000"/>
            </w:tcBorders>
          </w:tcPr>
          <w:p w14:paraId="7E156BA9"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952" w:type="dxa"/>
            <w:tcBorders>
              <w:top w:val="single" w:sz="5" w:space="0" w:color="000000"/>
              <w:left w:val="single" w:sz="5" w:space="0" w:color="000000"/>
              <w:bottom w:val="single" w:sz="5" w:space="0" w:color="000000"/>
              <w:right w:val="single" w:sz="5" w:space="0" w:color="000000"/>
            </w:tcBorders>
          </w:tcPr>
          <w:p w14:paraId="16D01C6C"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3D295E60" w14:textId="77777777" w:rsidTr="00A174E2">
        <w:trPr>
          <w:trHeight w:val="48"/>
        </w:trPr>
        <w:tc>
          <w:tcPr>
            <w:tcW w:w="1108" w:type="dxa"/>
            <w:vMerge w:val="restart"/>
            <w:tcBorders>
              <w:top w:val="single" w:sz="5" w:space="0" w:color="000000"/>
              <w:left w:val="single" w:sz="5" w:space="0" w:color="000000"/>
              <w:right w:val="single" w:sz="5" w:space="0" w:color="000000"/>
            </w:tcBorders>
          </w:tcPr>
          <w:p w14:paraId="3066AC3D"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391" w:type="dxa"/>
            <w:tcBorders>
              <w:top w:val="single" w:sz="5" w:space="0" w:color="000000"/>
              <w:left w:val="single" w:sz="5" w:space="0" w:color="000000"/>
              <w:bottom w:val="single" w:sz="5" w:space="0" w:color="000000"/>
              <w:right w:val="single" w:sz="5" w:space="0" w:color="000000"/>
            </w:tcBorders>
          </w:tcPr>
          <w:p w14:paraId="6DEA6E75"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20a</w:t>
            </w:r>
          </w:p>
        </w:tc>
        <w:tc>
          <w:tcPr>
            <w:tcW w:w="7692" w:type="dxa"/>
            <w:tcBorders>
              <w:top w:val="single" w:sz="5" w:space="0" w:color="000000"/>
              <w:left w:val="single" w:sz="5" w:space="0" w:color="000000"/>
              <w:bottom w:val="single" w:sz="5" w:space="0" w:color="000000"/>
              <w:right w:val="single" w:sz="5" w:space="0" w:color="000000"/>
            </w:tcBorders>
          </w:tcPr>
          <w:p w14:paraId="559C7796"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952" w:type="dxa"/>
            <w:tcBorders>
              <w:top w:val="single" w:sz="5" w:space="0" w:color="000000"/>
              <w:left w:val="single" w:sz="5" w:space="0" w:color="000000"/>
              <w:bottom w:val="single" w:sz="5" w:space="0" w:color="000000"/>
              <w:right w:val="single" w:sz="5" w:space="0" w:color="000000"/>
            </w:tcBorders>
          </w:tcPr>
          <w:p w14:paraId="6EA4A3B6"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115DC415" w14:textId="77777777" w:rsidTr="00A174E2">
        <w:trPr>
          <w:trHeight w:val="204"/>
        </w:trPr>
        <w:tc>
          <w:tcPr>
            <w:tcW w:w="1108" w:type="dxa"/>
            <w:vMerge/>
            <w:tcBorders>
              <w:left w:val="single" w:sz="5" w:space="0" w:color="000000"/>
              <w:right w:val="single" w:sz="5" w:space="0" w:color="000000"/>
            </w:tcBorders>
          </w:tcPr>
          <w:p w14:paraId="77165A05"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2F886728"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20b</w:t>
            </w:r>
          </w:p>
        </w:tc>
        <w:tc>
          <w:tcPr>
            <w:tcW w:w="7692" w:type="dxa"/>
            <w:tcBorders>
              <w:top w:val="single" w:sz="5" w:space="0" w:color="000000"/>
              <w:left w:val="single" w:sz="5" w:space="0" w:color="000000"/>
              <w:bottom w:val="single" w:sz="5" w:space="0" w:color="000000"/>
              <w:right w:val="single" w:sz="5" w:space="0" w:color="000000"/>
            </w:tcBorders>
          </w:tcPr>
          <w:p w14:paraId="1EEA2E65"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952" w:type="dxa"/>
            <w:tcBorders>
              <w:top w:val="single" w:sz="5" w:space="0" w:color="000000"/>
              <w:left w:val="single" w:sz="5" w:space="0" w:color="000000"/>
              <w:bottom w:val="single" w:sz="5" w:space="0" w:color="000000"/>
              <w:right w:val="single" w:sz="5" w:space="0" w:color="000000"/>
            </w:tcBorders>
          </w:tcPr>
          <w:p w14:paraId="19028966"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7B4CE2BA" w14:textId="77777777" w:rsidTr="00A174E2">
        <w:trPr>
          <w:trHeight w:val="48"/>
        </w:trPr>
        <w:tc>
          <w:tcPr>
            <w:tcW w:w="1108" w:type="dxa"/>
            <w:vMerge/>
            <w:tcBorders>
              <w:left w:val="single" w:sz="5" w:space="0" w:color="000000"/>
              <w:right w:val="single" w:sz="5" w:space="0" w:color="000000"/>
            </w:tcBorders>
          </w:tcPr>
          <w:p w14:paraId="55380BAE"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6224F8F0"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20c</w:t>
            </w:r>
          </w:p>
        </w:tc>
        <w:tc>
          <w:tcPr>
            <w:tcW w:w="7692" w:type="dxa"/>
            <w:tcBorders>
              <w:top w:val="single" w:sz="5" w:space="0" w:color="000000"/>
              <w:left w:val="single" w:sz="5" w:space="0" w:color="000000"/>
              <w:bottom w:val="single" w:sz="5" w:space="0" w:color="000000"/>
              <w:right w:val="single" w:sz="5" w:space="0" w:color="000000"/>
            </w:tcBorders>
          </w:tcPr>
          <w:p w14:paraId="3F6EEA27"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952" w:type="dxa"/>
            <w:tcBorders>
              <w:top w:val="single" w:sz="5" w:space="0" w:color="000000"/>
              <w:left w:val="single" w:sz="5" w:space="0" w:color="000000"/>
              <w:bottom w:val="single" w:sz="5" w:space="0" w:color="000000"/>
              <w:right w:val="single" w:sz="5" w:space="0" w:color="000000"/>
            </w:tcBorders>
          </w:tcPr>
          <w:p w14:paraId="1D19A147"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53A9E61A" w14:textId="77777777" w:rsidTr="00A174E2">
        <w:trPr>
          <w:trHeight w:val="48"/>
        </w:trPr>
        <w:tc>
          <w:tcPr>
            <w:tcW w:w="1108" w:type="dxa"/>
            <w:vMerge/>
            <w:tcBorders>
              <w:left w:val="single" w:sz="5" w:space="0" w:color="000000"/>
              <w:bottom w:val="single" w:sz="5" w:space="0" w:color="000000"/>
              <w:right w:val="single" w:sz="5" w:space="0" w:color="000000"/>
            </w:tcBorders>
          </w:tcPr>
          <w:p w14:paraId="4FA2F3C7"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396EFD06"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20d</w:t>
            </w:r>
          </w:p>
        </w:tc>
        <w:tc>
          <w:tcPr>
            <w:tcW w:w="7692" w:type="dxa"/>
            <w:tcBorders>
              <w:top w:val="single" w:sz="5" w:space="0" w:color="000000"/>
              <w:left w:val="single" w:sz="5" w:space="0" w:color="000000"/>
              <w:bottom w:val="single" w:sz="5" w:space="0" w:color="000000"/>
              <w:right w:val="single" w:sz="5" w:space="0" w:color="000000"/>
            </w:tcBorders>
          </w:tcPr>
          <w:p w14:paraId="71ED9FF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952" w:type="dxa"/>
            <w:tcBorders>
              <w:top w:val="single" w:sz="5" w:space="0" w:color="000000"/>
              <w:left w:val="single" w:sz="5" w:space="0" w:color="000000"/>
              <w:bottom w:val="single" w:sz="5" w:space="0" w:color="000000"/>
              <w:right w:val="single" w:sz="5" w:space="0" w:color="000000"/>
            </w:tcBorders>
          </w:tcPr>
          <w:p w14:paraId="441E2623"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27151D07"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37ED6809"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Reporting biases</w:t>
            </w:r>
          </w:p>
        </w:tc>
        <w:tc>
          <w:tcPr>
            <w:tcW w:w="391" w:type="dxa"/>
            <w:tcBorders>
              <w:top w:val="single" w:sz="5" w:space="0" w:color="000000"/>
              <w:left w:val="single" w:sz="5" w:space="0" w:color="000000"/>
              <w:bottom w:val="single" w:sz="5" w:space="0" w:color="000000"/>
              <w:right w:val="single" w:sz="5" w:space="0" w:color="000000"/>
            </w:tcBorders>
          </w:tcPr>
          <w:p w14:paraId="29BCED06"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21</w:t>
            </w:r>
          </w:p>
        </w:tc>
        <w:tc>
          <w:tcPr>
            <w:tcW w:w="7692" w:type="dxa"/>
            <w:tcBorders>
              <w:top w:val="single" w:sz="5" w:space="0" w:color="000000"/>
              <w:left w:val="single" w:sz="5" w:space="0" w:color="000000"/>
              <w:bottom w:val="single" w:sz="5" w:space="0" w:color="000000"/>
              <w:right w:val="single" w:sz="5" w:space="0" w:color="000000"/>
            </w:tcBorders>
          </w:tcPr>
          <w:p w14:paraId="4FDDCB28"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952" w:type="dxa"/>
            <w:tcBorders>
              <w:top w:val="single" w:sz="5" w:space="0" w:color="000000"/>
              <w:left w:val="single" w:sz="5" w:space="0" w:color="000000"/>
              <w:bottom w:val="single" w:sz="5" w:space="0" w:color="000000"/>
              <w:right w:val="single" w:sz="5" w:space="0" w:color="000000"/>
            </w:tcBorders>
          </w:tcPr>
          <w:p w14:paraId="0AC79E6B"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4AD462D3"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70076B2F"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391" w:type="dxa"/>
            <w:tcBorders>
              <w:top w:val="single" w:sz="5" w:space="0" w:color="000000"/>
              <w:left w:val="single" w:sz="5" w:space="0" w:color="000000"/>
              <w:bottom w:val="single" w:sz="5" w:space="0" w:color="000000"/>
              <w:right w:val="single" w:sz="5" w:space="0" w:color="000000"/>
            </w:tcBorders>
          </w:tcPr>
          <w:p w14:paraId="67A7DB83"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22</w:t>
            </w:r>
          </w:p>
        </w:tc>
        <w:tc>
          <w:tcPr>
            <w:tcW w:w="7692" w:type="dxa"/>
            <w:tcBorders>
              <w:top w:val="single" w:sz="5" w:space="0" w:color="000000"/>
              <w:left w:val="single" w:sz="5" w:space="0" w:color="000000"/>
              <w:bottom w:val="single" w:sz="5" w:space="0" w:color="000000"/>
              <w:right w:val="single" w:sz="5" w:space="0" w:color="000000"/>
            </w:tcBorders>
          </w:tcPr>
          <w:p w14:paraId="2D9D3118"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952" w:type="dxa"/>
            <w:tcBorders>
              <w:top w:val="single" w:sz="5" w:space="0" w:color="000000"/>
              <w:left w:val="single" w:sz="5" w:space="0" w:color="000000"/>
              <w:bottom w:val="single" w:sz="5" w:space="0" w:color="000000"/>
              <w:right w:val="single" w:sz="5" w:space="0" w:color="000000"/>
            </w:tcBorders>
          </w:tcPr>
          <w:p w14:paraId="02712CE8"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61BCB8DC" w14:textId="77777777" w:rsidTr="00A174E2">
        <w:trPr>
          <w:trHeight w:val="24"/>
        </w:trPr>
        <w:tc>
          <w:tcPr>
            <w:tcW w:w="91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E00861" w14:textId="77777777" w:rsidR="00A174E2" w:rsidRPr="00930A31" w:rsidRDefault="00A174E2" w:rsidP="00166C5C">
            <w:pPr>
              <w:pStyle w:val="Default"/>
              <w:rPr>
                <w:rFonts w:ascii="Arial" w:hAnsi="Arial" w:cs="Arial"/>
                <w:sz w:val="18"/>
                <w:szCs w:val="18"/>
              </w:rPr>
            </w:pPr>
            <w:r w:rsidRPr="00930A31">
              <w:rPr>
                <w:rFonts w:ascii="Arial" w:hAnsi="Arial" w:cs="Arial"/>
                <w:b/>
                <w:bCs/>
                <w:sz w:val="18"/>
                <w:szCs w:val="18"/>
              </w:rPr>
              <w:t xml:space="preserve">DISCUSSION </w:t>
            </w:r>
          </w:p>
        </w:tc>
        <w:tc>
          <w:tcPr>
            <w:tcW w:w="952" w:type="dxa"/>
            <w:tcBorders>
              <w:top w:val="double" w:sz="5" w:space="0" w:color="000000"/>
              <w:left w:val="single" w:sz="5" w:space="0" w:color="000000"/>
              <w:bottom w:val="single" w:sz="5" w:space="0" w:color="000000"/>
              <w:right w:val="single" w:sz="5" w:space="0" w:color="000000"/>
            </w:tcBorders>
            <w:shd w:val="clear" w:color="auto" w:fill="FFFFCC"/>
          </w:tcPr>
          <w:p w14:paraId="3DAE45E8" w14:textId="77777777" w:rsidR="00A174E2" w:rsidRPr="00930A31" w:rsidRDefault="00A174E2" w:rsidP="00166C5C">
            <w:pPr>
              <w:pStyle w:val="Default"/>
              <w:jc w:val="center"/>
              <w:rPr>
                <w:rFonts w:ascii="Arial" w:hAnsi="Arial" w:cs="Arial"/>
                <w:color w:val="auto"/>
                <w:sz w:val="18"/>
                <w:szCs w:val="18"/>
              </w:rPr>
            </w:pPr>
          </w:p>
        </w:tc>
      </w:tr>
      <w:tr w:rsidR="00A174E2" w:rsidRPr="004C1685" w14:paraId="13A4D28B" w14:textId="77777777" w:rsidTr="00A174E2">
        <w:trPr>
          <w:trHeight w:val="48"/>
        </w:trPr>
        <w:tc>
          <w:tcPr>
            <w:tcW w:w="1108" w:type="dxa"/>
            <w:vMerge w:val="restart"/>
            <w:tcBorders>
              <w:top w:val="single" w:sz="5" w:space="0" w:color="000000"/>
              <w:left w:val="single" w:sz="5" w:space="0" w:color="000000"/>
              <w:right w:val="single" w:sz="5" w:space="0" w:color="000000"/>
            </w:tcBorders>
          </w:tcPr>
          <w:p w14:paraId="200CB920"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391" w:type="dxa"/>
            <w:tcBorders>
              <w:top w:val="single" w:sz="5" w:space="0" w:color="000000"/>
              <w:left w:val="single" w:sz="5" w:space="0" w:color="000000"/>
              <w:bottom w:val="single" w:sz="5" w:space="0" w:color="000000"/>
              <w:right w:val="single" w:sz="5" w:space="0" w:color="000000"/>
            </w:tcBorders>
          </w:tcPr>
          <w:p w14:paraId="2326B501"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23a</w:t>
            </w:r>
          </w:p>
        </w:tc>
        <w:tc>
          <w:tcPr>
            <w:tcW w:w="7692" w:type="dxa"/>
            <w:tcBorders>
              <w:top w:val="single" w:sz="5" w:space="0" w:color="000000"/>
              <w:left w:val="single" w:sz="5" w:space="0" w:color="000000"/>
              <w:bottom w:val="single" w:sz="5" w:space="0" w:color="000000"/>
              <w:right w:val="single" w:sz="5" w:space="0" w:color="000000"/>
            </w:tcBorders>
          </w:tcPr>
          <w:p w14:paraId="1EFA9991"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952" w:type="dxa"/>
            <w:tcBorders>
              <w:top w:val="single" w:sz="5" w:space="0" w:color="000000"/>
              <w:left w:val="single" w:sz="5" w:space="0" w:color="000000"/>
              <w:bottom w:val="single" w:sz="5" w:space="0" w:color="000000"/>
              <w:right w:val="single" w:sz="5" w:space="0" w:color="000000"/>
            </w:tcBorders>
          </w:tcPr>
          <w:p w14:paraId="0EE21DFB"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12 - 32</w:t>
            </w:r>
          </w:p>
        </w:tc>
      </w:tr>
      <w:tr w:rsidR="00A174E2" w:rsidRPr="004C1685" w14:paraId="18BCBE5A" w14:textId="77777777" w:rsidTr="00A174E2">
        <w:trPr>
          <w:trHeight w:val="48"/>
        </w:trPr>
        <w:tc>
          <w:tcPr>
            <w:tcW w:w="1108" w:type="dxa"/>
            <w:vMerge/>
            <w:tcBorders>
              <w:left w:val="single" w:sz="5" w:space="0" w:color="000000"/>
              <w:right w:val="single" w:sz="5" w:space="0" w:color="000000"/>
            </w:tcBorders>
          </w:tcPr>
          <w:p w14:paraId="352DE65A"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3CEAEBF4"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23b</w:t>
            </w:r>
          </w:p>
        </w:tc>
        <w:tc>
          <w:tcPr>
            <w:tcW w:w="7692" w:type="dxa"/>
            <w:tcBorders>
              <w:top w:val="single" w:sz="5" w:space="0" w:color="000000"/>
              <w:left w:val="single" w:sz="5" w:space="0" w:color="000000"/>
              <w:bottom w:val="single" w:sz="5" w:space="0" w:color="000000"/>
              <w:right w:val="single" w:sz="5" w:space="0" w:color="000000"/>
            </w:tcBorders>
          </w:tcPr>
          <w:p w14:paraId="1B6AC0A4"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952" w:type="dxa"/>
            <w:tcBorders>
              <w:top w:val="single" w:sz="5" w:space="0" w:color="000000"/>
              <w:left w:val="single" w:sz="5" w:space="0" w:color="000000"/>
              <w:bottom w:val="single" w:sz="5" w:space="0" w:color="000000"/>
              <w:right w:val="single" w:sz="5" w:space="0" w:color="000000"/>
            </w:tcBorders>
          </w:tcPr>
          <w:p w14:paraId="696D149D"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6525F4A4" w14:textId="77777777" w:rsidTr="00A174E2">
        <w:trPr>
          <w:trHeight w:val="48"/>
        </w:trPr>
        <w:tc>
          <w:tcPr>
            <w:tcW w:w="1108" w:type="dxa"/>
            <w:vMerge/>
            <w:tcBorders>
              <w:left w:val="single" w:sz="5" w:space="0" w:color="000000"/>
              <w:right w:val="single" w:sz="5" w:space="0" w:color="000000"/>
            </w:tcBorders>
          </w:tcPr>
          <w:p w14:paraId="1BDF4B14"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4" w:space="0" w:color="auto"/>
              <w:right w:val="single" w:sz="5" w:space="0" w:color="000000"/>
            </w:tcBorders>
          </w:tcPr>
          <w:p w14:paraId="60500393"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23c</w:t>
            </w:r>
          </w:p>
        </w:tc>
        <w:tc>
          <w:tcPr>
            <w:tcW w:w="7692" w:type="dxa"/>
            <w:tcBorders>
              <w:top w:val="single" w:sz="5" w:space="0" w:color="000000"/>
              <w:left w:val="single" w:sz="5" w:space="0" w:color="000000"/>
              <w:bottom w:val="single" w:sz="5" w:space="0" w:color="000000"/>
              <w:right w:val="single" w:sz="5" w:space="0" w:color="000000"/>
            </w:tcBorders>
          </w:tcPr>
          <w:p w14:paraId="78A5F8EA"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952" w:type="dxa"/>
            <w:tcBorders>
              <w:top w:val="single" w:sz="5" w:space="0" w:color="000000"/>
              <w:left w:val="single" w:sz="5" w:space="0" w:color="000000"/>
              <w:bottom w:val="single" w:sz="5" w:space="0" w:color="000000"/>
              <w:right w:val="single" w:sz="5" w:space="0" w:color="000000"/>
            </w:tcBorders>
          </w:tcPr>
          <w:p w14:paraId="124B1309"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5E626D98" w14:textId="77777777" w:rsidTr="00A174E2">
        <w:trPr>
          <w:trHeight w:val="48"/>
        </w:trPr>
        <w:tc>
          <w:tcPr>
            <w:tcW w:w="1108" w:type="dxa"/>
            <w:vMerge/>
            <w:tcBorders>
              <w:left w:val="single" w:sz="5" w:space="0" w:color="000000"/>
              <w:bottom w:val="single" w:sz="4" w:space="0" w:color="auto"/>
              <w:right w:val="single" w:sz="5" w:space="0" w:color="000000"/>
            </w:tcBorders>
          </w:tcPr>
          <w:p w14:paraId="7C273681"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4" w:space="0" w:color="auto"/>
              <w:left w:val="single" w:sz="5" w:space="0" w:color="000000"/>
              <w:bottom w:val="single" w:sz="4" w:space="0" w:color="auto"/>
              <w:right w:val="single" w:sz="4" w:space="0" w:color="auto"/>
            </w:tcBorders>
          </w:tcPr>
          <w:p w14:paraId="0762E788"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23d</w:t>
            </w:r>
          </w:p>
        </w:tc>
        <w:tc>
          <w:tcPr>
            <w:tcW w:w="7692" w:type="dxa"/>
            <w:tcBorders>
              <w:top w:val="single" w:sz="5" w:space="0" w:color="000000"/>
              <w:left w:val="single" w:sz="4" w:space="0" w:color="auto"/>
              <w:bottom w:val="double" w:sz="5" w:space="0" w:color="000000"/>
              <w:right w:val="single" w:sz="5" w:space="0" w:color="000000"/>
            </w:tcBorders>
          </w:tcPr>
          <w:p w14:paraId="7858F8D6"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952" w:type="dxa"/>
            <w:tcBorders>
              <w:top w:val="single" w:sz="5" w:space="0" w:color="000000"/>
              <w:left w:val="single" w:sz="5" w:space="0" w:color="000000"/>
              <w:bottom w:val="double" w:sz="5" w:space="0" w:color="000000"/>
              <w:right w:val="single" w:sz="5" w:space="0" w:color="000000"/>
            </w:tcBorders>
          </w:tcPr>
          <w:p w14:paraId="084F1EEF"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33</w:t>
            </w:r>
          </w:p>
        </w:tc>
      </w:tr>
      <w:tr w:rsidR="00A174E2" w:rsidRPr="004C1685" w14:paraId="5BBA4007" w14:textId="77777777" w:rsidTr="00A174E2">
        <w:trPr>
          <w:trHeight w:val="24"/>
        </w:trPr>
        <w:tc>
          <w:tcPr>
            <w:tcW w:w="91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11357F5" w14:textId="77777777" w:rsidR="00A174E2" w:rsidRPr="00930A31" w:rsidRDefault="00A174E2" w:rsidP="00166C5C">
            <w:pPr>
              <w:pStyle w:val="Default"/>
              <w:rPr>
                <w:rFonts w:ascii="Arial" w:hAnsi="Arial" w:cs="Arial"/>
                <w:sz w:val="18"/>
                <w:szCs w:val="18"/>
              </w:rPr>
            </w:pPr>
            <w:r w:rsidRPr="00930A31">
              <w:rPr>
                <w:rFonts w:ascii="Arial" w:hAnsi="Arial" w:cs="Arial"/>
                <w:b/>
                <w:bCs/>
                <w:sz w:val="18"/>
                <w:szCs w:val="18"/>
              </w:rPr>
              <w:t>OTHER INFORMATION</w:t>
            </w:r>
          </w:p>
        </w:tc>
        <w:tc>
          <w:tcPr>
            <w:tcW w:w="952" w:type="dxa"/>
            <w:tcBorders>
              <w:top w:val="double" w:sz="5" w:space="0" w:color="000000"/>
              <w:left w:val="single" w:sz="5" w:space="0" w:color="000000"/>
              <w:bottom w:val="single" w:sz="5" w:space="0" w:color="000000"/>
              <w:right w:val="single" w:sz="5" w:space="0" w:color="000000"/>
            </w:tcBorders>
            <w:shd w:val="clear" w:color="auto" w:fill="FFFFCC"/>
          </w:tcPr>
          <w:p w14:paraId="5E220F85" w14:textId="77777777" w:rsidR="00A174E2" w:rsidRPr="00930A31" w:rsidRDefault="00A174E2" w:rsidP="00166C5C">
            <w:pPr>
              <w:pStyle w:val="Default"/>
              <w:jc w:val="center"/>
              <w:rPr>
                <w:rFonts w:ascii="Arial" w:hAnsi="Arial" w:cs="Arial"/>
                <w:color w:val="auto"/>
                <w:sz w:val="18"/>
                <w:szCs w:val="18"/>
              </w:rPr>
            </w:pPr>
          </w:p>
        </w:tc>
      </w:tr>
      <w:tr w:rsidR="00A174E2" w:rsidRPr="004C1685" w14:paraId="417DCD7C" w14:textId="77777777" w:rsidTr="00A174E2">
        <w:trPr>
          <w:trHeight w:val="48"/>
        </w:trPr>
        <w:tc>
          <w:tcPr>
            <w:tcW w:w="1108" w:type="dxa"/>
            <w:vMerge w:val="restart"/>
            <w:tcBorders>
              <w:top w:val="single" w:sz="5" w:space="0" w:color="000000"/>
              <w:left w:val="single" w:sz="5" w:space="0" w:color="000000"/>
              <w:right w:val="single" w:sz="5" w:space="0" w:color="000000"/>
            </w:tcBorders>
          </w:tcPr>
          <w:p w14:paraId="13372244"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391" w:type="dxa"/>
            <w:tcBorders>
              <w:top w:val="single" w:sz="5" w:space="0" w:color="000000"/>
              <w:left w:val="single" w:sz="5" w:space="0" w:color="000000"/>
              <w:bottom w:val="single" w:sz="5" w:space="0" w:color="000000"/>
              <w:right w:val="single" w:sz="5" w:space="0" w:color="000000"/>
            </w:tcBorders>
          </w:tcPr>
          <w:p w14:paraId="452A3663"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24a</w:t>
            </w:r>
          </w:p>
        </w:tc>
        <w:tc>
          <w:tcPr>
            <w:tcW w:w="7692" w:type="dxa"/>
            <w:tcBorders>
              <w:top w:val="single" w:sz="5" w:space="0" w:color="000000"/>
              <w:left w:val="single" w:sz="5" w:space="0" w:color="000000"/>
              <w:bottom w:val="single" w:sz="5" w:space="0" w:color="000000"/>
              <w:right w:val="single" w:sz="5" w:space="0" w:color="000000"/>
            </w:tcBorders>
          </w:tcPr>
          <w:p w14:paraId="7F7549D4"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952" w:type="dxa"/>
            <w:tcBorders>
              <w:top w:val="single" w:sz="5" w:space="0" w:color="000000"/>
              <w:left w:val="single" w:sz="5" w:space="0" w:color="000000"/>
              <w:bottom w:val="single" w:sz="5" w:space="0" w:color="000000"/>
              <w:right w:val="single" w:sz="5" w:space="0" w:color="000000"/>
            </w:tcBorders>
          </w:tcPr>
          <w:p w14:paraId="519E505C"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Review was not registered</w:t>
            </w:r>
          </w:p>
        </w:tc>
      </w:tr>
      <w:tr w:rsidR="00A174E2" w:rsidRPr="004C1685" w14:paraId="24B9974A" w14:textId="77777777" w:rsidTr="00A174E2">
        <w:trPr>
          <w:trHeight w:val="57"/>
        </w:trPr>
        <w:tc>
          <w:tcPr>
            <w:tcW w:w="1108" w:type="dxa"/>
            <w:vMerge/>
            <w:tcBorders>
              <w:left w:val="single" w:sz="5" w:space="0" w:color="000000"/>
              <w:right w:val="single" w:sz="5" w:space="0" w:color="000000"/>
            </w:tcBorders>
          </w:tcPr>
          <w:p w14:paraId="1240F5C0"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61208936"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24b</w:t>
            </w:r>
          </w:p>
        </w:tc>
        <w:tc>
          <w:tcPr>
            <w:tcW w:w="7692" w:type="dxa"/>
            <w:tcBorders>
              <w:top w:val="single" w:sz="5" w:space="0" w:color="000000"/>
              <w:left w:val="single" w:sz="5" w:space="0" w:color="000000"/>
              <w:bottom w:val="single" w:sz="5" w:space="0" w:color="000000"/>
              <w:right w:val="single" w:sz="5" w:space="0" w:color="000000"/>
            </w:tcBorders>
          </w:tcPr>
          <w:p w14:paraId="383CBAE1"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952" w:type="dxa"/>
            <w:tcBorders>
              <w:top w:val="single" w:sz="5" w:space="0" w:color="000000"/>
              <w:left w:val="single" w:sz="5" w:space="0" w:color="000000"/>
              <w:bottom w:val="single" w:sz="5" w:space="0" w:color="000000"/>
              <w:right w:val="single" w:sz="5" w:space="0" w:color="000000"/>
            </w:tcBorders>
          </w:tcPr>
          <w:p w14:paraId="0CDA108D"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53E5CE31" w14:textId="77777777" w:rsidTr="00A174E2">
        <w:trPr>
          <w:trHeight w:val="48"/>
        </w:trPr>
        <w:tc>
          <w:tcPr>
            <w:tcW w:w="1108" w:type="dxa"/>
            <w:vMerge/>
            <w:tcBorders>
              <w:left w:val="single" w:sz="5" w:space="0" w:color="000000"/>
              <w:bottom w:val="single" w:sz="5" w:space="0" w:color="000000"/>
              <w:right w:val="single" w:sz="5" w:space="0" w:color="000000"/>
            </w:tcBorders>
          </w:tcPr>
          <w:p w14:paraId="7EEDAFD8" w14:textId="77777777" w:rsidR="00A174E2" w:rsidRPr="00930A31" w:rsidRDefault="00A174E2" w:rsidP="00166C5C">
            <w:pPr>
              <w:pStyle w:val="Default"/>
              <w:spacing w:before="40" w:after="40"/>
              <w:rPr>
                <w:rFonts w:ascii="Arial" w:hAnsi="Arial" w:cs="Arial"/>
                <w:sz w:val="18"/>
                <w:szCs w:val="18"/>
              </w:rPr>
            </w:pPr>
          </w:p>
        </w:tc>
        <w:tc>
          <w:tcPr>
            <w:tcW w:w="391" w:type="dxa"/>
            <w:tcBorders>
              <w:top w:val="single" w:sz="5" w:space="0" w:color="000000"/>
              <w:left w:val="single" w:sz="5" w:space="0" w:color="000000"/>
              <w:bottom w:val="single" w:sz="5" w:space="0" w:color="000000"/>
              <w:right w:val="single" w:sz="5" w:space="0" w:color="000000"/>
            </w:tcBorders>
          </w:tcPr>
          <w:p w14:paraId="7F7FF9FC"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24c</w:t>
            </w:r>
          </w:p>
        </w:tc>
        <w:tc>
          <w:tcPr>
            <w:tcW w:w="7692" w:type="dxa"/>
            <w:tcBorders>
              <w:top w:val="single" w:sz="5" w:space="0" w:color="000000"/>
              <w:left w:val="single" w:sz="5" w:space="0" w:color="000000"/>
              <w:bottom w:val="single" w:sz="5" w:space="0" w:color="000000"/>
              <w:right w:val="single" w:sz="5" w:space="0" w:color="000000"/>
            </w:tcBorders>
          </w:tcPr>
          <w:p w14:paraId="6BA636F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952" w:type="dxa"/>
            <w:tcBorders>
              <w:top w:val="single" w:sz="5" w:space="0" w:color="000000"/>
              <w:left w:val="single" w:sz="5" w:space="0" w:color="000000"/>
              <w:bottom w:val="single" w:sz="5" w:space="0" w:color="000000"/>
              <w:right w:val="single" w:sz="5" w:space="0" w:color="000000"/>
            </w:tcBorders>
          </w:tcPr>
          <w:p w14:paraId="6296F299"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4C1685" w14:paraId="5418E210"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32241C3F"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lastRenderedPageBreak/>
              <w:t>Support</w:t>
            </w:r>
          </w:p>
        </w:tc>
        <w:tc>
          <w:tcPr>
            <w:tcW w:w="391" w:type="dxa"/>
            <w:tcBorders>
              <w:top w:val="single" w:sz="5" w:space="0" w:color="000000"/>
              <w:left w:val="single" w:sz="5" w:space="0" w:color="000000"/>
              <w:bottom w:val="single" w:sz="5" w:space="0" w:color="000000"/>
              <w:right w:val="single" w:sz="5" w:space="0" w:color="000000"/>
            </w:tcBorders>
          </w:tcPr>
          <w:p w14:paraId="2E5C6CB0"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25</w:t>
            </w:r>
          </w:p>
        </w:tc>
        <w:tc>
          <w:tcPr>
            <w:tcW w:w="7692" w:type="dxa"/>
            <w:tcBorders>
              <w:top w:val="single" w:sz="5" w:space="0" w:color="000000"/>
              <w:left w:val="single" w:sz="5" w:space="0" w:color="000000"/>
              <w:bottom w:val="single" w:sz="5" w:space="0" w:color="000000"/>
              <w:right w:val="single" w:sz="5" w:space="0" w:color="000000"/>
            </w:tcBorders>
          </w:tcPr>
          <w:p w14:paraId="2AC26093"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952" w:type="dxa"/>
            <w:tcBorders>
              <w:top w:val="single" w:sz="5" w:space="0" w:color="000000"/>
              <w:left w:val="single" w:sz="5" w:space="0" w:color="000000"/>
              <w:bottom w:val="single" w:sz="5" w:space="0" w:color="000000"/>
              <w:right w:val="single" w:sz="5" w:space="0" w:color="000000"/>
            </w:tcBorders>
          </w:tcPr>
          <w:p w14:paraId="7DFFA990"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38</w:t>
            </w:r>
          </w:p>
        </w:tc>
      </w:tr>
      <w:tr w:rsidR="00A174E2" w:rsidRPr="004C1685" w14:paraId="33A9C53B" w14:textId="77777777" w:rsidTr="00A174E2">
        <w:trPr>
          <w:trHeight w:val="48"/>
        </w:trPr>
        <w:tc>
          <w:tcPr>
            <w:tcW w:w="1108" w:type="dxa"/>
            <w:tcBorders>
              <w:top w:val="single" w:sz="5" w:space="0" w:color="000000"/>
              <w:left w:val="single" w:sz="5" w:space="0" w:color="000000"/>
              <w:bottom w:val="single" w:sz="5" w:space="0" w:color="000000"/>
              <w:right w:val="single" w:sz="5" w:space="0" w:color="000000"/>
            </w:tcBorders>
          </w:tcPr>
          <w:p w14:paraId="59A55741"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391" w:type="dxa"/>
            <w:tcBorders>
              <w:top w:val="single" w:sz="5" w:space="0" w:color="000000"/>
              <w:left w:val="single" w:sz="5" w:space="0" w:color="000000"/>
              <w:bottom w:val="single" w:sz="5" w:space="0" w:color="000000"/>
              <w:right w:val="single" w:sz="5" w:space="0" w:color="000000"/>
            </w:tcBorders>
          </w:tcPr>
          <w:p w14:paraId="3711317B"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26</w:t>
            </w:r>
          </w:p>
        </w:tc>
        <w:tc>
          <w:tcPr>
            <w:tcW w:w="7692" w:type="dxa"/>
            <w:tcBorders>
              <w:top w:val="single" w:sz="5" w:space="0" w:color="000000"/>
              <w:left w:val="single" w:sz="5" w:space="0" w:color="000000"/>
              <w:bottom w:val="single" w:sz="5" w:space="0" w:color="000000"/>
              <w:right w:val="single" w:sz="5" w:space="0" w:color="000000"/>
            </w:tcBorders>
          </w:tcPr>
          <w:p w14:paraId="29A3FF7F"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952" w:type="dxa"/>
            <w:tcBorders>
              <w:top w:val="single" w:sz="5" w:space="0" w:color="000000"/>
              <w:left w:val="single" w:sz="5" w:space="0" w:color="000000"/>
              <w:bottom w:val="single" w:sz="5" w:space="0" w:color="000000"/>
              <w:right w:val="single" w:sz="5" w:space="0" w:color="000000"/>
            </w:tcBorders>
          </w:tcPr>
          <w:p w14:paraId="138D6D60"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38</w:t>
            </w:r>
          </w:p>
        </w:tc>
      </w:tr>
      <w:tr w:rsidR="00A174E2" w:rsidRPr="004C1685" w14:paraId="6C09B414" w14:textId="77777777" w:rsidTr="00A174E2">
        <w:trPr>
          <w:trHeight w:val="220"/>
        </w:trPr>
        <w:tc>
          <w:tcPr>
            <w:tcW w:w="1108" w:type="dxa"/>
            <w:tcBorders>
              <w:top w:val="single" w:sz="5" w:space="0" w:color="000000"/>
              <w:left w:val="single" w:sz="5" w:space="0" w:color="000000"/>
              <w:bottom w:val="double" w:sz="5" w:space="0" w:color="000000"/>
              <w:right w:val="single" w:sz="5" w:space="0" w:color="000000"/>
            </w:tcBorders>
          </w:tcPr>
          <w:p w14:paraId="13003B9B"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391" w:type="dxa"/>
            <w:tcBorders>
              <w:top w:val="single" w:sz="5" w:space="0" w:color="000000"/>
              <w:left w:val="single" w:sz="5" w:space="0" w:color="000000"/>
              <w:bottom w:val="double" w:sz="5" w:space="0" w:color="000000"/>
              <w:right w:val="single" w:sz="5" w:space="0" w:color="000000"/>
            </w:tcBorders>
          </w:tcPr>
          <w:p w14:paraId="0AFB749D" w14:textId="77777777" w:rsidR="00A174E2" w:rsidRPr="00930A31" w:rsidRDefault="00A174E2" w:rsidP="00166C5C">
            <w:pPr>
              <w:pStyle w:val="Default"/>
              <w:spacing w:before="40" w:after="40"/>
              <w:jc w:val="right"/>
              <w:rPr>
                <w:rFonts w:ascii="Arial" w:hAnsi="Arial" w:cs="Arial"/>
                <w:sz w:val="18"/>
                <w:szCs w:val="18"/>
              </w:rPr>
            </w:pPr>
            <w:r w:rsidRPr="00930A31">
              <w:rPr>
                <w:rFonts w:ascii="Arial" w:hAnsi="Arial" w:cs="Arial"/>
                <w:sz w:val="18"/>
                <w:szCs w:val="18"/>
              </w:rPr>
              <w:t>27</w:t>
            </w:r>
          </w:p>
        </w:tc>
        <w:tc>
          <w:tcPr>
            <w:tcW w:w="7692" w:type="dxa"/>
            <w:tcBorders>
              <w:top w:val="single" w:sz="5" w:space="0" w:color="000000"/>
              <w:left w:val="single" w:sz="5" w:space="0" w:color="000000"/>
              <w:bottom w:val="double" w:sz="5" w:space="0" w:color="000000"/>
              <w:right w:val="single" w:sz="5" w:space="0" w:color="000000"/>
            </w:tcBorders>
          </w:tcPr>
          <w:p w14:paraId="6BB57390" w14:textId="77777777" w:rsidR="00A174E2" w:rsidRPr="00930A31" w:rsidRDefault="00A174E2" w:rsidP="00166C5C">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952" w:type="dxa"/>
            <w:tcBorders>
              <w:top w:val="single" w:sz="5" w:space="0" w:color="000000"/>
              <w:left w:val="single" w:sz="5" w:space="0" w:color="000000"/>
              <w:bottom w:val="double" w:sz="5" w:space="0" w:color="000000"/>
              <w:right w:val="single" w:sz="5" w:space="0" w:color="000000"/>
            </w:tcBorders>
          </w:tcPr>
          <w:p w14:paraId="2B1F54EC" w14:textId="77777777" w:rsidR="00A174E2" w:rsidRPr="00930A31" w:rsidRDefault="00A174E2"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4B4E5502" w14:textId="77777777" w:rsidR="00A174E2" w:rsidRDefault="00A174E2">
      <w:pPr>
        <w:pBdr>
          <w:top w:val="none" w:sz="0" w:space="0" w:color="auto"/>
          <w:left w:val="none" w:sz="0" w:space="0" w:color="auto"/>
          <w:bottom w:val="none" w:sz="0" w:space="0" w:color="auto"/>
          <w:right w:val="none" w:sz="0" w:space="0" w:color="auto"/>
        </w:pBdr>
        <w:suppressAutoHyphens w:val="0"/>
        <w:spacing w:after="160" w:line="259" w:lineRule="auto"/>
        <w:textAlignment w:val="auto"/>
        <w:rPr>
          <w:b/>
          <w:color w:val="000000"/>
          <w:szCs w:val="20"/>
        </w:rPr>
      </w:pPr>
    </w:p>
    <w:p w14:paraId="171FFD61" w14:textId="4999F1E0" w:rsidR="00A174E2" w:rsidRDefault="007C395F" w:rsidP="002A2F36">
      <w:pPr>
        <w:pBdr>
          <w:top w:val="none" w:sz="0" w:space="0" w:color="auto"/>
          <w:left w:val="none" w:sz="0" w:space="0" w:color="auto"/>
          <w:bottom w:val="none" w:sz="0" w:space="0" w:color="auto"/>
          <w:right w:val="none" w:sz="0" w:space="0" w:color="auto"/>
        </w:pBdr>
        <w:suppressAutoHyphens w:val="0"/>
        <w:spacing w:after="160" w:line="259" w:lineRule="auto"/>
        <w:jc w:val="center"/>
        <w:textAlignment w:val="auto"/>
        <w:rPr>
          <w:b/>
          <w:color w:val="000000"/>
          <w:szCs w:val="20"/>
        </w:rPr>
      </w:pPr>
      <w:r>
        <w:rPr>
          <w:b/>
          <w:color w:val="000000"/>
          <w:szCs w:val="20"/>
        </w:rPr>
        <w:t xml:space="preserve">Supplementary Table </w:t>
      </w:r>
      <w:r w:rsidR="002A3DB0">
        <w:rPr>
          <w:b/>
          <w:color w:val="000000"/>
          <w:szCs w:val="20"/>
        </w:rPr>
        <w:t>5</w:t>
      </w:r>
      <w:r w:rsidR="00B34959">
        <w:rPr>
          <w:b/>
          <w:color w:val="000000"/>
          <w:szCs w:val="20"/>
        </w:rPr>
        <w:t>:</w:t>
      </w:r>
      <w:r w:rsidR="00A174E2">
        <w:rPr>
          <w:b/>
          <w:color w:val="000000"/>
          <w:szCs w:val="20"/>
        </w:rPr>
        <w:t xml:space="preserve"> PRISMA 2020 for Abstract Checklist</w:t>
      </w:r>
      <w:r w:rsidR="00A174E2">
        <w:rPr>
          <w:b/>
          <w:color w:val="000000"/>
          <w:szCs w:val="20"/>
        </w:rPr>
        <w:fldChar w:fldCharType="begin" w:fldLock="1"/>
      </w:r>
      <w:r w:rsidR="00A174E2">
        <w:rPr>
          <w:b/>
          <w:color w:val="000000"/>
          <w:szCs w:val="20"/>
        </w:rPr>
        <w:instrText>ADDIN CSL_CITATION {"citationItems":[{"id":"ITEM-1","itemData":{"DOI":"10.1136/BMJ.N71","ISSN":"1756-1833","PMID":"33782057","abstract":"The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reviews.\n\nSystematic reviews serve many critical roles. They can provide syntheses of the state of knowledge in a field, from which future research priorities can be identified; they can address questions that otherwise could not be answered by individual studies; they can identify problems in primary research that should be rectified in future studies; and they can generate or evaluate theories about how or why phenomena occur. Systematic reviews therefore generate various types of knowledge for different users of reviews (such as patients, healthcare providers, researchers, and policy makers).12 To ensure a systematic review is valuable to users, authors should prepare a transparent, complete, and accurate account of why the review was done, what they did (such as how studies were identified and selected) and what they found (such as characteristics of contributing studies and results of meta-analyses). Up-to-date reporting guidance facilitates authors achieving this.3\n\nThe Preferred Reporting Items for Systematic reviews and Meta-Analyses (PRISMA) statement published in 2009 (hereafter referred to as PRISMA 2009)45678910 …","author":[{"dropping-particle":"","family":"Page","given":"Matthew J.","non-dropping-particle":"","parse-names":false,"suffix":""},{"dropping-particle":"","family":"McKenzie","given":"Joanne E.","non-dropping-particle":"","parse-names":false,"suffix":""},{"dropping-particle":"","family":"Bossuyt","given":"Patrick M.","non-dropping-particle":"","parse-names":false,"suffix":""},{"dropping-particle":"","family":"Boutron","given":"Isabelle","non-dropping-particle":"","parse-names":false,"suffix":""},{"dropping-particle":"","family":"Hoffmann","given":"Tammy C.","non-dropping-particle":"","parse-names":false,"suffix":""},{"dropping-particle":"","family":"Mulrow","given":"Cynthia D.","non-dropping-particle":"","parse-names":false,"suffix":""},{"dropping-particle":"","family":"Shamseer","given":"Larissa","non-dropping-particle":"","parse-names":false,"suffix":""},{"dropping-particle":"","family":"Tetzlaff","given":"Jennifer M.","non-dropping-particle":"","parse-names":false,"suffix":""},{"dropping-particle":"","family":"Akl","given":"Elie A.","non-dropping-particle":"","parse-names":false,"suffix":""},{"dropping-particle":"","family":"Brennan","given":"Sue E.","non-dropping-particle":"","parse-names":false,"suffix":""},{"dropping-particle":"","family":"Chou","given":"Roger","non-dropping-particle":"","parse-names":false,"suffix":""},{"dropping-particle":"","family":"Glanville","given":"Julie","non-dropping-particle":"","parse-names":false,"suffix":""},{"dropping-particle":"","family":"Grimshaw","given":"Jeremy M.","non-dropping-particle":"","parse-names":false,"suffix":""},{"dropping-particle":"","family":"Hróbjartsson","given":"Asbjørn","non-dropping-particle":"","parse-names":false,"suffix":""},{"dropping-particle":"","family":"Lalu","given":"Manoj M.","non-dropping-particle":"","parse-names":false,"suffix":""},{"dropping-particle":"","family":"Li","given":"Tianjing","non-dropping-particle":"","parse-names":false,"suffix":""},{"dropping-particle":"","family":"Loder","given":"Elizabeth W.","non-dropping-particle":"","parse-names":false,"suffix":""},{"dropping-particle":"","family":"Mayo-Wilson","given":"Evan","non-dropping-particle":"","parse-names":false,"suffix":""},{"dropping-particle":"","family":"McDonald","given":"Steve","non-dropping-particle":"","parse-names":false,"suffix":""},{"dropping-particle":"","family":"McGuinness","given":"Luke A.","non-dropping-particle":"","parse-names":false,"suffix":""},{"dropping-particle":"","family":"Stewart","given":"Lesley A.","non-dropping-particle":"","parse-names":false,"suffix":""},{"dropping-particle":"","family":"Thomas","given":"James","non-dropping-particle":"","parse-names":false,"suffix":""},{"dropping-particle":"","family":"Tricco","given":"Andrea C.","non-dropping-particle":"","parse-names":false,"suffix":""},{"dropping-particle":"","family":"Welch","given":"Vivian A.","non-dropping-particle":"","parse-names":false,"suffix":""},{"dropping-particle":"","family":"Whiting","given":"Penny","non-dropping-particle":"","parse-names":false,"suffix":""},{"dropping-particle":"","family":"Moher","given":"David","non-dropping-particle":"","parse-names":false,"suffix":""}],"container-title":"BMJ","id":"ITEM-1","issued":{"date-parts":[["2021","3","29"]]},"publisher":"British Medical Journal Publishing Group","title":"The PRISMA 2020 statement: an updated guideline for reporting systematic reviews","type":"article-journal","volume":"372"},"uris":["http://www.mendeley.com/documents/?uuid=3a432559-08ce-31b1-a98b-b6d6e81c46e1"]}],"mendeley":{"formattedCitation":"&lt;sup&gt;13&lt;/sup&gt;","plainTextFormattedCitation":"13"},"properties":{"noteIndex":0},"schema":"https://github.com/citation-style-language/schema/raw/master/csl-citation.json"}</w:instrText>
      </w:r>
      <w:r w:rsidR="00A174E2">
        <w:rPr>
          <w:b/>
          <w:color w:val="000000"/>
          <w:szCs w:val="20"/>
        </w:rPr>
        <w:fldChar w:fldCharType="separate"/>
      </w:r>
      <w:r w:rsidR="00A174E2" w:rsidRPr="00A174E2">
        <w:rPr>
          <w:noProof/>
          <w:color w:val="000000"/>
          <w:szCs w:val="20"/>
          <w:vertAlign w:val="superscript"/>
        </w:rPr>
        <w:t>13</w:t>
      </w:r>
      <w:r w:rsidR="00A174E2">
        <w:rPr>
          <w:b/>
          <w:color w:val="000000"/>
          <w:szCs w:val="20"/>
        </w:rPr>
        <w:fldChar w:fldCharType="end"/>
      </w:r>
      <w:r w:rsidR="002A3DB0">
        <w:rPr>
          <w:b/>
          <w:color w:val="000000"/>
          <w:szCs w:val="20"/>
        </w:rPr>
        <w:t>.</w:t>
      </w:r>
    </w:p>
    <w:tbl>
      <w:tblPr>
        <w:tblW w:w="10226" w:type="dxa"/>
        <w:tblBorders>
          <w:top w:val="nil"/>
          <w:left w:val="nil"/>
          <w:bottom w:val="nil"/>
          <w:right w:val="nil"/>
        </w:tblBorders>
        <w:tblLook w:val="0000" w:firstRow="0" w:lastRow="0" w:firstColumn="0" w:lastColumn="0" w:noHBand="0" w:noVBand="0"/>
      </w:tblPr>
      <w:tblGrid>
        <w:gridCol w:w="1656"/>
        <w:gridCol w:w="587"/>
        <w:gridCol w:w="6976"/>
        <w:gridCol w:w="1007"/>
      </w:tblGrid>
      <w:tr w:rsidR="00A174E2" w:rsidRPr="00A174E2" w14:paraId="4ACBE6F7" w14:textId="77777777" w:rsidTr="00A174E2">
        <w:trPr>
          <w:trHeight w:val="66"/>
          <w:tblHeader/>
        </w:trPr>
        <w:tc>
          <w:tcPr>
            <w:tcW w:w="166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14828F0" w14:textId="77777777" w:rsidR="00A174E2" w:rsidRPr="00A174E2" w:rsidRDefault="00A174E2" w:rsidP="00166C5C">
            <w:pPr>
              <w:pStyle w:val="Default"/>
              <w:rPr>
                <w:rFonts w:ascii="Arial" w:hAnsi="Arial" w:cs="Arial"/>
                <w:color w:val="FFFFFF"/>
                <w:sz w:val="18"/>
                <w:szCs w:val="18"/>
              </w:rPr>
            </w:pPr>
            <w:r w:rsidRPr="00A174E2">
              <w:rPr>
                <w:rFonts w:ascii="Arial" w:hAnsi="Arial" w:cs="Arial"/>
                <w:b/>
                <w:bCs/>
                <w:color w:val="FFFFFF"/>
                <w:sz w:val="18"/>
                <w:szCs w:val="18"/>
              </w:rPr>
              <w:t xml:space="preserve">Section and Topic </w:t>
            </w:r>
          </w:p>
        </w:tc>
        <w:tc>
          <w:tcPr>
            <w:tcW w:w="46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8574998" w14:textId="77777777" w:rsidR="00A174E2" w:rsidRPr="00A174E2" w:rsidRDefault="00A174E2" w:rsidP="00166C5C">
            <w:pPr>
              <w:pStyle w:val="Default"/>
              <w:rPr>
                <w:rFonts w:ascii="Arial" w:hAnsi="Arial" w:cs="Arial"/>
                <w:b/>
                <w:bCs/>
                <w:color w:val="FFFFFF"/>
                <w:sz w:val="18"/>
                <w:szCs w:val="18"/>
              </w:rPr>
            </w:pPr>
            <w:r w:rsidRPr="00A174E2">
              <w:rPr>
                <w:rFonts w:ascii="Arial" w:hAnsi="Arial" w:cs="Arial"/>
                <w:b/>
                <w:bCs/>
                <w:color w:val="FFFFFF"/>
                <w:sz w:val="18"/>
                <w:szCs w:val="18"/>
              </w:rPr>
              <w:t>Item #</w:t>
            </w:r>
          </w:p>
        </w:tc>
        <w:tc>
          <w:tcPr>
            <w:tcW w:w="711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7AF0DDC" w14:textId="77777777" w:rsidR="00A174E2" w:rsidRPr="00A174E2" w:rsidRDefault="00A174E2" w:rsidP="00166C5C">
            <w:pPr>
              <w:pStyle w:val="Default"/>
              <w:rPr>
                <w:rFonts w:ascii="Arial" w:hAnsi="Arial" w:cs="Arial"/>
                <w:color w:val="FFFFFF"/>
                <w:sz w:val="18"/>
                <w:szCs w:val="18"/>
              </w:rPr>
            </w:pPr>
            <w:r w:rsidRPr="00A174E2">
              <w:rPr>
                <w:rFonts w:ascii="Arial" w:hAnsi="Arial" w:cs="Arial"/>
                <w:b/>
                <w:bCs/>
                <w:color w:val="FFFFFF"/>
                <w:sz w:val="18"/>
                <w:szCs w:val="18"/>
              </w:rPr>
              <w:t xml:space="preserve">Checklist item </w:t>
            </w:r>
          </w:p>
        </w:tc>
        <w:tc>
          <w:tcPr>
            <w:tcW w:w="97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B368E5" w14:textId="77777777" w:rsidR="00A174E2" w:rsidRPr="00A174E2" w:rsidRDefault="00A174E2" w:rsidP="00166C5C">
            <w:pPr>
              <w:pStyle w:val="Default"/>
              <w:rPr>
                <w:rFonts w:ascii="Arial" w:hAnsi="Arial" w:cs="Arial"/>
                <w:color w:val="FFFFFF"/>
                <w:sz w:val="18"/>
                <w:szCs w:val="18"/>
              </w:rPr>
            </w:pPr>
            <w:r w:rsidRPr="00A174E2">
              <w:rPr>
                <w:rFonts w:ascii="Arial" w:hAnsi="Arial" w:cs="Arial"/>
                <w:b/>
                <w:bCs/>
                <w:color w:val="FFFFFF"/>
                <w:sz w:val="18"/>
                <w:szCs w:val="18"/>
              </w:rPr>
              <w:t xml:space="preserve">Reported (Yes/No) </w:t>
            </w:r>
          </w:p>
        </w:tc>
      </w:tr>
      <w:tr w:rsidR="00A174E2" w:rsidRPr="00A174E2" w14:paraId="3EA0CA1D" w14:textId="77777777" w:rsidTr="00A174E2">
        <w:trPr>
          <w:trHeight w:val="24"/>
        </w:trPr>
        <w:tc>
          <w:tcPr>
            <w:tcW w:w="92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B688067" w14:textId="77777777" w:rsidR="00A174E2" w:rsidRPr="00A174E2" w:rsidRDefault="00A174E2" w:rsidP="00166C5C">
            <w:pPr>
              <w:pStyle w:val="Default"/>
              <w:rPr>
                <w:rFonts w:ascii="Arial" w:hAnsi="Arial" w:cs="Arial"/>
                <w:sz w:val="18"/>
                <w:szCs w:val="18"/>
              </w:rPr>
            </w:pPr>
            <w:r w:rsidRPr="00A174E2">
              <w:rPr>
                <w:rFonts w:ascii="Arial" w:hAnsi="Arial" w:cs="Arial"/>
                <w:b/>
                <w:bCs/>
                <w:sz w:val="18"/>
                <w:szCs w:val="18"/>
              </w:rPr>
              <w:t xml:space="preserve">TITLE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4312ADC2" w14:textId="77777777" w:rsidR="00A174E2" w:rsidRPr="00A174E2" w:rsidRDefault="00A174E2" w:rsidP="00166C5C">
            <w:pPr>
              <w:pStyle w:val="Default"/>
              <w:jc w:val="right"/>
              <w:rPr>
                <w:rFonts w:ascii="Arial" w:hAnsi="Arial" w:cs="Arial"/>
                <w:color w:val="auto"/>
                <w:sz w:val="18"/>
                <w:szCs w:val="18"/>
              </w:rPr>
            </w:pPr>
          </w:p>
        </w:tc>
      </w:tr>
      <w:tr w:rsidR="00A174E2" w:rsidRPr="00A174E2" w14:paraId="30B8D702" w14:textId="77777777" w:rsidTr="00A174E2">
        <w:trPr>
          <w:trHeight w:val="48"/>
        </w:trPr>
        <w:tc>
          <w:tcPr>
            <w:tcW w:w="1666" w:type="dxa"/>
            <w:tcBorders>
              <w:top w:val="single" w:sz="5" w:space="0" w:color="000000"/>
              <w:left w:val="single" w:sz="5" w:space="0" w:color="000000"/>
              <w:bottom w:val="double" w:sz="2" w:space="0" w:color="FFFFCC"/>
              <w:right w:val="single" w:sz="5" w:space="0" w:color="000000"/>
            </w:tcBorders>
          </w:tcPr>
          <w:p w14:paraId="39767DD2"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 xml:space="preserve">Title </w:t>
            </w:r>
          </w:p>
        </w:tc>
        <w:tc>
          <w:tcPr>
            <w:tcW w:w="469" w:type="dxa"/>
            <w:tcBorders>
              <w:top w:val="single" w:sz="5" w:space="0" w:color="000000"/>
              <w:left w:val="single" w:sz="5" w:space="0" w:color="000000"/>
              <w:bottom w:val="double" w:sz="2" w:space="0" w:color="FFFFCC"/>
              <w:right w:val="single" w:sz="5" w:space="0" w:color="000000"/>
            </w:tcBorders>
          </w:tcPr>
          <w:p w14:paraId="11C5BF7A"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1</w:t>
            </w:r>
          </w:p>
        </w:tc>
        <w:tc>
          <w:tcPr>
            <w:tcW w:w="7118" w:type="dxa"/>
            <w:tcBorders>
              <w:top w:val="single" w:sz="5" w:space="0" w:color="000000"/>
              <w:left w:val="single" w:sz="5" w:space="0" w:color="000000"/>
              <w:bottom w:val="double" w:sz="5" w:space="0" w:color="000000"/>
              <w:right w:val="single" w:sz="5" w:space="0" w:color="000000"/>
            </w:tcBorders>
          </w:tcPr>
          <w:p w14:paraId="6A4F6B28"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Identify the report as a systematic review.</w:t>
            </w:r>
          </w:p>
        </w:tc>
        <w:tc>
          <w:tcPr>
            <w:tcW w:w="972" w:type="dxa"/>
            <w:tcBorders>
              <w:top w:val="single" w:sz="5" w:space="0" w:color="000000"/>
              <w:left w:val="single" w:sz="5" w:space="0" w:color="000000"/>
              <w:bottom w:val="double" w:sz="5" w:space="0" w:color="000000"/>
              <w:right w:val="single" w:sz="5" w:space="0" w:color="000000"/>
            </w:tcBorders>
          </w:tcPr>
          <w:p w14:paraId="03CED472"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7705A76C" w14:textId="77777777" w:rsidTr="00A174E2">
        <w:trPr>
          <w:trHeight w:val="24"/>
        </w:trPr>
        <w:tc>
          <w:tcPr>
            <w:tcW w:w="92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1D270B" w14:textId="77777777" w:rsidR="00A174E2" w:rsidRPr="00A174E2" w:rsidRDefault="00A174E2" w:rsidP="00166C5C">
            <w:pPr>
              <w:pStyle w:val="Default"/>
              <w:rPr>
                <w:rFonts w:ascii="Arial" w:hAnsi="Arial" w:cs="Arial"/>
                <w:sz w:val="18"/>
                <w:szCs w:val="18"/>
              </w:rPr>
            </w:pPr>
            <w:r w:rsidRPr="00A174E2">
              <w:rPr>
                <w:rFonts w:ascii="Arial" w:hAnsi="Arial" w:cs="Arial"/>
                <w:b/>
                <w:bCs/>
                <w:sz w:val="18"/>
                <w:szCs w:val="18"/>
              </w:rPr>
              <w:t xml:space="preserve">BACKGROUND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7F6F9720" w14:textId="77777777" w:rsidR="00A174E2" w:rsidRPr="00A174E2" w:rsidRDefault="00A174E2" w:rsidP="00166C5C">
            <w:pPr>
              <w:pStyle w:val="Default"/>
              <w:jc w:val="right"/>
              <w:rPr>
                <w:rFonts w:ascii="Arial" w:hAnsi="Arial" w:cs="Arial"/>
                <w:color w:val="auto"/>
                <w:sz w:val="18"/>
                <w:szCs w:val="18"/>
              </w:rPr>
            </w:pPr>
          </w:p>
        </w:tc>
      </w:tr>
      <w:tr w:rsidR="00A174E2" w:rsidRPr="00A174E2" w14:paraId="39525618" w14:textId="77777777" w:rsidTr="00A174E2">
        <w:trPr>
          <w:trHeight w:val="48"/>
        </w:trPr>
        <w:tc>
          <w:tcPr>
            <w:tcW w:w="1666" w:type="dxa"/>
            <w:tcBorders>
              <w:top w:val="single" w:sz="5" w:space="0" w:color="000000"/>
              <w:left w:val="single" w:sz="5" w:space="0" w:color="000000"/>
              <w:bottom w:val="double" w:sz="2" w:space="0" w:color="FFFFCC"/>
              <w:right w:val="single" w:sz="5" w:space="0" w:color="000000"/>
            </w:tcBorders>
          </w:tcPr>
          <w:p w14:paraId="2EF4E3BB"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 xml:space="preserve">Objectives </w:t>
            </w:r>
          </w:p>
        </w:tc>
        <w:tc>
          <w:tcPr>
            <w:tcW w:w="469" w:type="dxa"/>
            <w:tcBorders>
              <w:top w:val="single" w:sz="5" w:space="0" w:color="000000"/>
              <w:left w:val="single" w:sz="5" w:space="0" w:color="000000"/>
              <w:bottom w:val="double" w:sz="2" w:space="0" w:color="FFFFCC"/>
              <w:right w:val="single" w:sz="5" w:space="0" w:color="000000"/>
            </w:tcBorders>
          </w:tcPr>
          <w:p w14:paraId="03D13C67"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2</w:t>
            </w:r>
          </w:p>
        </w:tc>
        <w:tc>
          <w:tcPr>
            <w:tcW w:w="7118" w:type="dxa"/>
            <w:tcBorders>
              <w:top w:val="single" w:sz="5" w:space="0" w:color="000000"/>
              <w:left w:val="single" w:sz="5" w:space="0" w:color="000000"/>
              <w:bottom w:val="double" w:sz="5" w:space="0" w:color="000000"/>
              <w:right w:val="single" w:sz="5" w:space="0" w:color="000000"/>
            </w:tcBorders>
          </w:tcPr>
          <w:p w14:paraId="0D06E921"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Provide an explicit statement of the main objective(s) or question(s) the review addresses.</w:t>
            </w:r>
          </w:p>
        </w:tc>
        <w:tc>
          <w:tcPr>
            <w:tcW w:w="972" w:type="dxa"/>
            <w:tcBorders>
              <w:top w:val="single" w:sz="5" w:space="0" w:color="000000"/>
              <w:left w:val="single" w:sz="5" w:space="0" w:color="000000"/>
              <w:bottom w:val="double" w:sz="5" w:space="0" w:color="000000"/>
              <w:right w:val="single" w:sz="5" w:space="0" w:color="000000"/>
            </w:tcBorders>
          </w:tcPr>
          <w:p w14:paraId="5D2A42D2"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421B2B36" w14:textId="77777777" w:rsidTr="00A174E2">
        <w:trPr>
          <w:trHeight w:val="24"/>
        </w:trPr>
        <w:tc>
          <w:tcPr>
            <w:tcW w:w="92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BDAE76" w14:textId="77777777" w:rsidR="00A174E2" w:rsidRPr="00A174E2" w:rsidRDefault="00A174E2" w:rsidP="00166C5C">
            <w:pPr>
              <w:pStyle w:val="Default"/>
              <w:rPr>
                <w:rFonts w:ascii="Arial" w:hAnsi="Arial" w:cs="Arial"/>
                <w:sz w:val="18"/>
                <w:szCs w:val="18"/>
              </w:rPr>
            </w:pPr>
            <w:r w:rsidRPr="00A174E2">
              <w:rPr>
                <w:rFonts w:ascii="Arial" w:hAnsi="Arial" w:cs="Arial"/>
                <w:b/>
                <w:bCs/>
                <w:sz w:val="18"/>
                <w:szCs w:val="18"/>
              </w:rPr>
              <w:t xml:space="preserve">METHODS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55DAB33E" w14:textId="77777777" w:rsidR="00A174E2" w:rsidRPr="00A174E2" w:rsidRDefault="00A174E2" w:rsidP="00166C5C">
            <w:pPr>
              <w:pStyle w:val="Default"/>
              <w:jc w:val="right"/>
              <w:rPr>
                <w:rFonts w:ascii="Arial" w:hAnsi="Arial" w:cs="Arial"/>
                <w:color w:val="auto"/>
                <w:sz w:val="18"/>
                <w:szCs w:val="18"/>
              </w:rPr>
            </w:pPr>
          </w:p>
        </w:tc>
      </w:tr>
      <w:tr w:rsidR="00A174E2" w:rsidRPr="00A174E2" w14:paraId="09C4E05E" w14:textId="77777777" w:rsidTr="00A174E2">
        <w:trPr>
          <w:trHeight w:val="48"/>
        </w:trPr>
        <w:tc>
          <w:tcPr>
            <w:tcW w:w="1666" w:type="dxa"/>
            <w:tcBorders>
              <w:top w:val="single" w:sz="5" w:space="0" w:color="000000"/>
              <w:left w:val="single" w:sz="5" w:space="0" w:color="000000"/>
              <w:bottom w:val="single" w:sz="5" w:space="0" w:color="000000"/>
              <w:right w:val="single" w:sz="5" w:space="0" w:color="000000"/>
            </w:tcBorders>
          </w:tcPr>
          <w:p w14:paraId="2755A0B8"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 xml:space="preserve">Eligibility criteria </w:t>
            </w:r>
          </w:p>
        </w:tc>
        <w:tc>
          <w:tcPr>
            <w:tcW w:w="469" w:type="dxa"/>
            <w:tcBorders>
              <w:top w:val="single" w:sz="5" w:space="0" w:color="000000"/>
              <w:left w:val="single" w:sz="5" w:space="0" w:color="000000"/>
              <w:bottom w:val="single" w:sz="5" w:space="0" w:color="000000"/>
              <w:right w:val="single" w:sz="5" w:space="0" w:color="000000"/>
            </w:tcBorders>
          </w:tcPr>
          <w:p w14:paraId="1B036E1D"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3</w:t>
            </w:r>
          </w:p>
        </w:tc>
        <w:tc>
          <w:tcPr>
            <w:tcW w:w="7118" w:type="dxa"/>
            <w:tcBorders>
              <w:top w:val="single" w:sz="5" w:space="0" w:color="000000"/>
              <w:left w:val="single" w:sz="5" w:space="0" w:color="000000"/>
              <w:bottom w:val="single" w:sz="5" w:space="0" w:color="000000"/>
              <w:right w:val="single" w:sz="5" w:space="0" w:color="000000"/>
            </w:tcBorders>
          </w:tcPr>
          <w:p w14:paraId="6DA41C02"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Specify the inclusion and exclusion criteria for the review.</w:t>
            </w:r>
          </w:p>
        </w:tc>
        <w:tc>
          <w:tcPr>
            <w:tcW w:w="972" w:type="dxa"/>
            <w:tcBorders>
              <w:top w:val="single" w:sz="5" w:space="0" w:color="000000"/>
              <w:left w:val="single" w:sz="5" w:space="0" w:color="000000"/>
              <w:bottom w:val="single" w:sz="5" w:space="0" w:color="000000"/>
              <w:right w:val="single" w:sz="5" w:space="0" w:color="000000"/>
            </w:tcBorders>
          </w:tcPr>
          <w:p w14:paraId="4BD371E3"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7828EBDF" w14:textId="77777777" w:rsidTr="00A174E2">
        <w:trPr>
          <w:trHeight w:val="194"/>
        </w:trPr>
        <w:tc>
          <w:tcPr>
            <w:tcW w:w="1666" w:type="dxa"/>
            <w:tcBorders>
              <w:top w:val="single" w:sz="5" w:space="0" w:color="000000"/>
              <w:left w:val="single" w:sz="5" w:space="0" w:color="000000"/>
              <w:bottom w:val="single" w:sz="5" w:space="0" w:color="000000"/>
              <w:right w:val="single" w:sz="5" w:space="0" w:color="000000"/>
            </w:tcBorders>
          </w:tcPr>
          <w:p w14:paraId="60E033E3"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 xml:space="preserve">Information sources </w:t>
            </w:r>
          </w:p>
        </w:tc>
        <w:tc>
          <w:tcPr>
            <w:tcW w:w="469" w:type="dxa"/>
            <w:tcBorders>
              <w:top w:val="single" w:sz="5" w:space="0" w:color="000000"/>
              <w:left w:val="single" w:sz="5" w:space="0" w:color="000000"/>
              <w:bottom w:val="single" w:sz="5" w:space="0" w:color="000000"/>
              <w:right w:val="single" w:sz="5" w:space="0" w:color="000000"/>
            </w:tcBorders>
          </w:tcPr>
          <w:p w14:paraId="14337F15"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4</w:t>
            </w:r>
          </w:p>
        </w:tc>
        <w:tc>
          <w:tcPr>
            <w:tcW w:w="7118" w:type="dxa"/>
            <w:tcBorders>
              <w:top w:val="single" w:sz="5" w:space="0" w:color="000000"/>
              <w:left w:val="single" w:sz="5" w:space="0" w:color="000000"/>
              <w:bottom w:val="single" w:sz="5" w:space="0" w:color="000000"/>
              <w:right w:val="single" w:sz="5" w:space="0" w:color="000000"/>
            </w:tcBorders>
          </w:tcPr>
          <w:p w14:paraId="169F0686"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Specify the information sources (e.g. databases, registers) used to identify studies and the date when each was last searched.</w:t>
            </w:r>
          </w:p>
        </w:tc>
        <w:tc>
          <w:tcPr>
            <w:tcW w:w="972" w:type="dxa"/>
            <w:tcBorders>
              <w:top w:val="single" w:sz="5" w:space="0" w:color="000000"/>
              <w:left w:val="single" w:sz="5" w:space="0" w:color="000000"/>
              <w:bottom w:val="single" w:sz="5" w:space="0" w:color="000000"/>
              <w:right w:val="single" w:sz="5" w:space="0" w:color="000000"/>
            </w:tcBorders>
          </w:tcPr>
          <w:p w14:paraId="6DC9F780"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6A166522" w14:textId="77777777" w:rsidTr="00A174E2">
        <w:trPr>
          <w:trHeight w:val="48"/>
        </w:trPr>
        <w:tc>
          <w:tcPr>
            <w:tcW w:w="1666" w:type="dxa"/>
            <w:tcBorders>
              <w:top w:val="single" w:sz="5" w:space="0" w:color="000000"/>
              <w:left w:val="single" w:sz="5" w:space="0" w:color="000000"/>
              <w:bottom w:val="single" w:sz="5" w:space="0" w:color="000000"/>
              <w:right w:val="single" w:sz="5" w:space="0" w:color="000000"/>
            </w:tcBorders>
          </w:tcPr>
          <w:p w14:paraId="54EDCC50"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Risk of bias</w:t>
            </w:r>
          </w:p>
        </w:tc>
        <w:tc>
          <w:tcPr>
            <w:tcW w:w="469" w:type="dxa"/>
            <w:tcBorders>
              <w:top w:val="single" w:sz="5" w:space="0" w:color="000000"/>
              <w:left w:val="single" w:sz="5" w:space="0" w:color="000000"/>
              <w:bottom w:val="single" w:sz="5" w:space="0" w:color="000000"/>
              <w:right w:val="single" w:sz="5" w:space="0" w:color="000000"/>
            </w:tcBorders>
          </w:tcPr>
          <w:p w14:paraId="41C3EE1B"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5</w:t>
            </w:r>
          </w:p>
        </w:tc>
        <w:tc>
          <w:tcPr>
            <w:tcW w:w="7118" w:type="dxa"/>
            <w:tcBorders>
              <w:top w:val="single" w:sz="5" w:space="0" w:color="000000"/>
              <w:left w:val="single" w:sz="5" w:space="0" w:color="000000"/>
              <w:bottom w:val="single" w:sz="5" w:space="0" w:color="000000"/>
              <w:right w:val="single" w:sz="5" w:space="0" w:color="000000"/>
            </w:tcBorders>
          </w:tcPr>
          <w:p w14:paraId="149261DF"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Specify the methods used to assess risk of bias in the included studies.</w:t>
            </w:r>
          </w:p>
        </w:tc>
        <w:tc>
          <w:tcPr>
            <w:tcW w:w="972" w:type="dxa"/>
            <w:tcBorders>
              <w:top w:val="single" w:sz="5" w:space="0" w:color="000000"/>
              <w:left w:val="single" w:sz="5" w:space="0" w:color="000000"/>
              <w:bottom w:val="single" w:sz="5" w:space="0" w:color="000000"/>
              <w:right w:val="single" w:sz="5" w:space="0" w:color="000000"/>
            </w:tcBorders>
          </w:tcPr>
          <w:p w14:paraId="4EC1563E" w14:textId="77777777" w:rsidR="00A174E2" w:rsidRPr="00A174E2" w:rsidRDefault="003709EC"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A174E2" w14:paraId="4FDBD06C" w14:textId="77777777" w:rsidTr="00A174E2">
        <w:trPr>
          <w:trHeight w:val="48"/>
        </w:trPr>
        <w:tc>
          <w:tcPr>
            <w:tcW w:w="1666" w:type="dxa"/>
            <w:tcBorders>
              <w:top w:val="single" w:sz="5" w:space="0" w:color="000000"/>
              <w:left w:val="single" w:sz="5" w:space="0" w:color="000000"/>
              <w:bottom w:val="single" w:sz="5" w:space="0" w:color="000000"/>
              <w:right w:val="single" w:sz="5" w:space="0" w:color="000000"/>
            </w:tcBorders>
          </w:tcPr>
          <w:p w14:paraId="7832B6AB"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 xml:space="preserve">Synthesis of results </w:t>
            </w:r>
          </w:p>
        </w:tc>
        <w:tc>
          <w:tcPr>
            <w:tcW w:w="469" w:type="dxa"/>
            <w:tcBorders>
              <w:top w:val="single" w:sz="5" w:space="0" w:color="000000"/>
              <w:left w:val="single" w:sz="5" w:space="0" w:color="000000"/>
              <w:bottom w:val="single" w:sz="5" w:space="0" w:color="000000"/>
              <w:right w:val="single" w:sz="5" w:space="0" w:color="000000"/>
            </w:tcBorders>
          </w:tcPr>
          <w:p w14:paraId="4C96BED9"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6</w:t>
            </w:r>
          </w:p>
        </w:tc>
        <w:tc>
          <w:tcPr>
            <w:tcW w:w="7118" w:type="dxa"/>
            <w:tcBorders>
              <w:top w:val="single" w:sz="5" w:space="0" w:color="000000"/>
              <w:left w:val="single" w:sz="5" w:space="0" w:color="000000"/>
              <w:bottom w:val="single" w:sz="5" w:space="0" w:color="000000"/>
              <w:right w:val="single" w:sz="5" w:space="0" w:color="000000"/>
            </w:tcBorders>
          </w:tcPr>
          <w:p w14:paraId="4E246711"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Specify the methods used to present and synthesise results.</w:t>
            </w:r>
          </w:p>
        </w:tc>
        <w:tc>
          <w:tcPr>
            <w:tcW w:w="972" w:type="dxa"/>
            <w:tcBorders>
              <w:top w:val="single" w:sz="5" w:space="0" w:color="000000"/>
              <w:left w:val="single" w:sz="5" w:space="0" w:color="000000"/>
              <w:bottom w:val="single" w:sz="5" w:space="0" w:color="000000"/>
              <w:right w:val="single" w:sz="5" w:space="0" w:color="000000"/>
            </w:tcBorders>
          </w:tcPr>
          <w:p w14:paraId="6592E804" w14:textId="77777777" w:rsidR="00A174E2" w:rsidRPr="00A174E2" w:rsidRDefault="003709EC"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A174E2" w14:paraId="14ABD540" w14:textId="77777777" w:rsidTr="00A174E2">
        <w:trPr>
          <w:trHeight w:val="24"/>
        </w:trPr>
        <w:tc>
          <w:tcPr>
            <w:tcW w:w="92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D79973" w14:textId="77777777" w:rsidR="00A174E2" w:rsidRPr="00A174E2" w:rsidRDefault="00A174E2" w:rsidP="00166C5C">
            <w:pPr>
              <w:pStyle w:val="Default"/>
              <w:rPr>
                <w:rFonts w:ascii="Arial" w:hAnsi="Arial" w:cs="Arial"/>
                <w:sz w:val="18"/>
                <w:szCs w:val="18"/>
              </w:rPr>
            </w:pPr>
            <w:r w:rsidRPr="00A174E2">
              <w:rPr>
                <w:rFonts w:ascii="Arial" w:hAnsi="Arial" w:cs="Arial"/>
                <w:b/>
                <w:bCs/>
                <w:sz w:val="18"/>
                <w:szCs w:val="18"/>
              </w:rPr>
              <w:t xml:space="preserve">RESULTS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70269EED" w14:textId="77777777" w:rsidR="00A174E2" w:rsidRPr="00A174E2" w:rsidRDefault="00A174E2" w:rsidP="00166C5C">
            <w:pPr>
              <w:pStyle w:val="Default"/>
              <w:jc w:val="center"/>
              <w:rPr>
                <w:rFonts w:ascii="Arial" w:hAnsi="Arial" w:cs="Arial"/>
                <w:color w:val="auto"/>
                <w:sz w:val="18"/>
                <w:szCs w:val="18"/>
              </w:rPr>
            </w:pPr>
          </w:p>
        </w:tc>
      </w:tr>
      <w:tr w:rsidR="00A174E2" w:rsidRPr="00A174E2" w14:paraId="22ECA852" w14:textId="77777777" w:rsidTr="00A174E2">
        <w:trPr>
          <w:trHeight w:val="104"/>
        </w:trPr>
        <w:tc>
          <w:tcPr>
            <w:tcW w:w="1666" w:type="dxa"/>
            <w:tcBorders>
              <w:top w:val="single" w:sz="5" w:space="0" w:color="000000"/>
              <w:left w:val="single" w:sz="5" w:space="0" w:color="000000"/>
              <w:bottom w:val="single" w:sz="5" w:space="0" w:color="000000"/>
              <w:right w:val="single" w:sz="5" w:space="0" w:color="000000"/>
            </w:tcBorders>
          </w:tcPr>
          <w:p w14:paraId="1F20A223"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 xml:space="preserve">Included studies </w:t>
            </w:r>
          </w:p>
        </w:tc>
        <w:tc>
          <w:tcPr>
            <w:tcW w:w="469" w:type="dxa"/>
            <w:tcBorders>
              <w:top w:val="single" w:sz="5" w:space="0" w:color="000000"/>
              <w:left w:val="single" w:sz="5" w:space="0" w:color="000000"/>
              <w:bottom w:val="single" w:sz="5" w:space="0" w:color="000000"/>
              <w:right w:val="single" w:sz="5" w:space="0" w:color="000000"/>
            </w:tcBorders>
          </w:tcPr>
          <w:p w14:paraId="41F8E0CC"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7</w:t>
            </w:r>
          </w:p>
        </w:tc>
        <w:tc>
          <w:tcPr>
            <w:tcW w:w="7118" w:type="dxa"/>
            <w:tcBorders>
              <w:top w:val="single" w:sz="5" w:space="0" w:color="000000"/>
              <w:left w:val="single" w:sz="5" w:space="0" w:color="000000"/>
              <w:bottom w:val="single" w:sz="5" w:space="0" w:color="000000"/>
              <w:right w:val="single" w:sz="5" w:space="0" w:color="000000"/>
            </w:tcBorders>
          </w:tcPr>
          <w:p w14:paraId="03D4C1E9"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Give the total number of included studies and participants and summarise relevant characteristics of studies.</w:t>
            </w:r>
          </w:p>
        </w:tc>
        <w:tc>
          <w:tcPr>
            <w:tcW w:w="972" w:type="dxa"/>
            <w:tcBorders>
              <w:top w:val="single" w:sz="5" w:space="0" w:color="000000"/>
              <w:left w:val="single" w:sz="5" w:space="0" w:color="000000"/>
              <w:bottom w:val="single" w:sz="5" w:space="0" w:color="000000"/>
              <w:right w:val="single" w:sz="5" w:space="0" w:color="000000"/>
            </w:tcBorders>
          </w:tcPr>
          <w:p w14:paraId="141FCC48"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5DE6CB88" w14:textId="77777777" w:rsidTr="00A174E2">
        <w:trPr>
          <w:trHeight w:val="48"/>
        </w:trPr>
        <w:tc>
          <w:tcPr>
            <w:tcW w:w="1666" w:type="dxa"/>
            <w:tcBorders>
              <w:top w:val="single" w:sz="5" w:space="0" w:color="000000"/>
              <w:left w:val="single" w:sz="5" w:space="0" w:color="000000"/>
              <w:bottom w:val="single" w:sz="5" w:space="0" w:color="000000"/>
              <w:right w:val="single" w:sz="5" w:space="0" w:color="000000"/>
            </w:tcBorders>
          </w:tcPr>
          <w:p w14:paraId="6C02142C"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 xml:space="preserve">Synthesis of results </w:t>
            </w:r>
          </w:p>
        </w:tc>
        <w:tc>
          <w:tcPr>
            <w:tcW w:w="469" w:type="dxa"/>
            <w:tcBorders>
              <w:top w:val="single" w:sz="5" w:space="0" w:color="000000"/>
              <w:left w:val="single" w:sz="5" w:space="0" w:color="000000"/>
              <w:bottom w:val="single" w:sz="5" w:space="0" w:color="000000"/>
              <w:right w:val="single" w:sz="5" w:space="0" w:color="000000"/>
            </w:tcBorders>
          </w:tcPr>
          <w:p w14:paraId="26CCD9A4"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8</w:t>
            </w:r>
          </w:p>
        </w:tc>
        <w:tc>
          <w:tcPr>
            <w:tcW w:w="7118" w:type="dxa"/>
            <w:tcBorders>
              <w:top w:val="single" w:sz="5" w:space="0" w:color="000000"/>
              <w:left w:val="single" w:sz="5" w:space="0" w:color="000000"/>
              <w:bottom w:val="single" w:sz="5" w:space="0" w:color="000000"/>
              <w:right w:val="single" w:sz="5" w:space="0" w:color="000000"/>
            </w:tcBorders>
          </w:tcPr>
          <w:p w14:paraId="1BC63395"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972" w:type="dxa"/>
            <w:tcBorders>
              <w:top w:val="single" w:sz="5" w:space="0" w:color="000000"/>
              <w:left w:val="single" w:sz="5" w:space="0" w:color="000000"/>
              <w:bottom w:val="single" w:sz="5" w:space="0" w:color="000000"/>
              <w:right w:val="single" w:sz="5" w:space="0" w:color="000000"/>
            </w:tcBorders>
          </w:tcPr>
          <w:p w14:paraId="1DB5AE27"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7D5046A9" w14:textId="77777777" w:rsidTr="00A174E2">
        <w:trPr>
          <w:trHeight w:val="24"/>
        </w:trPr>
        <w:tc>
          <w:tcPr>
            <w:tcW w:w="92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1B178A" w14:textId="77777777" w:rsidR="00A174E2" w:rsidRPr="00A174E2" w:rsidRDefault="00A174E2" w:rsidP="00166C5C">
            <w:pPr>
              <w:pStyle w:val="Default"/>
              <w:rPr>
                <w:rFonts w:ascii="Arial" w:hAnsi="Arial" w:cs="Arial"/>
                <w:sz w:val="18"/>
                <w:szCs w:val="18"/>
              </w:rPr>
            </w:pPr>
            <w:r w:rsidRPr="00A174E2">
              <w:rPr>
                <w:rFonts w:ascii="Arial" w:hAnsi="Arial" w:cs="Arial"/>
                <w:b/>
                <w:bCs/>
                <w:sz w:val="18"/>
                <w:szCs w:val="18"/>
              </w:rPr>
              <w:t xml:space="preserve">DISCUSSION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7C6301FD" w14:textId="77777777" w:rsidR="00A174E2" w:rsidRPr="00A174E2" w:rsidRDefault="00A174E2" w:rsidP="00166C5C">
            <w:pPr>
              <w:pStyle w:val="Default"/>
              <w:jc w:val="center"/>
              <w:rPr>
                <w:rFonts w:ascii="Arial" w:hAnsi="Arial" w:cs="Arial"/>
                <w:color w:val="auto"/>
                <w:sz w:val="18"/>
                <w:szCs w:val="18"/>
              </w:rPr>
            </w:pPr>
          </w:p>
        </w:tc>
      </w:tr>
      <w:tr w:rsidR="00A174E2" w:rsidRPr="00A174E2" w14:paraId="5F24ACFC" w14:textId="77777777" w:rsidTr="00A174E2">
        <w:trPr>
          <w:trHeight w:val="48"/>
        </w:trPr>
        <w:tc>
          <w:tcPr>
            <w:tcW w:w="1666" w:type="dxa"/>
            <w:tcBorders>
              <w:top w:val="single" w:sz="4" w:space="0" w:color="auto"/>
              <w:left w:val="single" w:sz="4" w:space="0" w:color="auto"/>
              <w:bottom w:val="single" w:sz="4" w:space="0" w:color="auto"/>
              <w:right w:val="single" w:sz="4" w:space="0" w:color="auto"/>
            </w:tcBorders>
          </w:tcPr>
          <w:p w14:paraId="0BB3B610"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Limitations of evidence</w:t>
            </w:r>
          </w:p>
        </w:tc>
        <w:tc>
          <w:tcPr>
            <w:tcW w:w="469" w:type="dxa"/>
            <w:tcBorders>
              <w:top w:val="single" w:sz="5" w:space="0" w:color="000000"/>
              <w:left w:val="single" w:sz="4" w:space="0" w:color="auto"/>
              <w:bottom w:val="single" w:sz="5" w:space="0" w:color="000000"/>
              <w:right w:val="single" w:sz="5" w:space="0" w:color="000000"/>
            </w:tcBorders>
          </w:tcPr>
          <w:p w14:paraId="085C3040"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9</w:t>
            </w:r>
          </w:p>
        </w:tc>
        <w:tc>
          <w:tcPr>
            <w:tcW w:w="7118" w:type="dxa"/>
            <w:tcBorders>
              <w:top w:val="single" w:sz="5" w:space="0" w:color="000000"/>
              <w:left w:val="single" w:sz="5" w:space="0" w:color="000000"/>
              <w:bottom w:val="single" w:sz="5" w:space="0" w:color="000000"/>
              <w:right w:val="single" w:sz="5" w:space="0" w:color="000000"/>
            </w:tcBorders>
          </w:tcPr>
          <w:p w14:paraId="53B3AFB6"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Provide a brief summary of the limitations of the evidence included in the review (e.g. study risk of bias, inconsistency and imprecision).</w:t>
            </w:r>
          </w:p>
        </w:tc>
        <w:tc>
          <w:tcPr>
            <w:tcW w:w="972" w:type="dxa"/>
            <w:tcBorders>
              <w:top w:val="single" w:sz="5" w:space="0" w:color="000000"/>
              <w:left w:val="single" w:sz="5" w:space="0" w:color="000000"/>
              <w:bottom w:val="single" w:sz="5" w:space="0" w:color="000000"/>
              <w:right w:val="single" w:sz="5" w:space="0" w:color="000000"/>
            </w:tcBorders>
          </w:tcPr>
          <w:p w14:paraId="2F68B641" w14:textId="77777777" w:rsidR="00A174E2" w:rsidRPr="00A174E2" w:rsidRDefault="003709EC"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r w:rsidR="00A174E2" w:rsidRPr="00A174E2" w14:paraId="3B4D98F8" w14:textId="77777777" w:rsidTr="00A174E2">
        <w:trPr>
          <w:trHeight w:val="48"/>
        </w:trPr>
        <w:tc>
          <w:tcPr>
            <w:tcW w:w="1666" w:type="dxa"/>
            <w:tcBorders>
              <w:top w:val="single" w:sz="4" w:space="0" w:color="auto"/>
              <w:left w:val="single" w:sz="4" w:space="0" w:color="auto"/>
              <w:bottom w:val="single" w:sz="4" w:space="0" w:color="auto"/>
              <w:right w:val="single" w:sz="4" w:space="0" w:color="auto"/>
            </w:tcBorders>
          </w:tcPr>
          <w:p w14:paraId="1D0D236E"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Interpretation</w:t>
            </w:r>
          </w:p>
        </w:tc>
        <w:tc>
          <w:tcPr>
            <w:tcW w:w="469" w:type="dxa"/>
            <w:tcBorders>
              <w:top w:val="single" w:sz="5" w:space="0" w:color="000000"/>
              <w:left w:val="single" w:sz="4" w:space="0" w:color="auto"/>
              <w:bottom w:val="single" w:sz="5" w:space="0" w:color="000000"/>
              <w:right w:val="single" w:sz="5" w:space="0" w:color="000000"/>
            </w:tcBorders>
          </w:tcPr>
          <w:p w14:paraId="1C14EB4F"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10</w:t>
            </w:r>
          </w:p>
        </w:tc>
        <w:tc>
          <w:tcPr>
            <w:tcW w:w="7118" w:type="dxa"/>
            <w:tcBorders>
              <w:top w:val="single" w:sz="5" w:space="0" w:color="000000"/>
              <w:left w:val="single" w:sz="5" w:space="0" w:color="000000"/>
              <w:bottom w:val="single" w:sz="5" w:space="0" w:color="000000"/>
              <w:right w:val="single" w:sz="5" w:space="0" w:color="000000"/>
            </w:tcBorders>
          </w:tcPr>
          <w:p w14:paraId="6993FFF3"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Provide a general interpretation of the results and important implications.</w:t>
            </w:r>
          </w:p>
        </w:tc>
        <w:tc>
          <w:tcPr>
            <w:tcW w:w="972" w:type="dxa"/>
            <w:tcBorders>
              <w:top w:val="single" w:sz="5" w:space="0" w:color="000000"/>
              <w:left w:val="single" w:sz="5" w:space="0" w:color="000000"/>
              <w:bottom w:val="single" w:sz="5" w:space="0" w:color="000000"/>
              <w:right w:val="single" w:sz="5" w:space="0" w:color="000000"/>
            </w:tcBorders>
          </w:tcPr>
          <w:p w14:paraId="6DCF0DB4"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0BD3BD1E" w14:textId="77777777" w:rsidTr="00A174E2">
        <w:trPr>
          <w:trHeight w:val="24"/>
        </w:trPr>
        <w:tc>
          <w:tcPr>
            <w:tcW w:w="925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AF22F32" w14:textId="77777777" w:rsidR="00A174E2" w:rsidRPr="00A174E2" w:rsidRDefault="00A174E2" w:rsidP="00166C5C">
            <w:pPr>
              <w:pStyle w:val="Default"/>
              <w:rPr>
                <w:rFonts w:ascii="Arial" w:hAnsi="Arial" w:cs="Arial"/>
                <w:sz w:val="18"/>
                <w:szCs w:val="18"/>
              </w:rPr>
            </w:pPr>
            <w:r w:rsidRPr="00A174E2">
              <w:rPr>
                <w:rFonts w:ascii="Arial" w:hAnsi="Arial" w:cs="Arial"/>
                <w:b/>
                <w:bCs/>
                <w:sz w:val="18"/>
                <w:szCs w:val="18"/>
              </w:rPr>
              <w:t xml:space="preserve">OTHER </w:t>
            </w:r>
          </w:p>
        </w:tc>
        <w:tc>
          <w:tcPr>
            <w:tcW w:w="972" w:type="dxa"/>
            <w:tcBorders>
              <w:top w:val="double" w:sz="5" w:space="0" w:color="000000"/>
              <w:left w:val="single" w:sz="5" w:space="0" w:color="000000"/>
              <w:bottom w:val="single" w:sz="5" w:space="0" w:color="000000"/>
              <w:right w:val="single" w:sz="5" w:space="0" w:color="000000"/>
            </w:tcBorders>
            <w:shd w:val="clear" w:color="auto" w:fill="FFFFCC"/>
          </w:tcPr>
          <w:p w14:paraId="2809677C" w14:textId="77777777" w:rsidR="00A174E2" w:rsidRPr="00A174E2" w:rsidRDefault="00A174E2" w:rsidP="00166C5C">
            <w:pPr>
              <w:pStyle w:val="Default"/>
              <w:jc w:val="center"/>
              <w:rPr>
                <w:rFonts w:ascii="Arial" w:hAnsi="Arial" w:cs="Arial"/>
                <w:color w:val="auto"/>
                <w:sz w:val="18"/>
                <w:szCs w:val="18"/>
              </w:rPr>
            </w:pPr>
          </w:p>
        </w:tc>
      </w:tr>
      <w:tr w:rsidR="00A174E2" w:rsidRPr="00A174E2" w14:paraId="06650416" w14:textId="77777777" w:rsidTr="00A174E2">
        <w:trPr>
          <w:trHeight w:val="48"/>
        </w:trPr>
        <w:tc>
          <w:tcPr>
            <w:tcW w:w="1666" w:type="dxa"/>
            <w:tcBorders>
              <w:top w:val="single" w:sz="5" w:space="0" w:color="000000"/>
              <w:left w:val="single" w:sz="5" w:space="0" w:color="000000"/>
              <w:bottom w:val="single" w:sz="5" w:space="0" w:color="000000"/>
              <w:right w:val="single" w:sz="5" w:space="0" w:color="000000"/>
            </w:tcBorders>
          </w:tcPr>
          <w:p w14:paraId="550ADCCC"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Funding</w:t>
            </w:r>
          </w:p>
        </w:tc>
        <w:tc>
          <w:tcPr>
            <w:tcW w:w="469" w:type="dxa"/>
            <w:tcBorders>
              <w:top w:val="single" w:sz="5" w:space="0" w:color="000000"/>
              <w:left w:val="single" w:sz="5" w:space="0" w:color="000000"/>
              <w:bottom w:val="single" w:sz="5" w:space="0" w:color="000000"/>
              <w:right w:val="single" w:sz="5" w:space="0" w:color="000000"/>
            </w:tcBorders>
          </w:tcPr>
          <w:p w14:paraId="1CC56118"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11</w:t>
            </w:r>
          </w:p>
        </w:tc>
        <w:tc>
          <w:tcPr>
            <w:tcW w:w="7118" w:type="dxa"/>
            <w:tcBorders>
              <w:top w:val="single" w:sz="5" w:space="0" w:color="000000"/>
              <w:left w:val="single" w:sz="5" w:space="0" w:color="000000"/>
              <w:bottom w:val="single" w:sz="5" w:space="0" w:color="000000"/>
              <w:right w:val="single" w:sz="5" w:space="0" w:color="000000"/>
            </w:tcBorders>
          </w:tcPr>
          <w:p w14:paraId="5B2A872C"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Specify the primary source of funding for the review.</w:t>
            </w:r>
          </w:p>
        </w:tc>
        <w:tc>
          <w:tcPr>
            <w:tcW w:w="972" w:type="dxa"/>
            <w:tcBorders>
              <w:top w:val="single" w:sz="5" w:space="0" w:color="000000"/>
              <w:left w:val="single" w:sz="5" w:space="0" w:color="000000"/>
              <w:bottom w:val="single" w:sz="5" w:space="0" w:color="000000"/>
              <w:right w:val="single" w:sz="5" w:space="0" w:color="000000"/>
            </w:tcBorders>
          </w:tcPr>
          <w:p w14:paraId="09907855" w14:textId="77777777" w:rsidR="00A174E2" w:rsidRPr="00A174E2" w:rsidRDefault="00A174E2" w:rsidP="00166C5C">
            <w:pPr>
              <w:pStyle w:val="Default"/>
              <w:spacing w:before="40" w:after="40"/>
              <w:rPr>
                <w:rFonts w:ascii="Arial" w:hAnsi="Arial" w:cs="Arial"/>
                <w:color w:val="auto"/>
                <w:sz w:val="18"/>
                <w:szCs w:val="18"/>
              </w:rPr>
            </w:pPr>
            <w:r w:rsidRPr="00A174E2">
              <w:rPr>
                <w:rFonts w:ascii="Arial" w:hAnsi="Arial" w:cs="Arial"/>
                <w:color w:val="auto"/>
                <w:sz w:val="18"/>
                <w:szCs w:val="18"/>
              </w:rPr>
              <w:t>Yes</w:t>
            </w:r>
          </w:p>
        </w:tc>
      </w:tr>
      <w:tr w:rsidR="00A174E2" w:rsidRPr="00A174E2" w14:paraId="251C9F96" w14:textId="77777777" w:rsidTr="00A174E2">
        <w:trPr>
          <w:trHeight w:val="222"/>
        </w:trPr>
        <w:tc>
          <w:tcPr>
            <w:tcW w:w="1666" w:type="dxa"/>
            <w:tcBorders>
              <w:top w:val="single" w:sz="5" w:space="0" w:color="000000"/>
              <w:left w:val="single" w:sz="5" w:space="0" w:color="000000"/>
              <w:bottom w:val="double" w:sz="5" w:space="0" w:color="000000"/>
              <w:right w:val="single" w:sz="5" w:space="0" w:color="000000"/>
            </w:tcBorders>
          </w:tcPr>
          <w:p w14:paraId="6C5A841A"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Registration</w:t>
            </w:r>
          </w:p>
        </w:tc>
        <w:tc>
          <w:tcPr>
            <w:tcW w:w="469" w:type="dxa"/>
            <w:tcBorders>
              <w:top w:val="single" w:sz="5" w:space="0" w:color="000000"/>
              <w:left w:val="single" w:sz="5" w:space="0" w:color="000000"/>
              <w:bottom w:val="double" w:sz="5" w:space="0" w:color="000000"/>
              <w:right w:val="single" w:sz="5" w:space="0" w:color="000000"/>
            </w:tcBorders>
          </w:tcPr>
          <w:p w14:paraId="678AB78E" w14:textId="77777777" w:rsidR="00A174E2" w:rsidRPr="00A174E2" w:rsidRDefault="00A174E2" w:rsidP="00166C5C">
            <w:pPr>
              <w:pStyle w:val="Default"/>
              <w:spacing w:before="40" w:after="40"/>
              <w:jc w:val="right"/>
              <w:rPr>
                <w:rFonts w:ascii="Arial" w:hAnsi="Arial" w:cs="Arial"/>
                <w:sz w:val="18"/>
                <w:szCs w:val="18"/>
              </w:rPr>
            </w:pPr>
            <w:r w:rsidRPr="00A174E2">
              <w:rPr>
                <w:rFonts w:ascii="Arial" w:hAnsi="Arial" w:cs="Arial"/>
                <w:sz w:val="18"/>
                <w:szCs w:val="18"/>
              </w:rPr>
              <w:t>12</w:t>
            </w:r>
          </w:p>
        </w:tc>
        <w:tc>
          <w:tcPr>
            <w:tcW w:w="7118" w:type="dxa"/>
            <w:tcBorders>
              <w:top w:val="single" w:sz="5" w:space="0" w:color="000000"/>
              <w:left w:val="single" w:sz="5" w:space="0" w:color="000000"/>
              <w:bottom w:val="double" w:sz="5" w:space="0" w:color="000000"/>
              <w:right w:val="single" w:sz="5" w:space="0" w:color="000000"/>
            </w:tcBorders>
          </w:tcPr>
          <w:p w14:paraId="4FB0A1D2" w14:textId="77777777" w:rsidR="00A174E2" w:rsidRPr="00A174E2" w:rsidRDefault="00A174E2" w:rsidP="00166C5C">
            <w:pPr>
              <w:pStyle w:val="Default"/>
              <w:spacing w:before="40" w:after="40"/>
              <w:rPr>
                <w:rFonts w:ascii="Arial" w:hAnsi="Arial" w:cs="Arial"/>
                <w:sz w:val="18"/>
                <w:szCs w:val="18"/>
              </w:rPr>
            </w:pPr>
            <w:r w:rsidRPr="00A174E2">
              <w:rPr>
                <w:rFonts w:ascii="Arial" w:hAnsi="Arial" w:cs="Arial"/>
                <w:sz w:val="18"/>
                <w:szCs w:val="18"/>
              </w:rPr>
              <w:t>Provide the register name and registration number.</w:t>
            </w:r>
          </w:p>
        </w:tc>
        <w:tc>
          <w:tcPr>
            <w:tcW w:w="972" w:type="dxa"/>
            <w:tcBorders>
              <w:top w:val="single" w:sz="5" w:space="0" w:color="000000"/>
              <w:left w:val="single" w:sz="5" w:space="0" w:color="000000"/>
              <w:bottom w:val="double" w:sz="5" w:space="0" w:color="000000"/>
              <w:right w:val="single" w:sz="5" w:space="0" w:color="000000"/>
            </w:tcBorders>
          </w:tcPr>
          <w:p w14:paraId="463CC9F5" w14:textId="77777777" w:rsidR="00A174E2" w:rsidRPr="00A174E2" w:rsidRDefault="003709EC" w:rsidP="00166C5C">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56230054" w14:textId="77777777" w:rsidR="00A174E2" w:rsidRDefault="00A174E2">
      <w:pPr>
        <w:pBdr>
          <w:top w:val="none" w:sz="0" w:space="0" w:color="auto"/>
          <w:left w:val="none" w:sz="0" w:space="0" w:color="auto"/>
          <w:bottom w:val="none" w:sz="0" w:space="0" w:color="auto"/>
          <w:right w:val="none" w:sz="0" w:space="0" w:color="auto"/>
        </w:pBdr>
        <w:suppressAutoHyphens w:val="0"/>
        <w:spacing w:after="160" w:line="259" w:lineRule="auto"/>
        <w:textAlignment w:val="auto"/>
        <w:rPr>
          <w:b/>
          <w:color w:val="000000"/>
          <w:szCs w:val="20"/>
        </w:rPr>
      </w:pPr>
      <w:r>
        <w:rPr>
          <w:b/>
          <w:color w:val="000000"/>
          <w:szCs w:val="20"/>
        </w:rPr>
        <w:br w:type="page"/>
      </w:r>
    </w:p>
    <w:p w14:paraId="17D07142" w14:textId="77777777" w:rsidR="0040327B" w:rsidRPr="00FB385A" w:rsidRDefault="00A53AB0" w:rsidP="002A2F36">
      <w:pPr>
        <w:spacing w:line="480" w:lineRule="auto"/>
        <w:jc w:val="center"/>
        <w:rPr>
          <w:b/>
        </w:rPr>
      </w:pPr>
      <w:r>
        <w:rPr>
          <w:b/>
          <w:color w:val="000000"/>
          <w:szCs w:val="20"/>
        </w:rPr>
        <w:lastRenderedPageBreak/>
        <w:t xml:space="preserve">Supplementary </w:t>
      </w:r>
      <w:r w:rsidR="0040327B" w:rsidRPr="00FB385A">
        <w:rPr>
          <w:b/>
        </w:rPr>
        <w:t>References</w:t>
      </w:r>
    </w:p>
    <w:p w14:paraId="3295A32E" w14:textId="77777777" w:rsidR="00A174E2" w:rsidRPr="00A174E2" w:rsidRDefault="0040327B" w:rsidP="00A174E2">
      <w:pPr>
        <w:widowControl w:val="0"/>
        <w:autoSpaceDE w:val="0"/>
        <w:autoSpaceDN w:val="0"/>
        <w:adjustRightInd w:val="0"/>
        <w:spacing w:line="480" w:lineRule="auto"/>
        <w:ind w:left="640" w:hanging="640"/>
        <w:rPr>
          <w:noProof/>
        </w:rPr>
      </w:pPr>
      <w:r w:rsidRPr="00FB385A">
        <w:fldChar w:fldCharType="begin" w:fldLock="1"/>
      </w:r>
      <w:r w:rsidRPr="00FB385A">
        <w:instrText xml:space="preserve">ADDIN Mendeley Bibliography CSL_BIBLIOGRAPHY </w:instrText>
      </w:r>
      <w:r w:rsidRPr="00FB385A">
        <w:fldChar w:fldCharType="separate"/>
      </w:r>
      <w:r w:rsidR="00A174E2" w:rsidRPr="00A174E2">
        <w:rPr>
          <w:noProof/>
        </w:rPr>
        <w:t>1.</w:t>
      </w:r>
      <w:r w:rsidR="00A174E2" w:rsidRPr="00A174E2">
        <w:rPr>
          <w:noProof/>
        </w:rPr>
        <w:tab/>
        <w:t xml:space="preserve">Koike, Y. &amp; Onodera, O. Implications of miRNAs dysregulation in amyotrophic lateral sclerosis: Challenging for clinical applications. </w:t>
      </w:r>
      <w:r w:rsidR="00A174E2" w:rsidRPr="00A174E2">
        <w:rPr>
          <w:i/>
          <w:iCs/>
          <w:noProof/>
        </w:rPr>
        <w:t>Front. Neurosci.</w:t>
      </w:r>
      <w:r w:rsidR="00A174E2" w:rsidRPr="00A174E2">
        <w:rPr>
          <w:noProof/>
        </w:rPr>
        <w:t xml:space="preserve"> </w:t>
      </w:r>
      <w:r w:rsidR="00A174E2" w:rsidRPr="00A174E2">
        <w:rPr>
          <w:b/>
          <w:bCs/>
          <w:noProof/>
        </w:rPr>
        <w:t>17</w:t>
      </w:r>
      <w:r w:rsidR="00A174E2" w:rsidRPr="00A174E2">
        <w:rPr>
          <w:noProof/>
        </w:rPr>
        <w:t>, 1131758 (2023).</w:t>
      </w:r>
    </w:p>
    <w:p w14:paraId="31A1EA03"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2.</w:t>
      </w:r>
      <w:r w:rsidRPr="00A174E2">
        <w:rPr>
          <w:noProof/>
        </w:rPr>
        <w:tab/>
        <w:t xml:space="preserve">Liu, Y. </w:t>
      </w:r>
      <w:r w:rsidRPr="00A174E2">
        <w:rPr>
          <w:i/>
          <w:iCs/>
          <w:noProof/>
        </w:rPr>
        <w:t>et al.</w:t>
      </w:r>
      <w:r w:rsidRPr="00A174E2">
        <w:rPr>
          <w:noProof/>
        </w:rPr>
        <w:t xml:space="preserve"> MicroRNA-23a-3p Is Upregulated in Plasma Exosomes of Bulbar-onset ALS Patients and Targets ERBB4. </w:t>
      </w:r>
      <w:r w:rsidRPr="00A174E2">
        <w:rPr>
          <w:i/>
          <w:iCs/>
          <w:noProof/>
        </w:rPr>
        <w:t>Neuroscience</w:t>
      </w:r>
      <w:r w:rsidRPr="00A174E2">
        <w:rPr>
          <w:noProof/>
        </w:rPr>
        <w:t xml:space="preserve"> </w:t>
      </w:r>
      <w:r w:rsidRPr="00A174E2">
        <w:rPr>
          <w:b/>
          <w:bCs/>
          <w:noProof/>
        </w:rPr>
        <w:t>524</w:t>
      </w:r>
      <w:r w:rsidRPr="00A174E2">
        <w:rPr>
          <w:noProof/>
        </w:rPr>
        <w:t>, 65–78 (2023).</w:t>
      </w:r>
    </w:p>
    <w:p w14:paraId="2B9B47D0"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3.</w:t>
      </w:r>
      <w:r w:rsidRPr="00A174E2">
        <w:rPr>
          <w:noProof/>
        </w:rPr>
        <w:tab/>
        <w:t xml:space="preserve">Raheja, R. </w:t>
      </w:r>
      <w:r w:rsidRPr="00A174E2">
        <w:rPr>
          <w:i/>
          <w:iCs/>
          <w:noProof/>
        </w:rPr>
        <w:t>et al.</w:t>
      </w:r>
      <w:r w:rsidRPr="00A174E2">
        <w:rPr>
          <w:noProof/>
        </w:rPr>
        <w:t xml:space="preserve"> Correlating serum micrornas and clinical parameters in amyotrophic lateral sclerosis. </w:t>
      </w:r>
      <w:r w:rsidRPr="00A174E2">
        <w:rPr>
          <w:i/>
          <w:iCs/>
          <w:noProof/>
        </w:rPr>
        <w:t>Muscle and Nerve</w:t>
      </w:r>
      <w:r w:rsidRPr="00A174E2">
        <w:rPr>
          <w:noProof/>
        </w:rPr>
        <w:t xml:space="preserve"> </w:t>
      </w:r>
      <w:r w:rsidRPr="00A174E2">
        <w:rPr>
          <w:b/>
          <w:bCs/>
          <w:noProof/>
        </w:rPr>
        <w:t>58</w:t>
      </w:r>
      <w:r w:rsidRPr="00A174E2">
        <w:rPr>
          <w:noProof/>
        </w:rPr>
        <w:t>, 261–269 (2018).</w:t>
      </w:r>
    </w:p>
    <w:p w14:paraId="7F1EBE6A"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4.</w:t>
      </w:r>
      <w:r w:rsidRPr="00A174E2">
        <w:rPr>
          <w:noProof/>
        </w:rPr>
        <w:tab/>
        <w:t xml:space="preserve">Freischmidt, A. </w:t>
      </w:r>
      <w:r w:rsidRPr="00A174E2">
        <w:rPr>
          <w:i/>
          <w:iCs/>
          <w:noProof/>
        </w:rPr>
        <w:t>et al.</w:t>
      </w:r>
      <w:r w:rsidRPr="00A174E2">
        <w:rPr>
          <w:noProof/>
        </w:rPr>
        <w:t xml:space="preserve"> Serum microRNAs in sporadic amyotrophic lateral sclerosis. </w:t>
      </w:r>
      <w:r w:rsidRPr="00A174E2">
        <w:rPr>
          <w:i/>
          <w:iCs/>
          <w:noProof/>
        </w:rPr>
        <w:t>Neurobiol. Aging</w:t>
      </w:r>
      <w:r w:rsidRPr="00A174E2">
        <w:rPr>
          <w:noProof/>
        </w:rPr>
        <w:t xml:space="preserve"> </w:t>
      </w:r>
      <w:r w:rsidRPr="00A174E2">
        <w:rPr>
          <w:b/>
          <w:bCs/>
          <w:noProof/>
        </w:rPr>
        <w:t>36</w:t>
      </w:r>
      <w:r w:rsidRPr="00A174E2">
        <w:rPr>
          <w:noProof/>
        </w:rPr>
        <w:t>, 2660.e15-2660.e20 (2015).</w:t>
      </w:r>
    </w:p>
    <w:p w14:paraId="597BF020"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5.</w:t>
      </w:r>
      <w:r w:rsidRPr="00A174E2">
        <w:rPr>
          <w:noProof/>
        </w:rPr>
        <w:tab/>
        <w:t xml:space="preserve">Stein, C. S., McLendon, J. M., Witmer, N. H. &amp; Boudreau, R. L. Modulation of miR-181 influences dopaminergic neuronal degeneration in a mouse model of Parkinson’s disease. </w:t>
      </w:r>
      <w:r w:rsidRPr="00A174E2">
        <w:rPr>
          <w:i/>
          <w:iCs/>
          <w:noProof/>
        </w:rPr>
        <w:t>Mol. Ther. - Nucleic Acids</w:t>
      </w:r>
      <w:r w:rsidRPr="00A174E2">
        <w:rPr>
          <w:noProof/>
        </w:rPr>
        <w:t xml:space="preserve"> </w:t>
      </w:r>
      <w:r w:rsidRPr="00A174E2">
        <w:rPr>
          <w:b/>
          <w:bCs/>
          <w:noProof/>
        </w:rPr>
        <w:t>28</w:t>
      </w:r>
      <w:r w:rsidRPr="00A174E2">
        <w:rPr>
          <w:noProof/>
        </w:rPr>
        <w:t>, 1–15 (2022).</w:t>
      </w:r>
    </w:p>
    <w:p w14:paraId="02B7F324"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6.</w:t>
      </w:r>
      <w:r w:rsidRPr="00A174E2">
        <w:rPr>
          <w:noProof/>
        </w:rPr>
        <w:tab/>
        <w:t xml:space="preserve">Koval, E. D. </w:t>
      </w:r>
      <w:r w:rsidRPr="00A174E2">
        <w:rPr>
          <w:i/>
          <w:iCs/>
          <w:noProof/>
        </w:rPr>
        <w:t>et al.</w:t>
      </w:r>
      <w:r w:rsidRPr="00A174E2">
        <w:rPr>
          <w:noProof/>
        </w:rPr>
        <w:t xml:space="preserve"> Method for widespread microRNA-155 inhibition prolongs survival in ALS-model mice. </w:t>
      </w:r>
      <w:r w:rsidRPr="00A174E2">
        <w:rPr>
          <w:i/>
          <w:iCs/>
          <w:noProof/>
        </w:rPr>
        <w:t>Hum. Mol. Genet.</w:t>
      </w:r>
      <w:r w:rsidRPr="00A174E2">
        <w:rPr>
          <w:noProof/>
        </w:rPr>
        <w:t xml:space="preserve"> </w:t>
      </w:r>
      <w:r w:rsidRPr="00A174E2">
        <w:rPr>
          <w:b/>
          <w:bCs/>
          <w:noProof/>
        </w:rPr>
        <w:t>22</w:t>
      </w:r>
      <w:r w:rsidRPr="00A174E2">
        <w:rPr>
          <w:noProof/>
        </w:rPr>
        <w:t>, 4127–4135 (2013).</w:t>
      </w:r>
    </w:p>
    <w:p w14:paraId="65F754B0"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7.</w:t>
      </w:r>
      <w:r w:rsidRPr="00A174E2">
        <w:rPr>
          <w:noProof/>
        </w:rPr>
        <w:tab/>
        <w:t xml:space="preserve">Martinez, B. &amp; Peplow, P. MicroRNA expression in animal models of amyotrophic lateral sclerosis and potential therapeutic approaches. </w:t>
      </w:r>
      <w:r w:rsidRPr="00A174E2">
        <w:rPr>
          <w:i/>
          <w:iCs/>
          <w:noProof/>
        </w:rPr>
        <w:t>Neural Regen. Res.</w:t>
      </w:r>
      <w:r w:rsidRPr="00A174E2">
        <w:rPr>
          <w:noProof/>
        </w:rPr>
        <w:t xml:space="preserve"> </w:t>
      </w:r>
      <w:r w:rsidRPr="00A174E2">
        <w:rPr>
          <w:b/>
          <w:bCs/>
          <w:noProof/>
        </w:rPr>
        <w:t>17</w:t>
      </w:r>
      <w:r w:rsidRPr="00A174E2">
        <w:rPr>
          <w:noProof/>
        </w:rPr>
        <w:t>, 728–740 (2022).</w:t>
      </w:r>
    </w:p>
    <w:p w14:paraId="5C78CF03"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8.</w:t>
      </w:r>
      <w:r w:rsidRPr="00A174E2">
        <w:rPr>
          <w:noProof/>
        </w:rPr>
        <w:tab/>
        <w:t xml:space="preserve">Valori, C. F., Sulmona, C., Brambilla, L. &amp; Rossi, D. Astrocytes: Dissecting Their Diverse Roles in Amyotrophic Lateral Sclerosis and Frontotemporal Dementia. </w:t>
      </w:r>
      <w:r w:rsidRPr="00A174E2">
        <w:rPr>
          <w:i/>
          <w:iCs/>
          <w:noProof/>
        </w:rPr>
        <w:t>Cells</w:t>
      </w:r>
      <w:r w:rsidRPr="00A174E2">
        <w:rPr>
          <w:noProof/>
        </w:rPr>
        <w:t xml:space="preserve"> </w:t>
      </w:r>
      <w:r w:rsidRPr="00A174E2">
        <w:rPr>
          <w:b/>
          <w:bCs/>
          <w:noProof/>
        </w:rPr>
        <w:t>12</w:t>
      </w:r>
      <w:r w:rsidRPr="00A174E2">
        <w:rPr>
          <w:noProof/>
        </w:rPr>
        <w:t>, 1–27 (2023).</w:t>
      </w:r>
    </w:p>
    <w:p w14:paraId="21AA863A"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9.</w:t>
      </w:r>
      <w:r w:rsidRPr="00A174E2">
        <w:rPr>
          <w:noProof/>
        </w:rPr>
        <w:tab/>
        <w:t xml:space="preserve">Giagnorio, E. </w:t>
      </w:r>
      <w:r w:rsidRPr="00A174E2">
        <w:rPr>
          <w:i/>
          <w:iCs/>
          <w:noProof/>
        </w:rPr>
        <w:t>et al.</w:t>
      </w:r>
      <w:r w:rsidRPr="00A174E2">
        <w:rPr>
          <w:noProof/>
        </w:rPr>
        <w:t xml:space="preserve"> MiR-146a in ALS: Contribution to Early Peripheral Nerve Degeneration and Relevance as Disease Biomarker. </w:t>
      </w:r>
      <w:r w:rsidRPr="00A174E2">
        <w:rPr>
          <w:i/>
          <w:iCs/>
          <w:noProof/>
        </w:rPr>
        <w:t>Int. J. Mol. Sci.</w:t>
      </w:r>
      <w:r w:rsidRPr="00A174E2">
        <w:rPr>
          <w:noProof/>
        </w:rPr>
        <w:t xml:space="preserve"> </w:t>
      </w:r>
      <w:r w:rsidRPr="00A174E2">
        <w:rPr>
          <w:b/>
          <w:bCs/>
          <w:noProof/>
        </w:rPr>
        <w:t>24</w:t>
      </w:r>
      <w:r w:rsidRPr="00A174E2">
        <w:rPr>
          <w:noProof/>
        </w:rPr>
        <w:t>, (2023).</w:t>
      </w:r>
    </w:p>
    <w:p w14:paraId="25EC1445"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10.</w:t>
      </w:r>
      <w:r w:rsidRPr="00A174E2">
        <w:rPr>
          <w:noProof/>
        </w:rPr>
        <w:tab/>
        <w:t xml:space="preserve">Freischmidt, A., Müller, K., Ludolph, A. C. &amp; Weishaupt, J. H. Systemic dysregulation of TDP-43 binding microRNAs in amyotrophic lateral sclerosis. </w:t>
      </w:r>
      <w:r w:rsidRPr="00A174E2">
        <w:rPr>
          <w:i/>
          <w:iCs/>
          <w:noProof/>
        </w:rPr>
        <w:t xml:space="preserve">Acta Neuropathol. </w:t>
      </w:r>
      <w:r w:rsidRPr="00A174E2">
        <w:rPr>
          <w:i/>
          <w:iCs/>
          <w:noProof/>
        </w:rPr>
        <w:lastRenderedPageBreak/>
        <w:t>Commun.</w:t>
      </w:r>
      <w:r w:rsidRPr="00A174E2">
        <w:rPr>
          <w:noProof/>
        </w:rPr>
        <w:t xml:space="preserve"> </w:t>
      </w:r>
      <w:r w:rsidRPr="00A174E2">
        <w:rPr>
          <w:b/>
          <w:bCs/>
          <w:noProof/>
        </w:rPr>
        <w:t>1</w:t>
      </w:r>
      <w:r w:rsidRPr="00A174E2">
        <w:rPr>
          <w:noProof/>
        </w:rPr>
        <w:t>, 42 (2013).</w:t>
      </w:r>
    </w:p>
    <w:p w14:paraId="6CD2738E"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11.</w:t>
      </w:r>
      <w:r w:rsidRPr="00A174E2">
        <w:rPr>
          <w:noProof/>
        </w:rPr>
        <w:tab/>
        <w:t xml:space="preserve">Maimon, R. </w:t>
      </w:r>
      <w:r w:rsidRPr="00A174E2">
        <w:rPr>
          <w:i/>
          <w:iCs/>
          <w:noProof/>
        </w:rPr>
        <w:t>et al.</w:t>
      </w:r>
      <w:r w:rsidRPr="00A174E2">
        <w:rPr>
          <w:noProof/>
        </w:rPr>
        <w:t xml:space="preserve"> miR126-5p Downregulation Facilitates Axon Degeneration and NMJ Disruption via a Non-Cell-Autonomous Mechanism in ALS. </w:t>
      </w:r>
      <w:r w:rsidRPr="00A174E2">
        <w:rPr>
          <w:i/>
          <w:iCs/>
          <w:noProof/>
        </w:rPr>
        <w:t>J. Neurosci.</w:t>
      </w:r>
      <w:r w:rsidRPr="00A174E2">
        <w:rPr>
          <w:noProof/>
        </w:rPr>
        <w:t xml:space="preserve"> </w:t>
      </w:r>
      <w:r w:rsidRPr="00A174E2">
        <w:rPr>
          <w:b/>
          <w:bCs/>
          <w:noProof/>
        </w:rPr>
        <w:t>38</w:t>
      </w:r>
      <w:r w:rsidRPr="00A174E2">
        <w:rPr>
          <w:noProof/>
        </w:rPr>
        <w:t>, 5478–5494 (2018).</w:t>
      </w:r>
    </w:p>
    <w:p w14:paraId="60A7FC47"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12.</w:t>
      </w:r>
      <w:r w:rsidRPr="00A174E2">
        <w:rPr>
          <w:noProof/>
        </w:rPr>
        <w:tab/>
        <w:t xml:space="preserve">Wang, H. Phylogenetic analysis of microRNA biomarkers for amyotrophic lateral sclerosis. </w:t>
      </w:r>
      <w:r w:rsidRPr="00A174E2">
        <w:rPr>
          <w:i/>
          <w:iCs/>
          <w:noProof/>
        </w:rPr>
        <w:t>BIOCELL</w:t>
      </w:r>
      <w:r w:rsidRPr="00A174E2">
        <w:rPr>
          <w:noProof/>
        </w:rPr>
        <w:t xml:space="preserve"> </w:t>
      </w:r>
      <w:r w:rsidRPr="00A174E2">
        <w:rPr>
          <w:b/>
          <w:bCs/>
          <w:noProof/>
        </w:rPr>
        <w:t>45</w:t>
      </w:r>
      <w:r w:rsidRPr="00A174E2">
        <w:rPr>
          <w:noProof/>
        </w:rPr>
        <w:t>, 547–561 (2021).</w:t>
      </w:r>
    </w:p>
    <w:p w14:paraId="27862D00" w14:textId="77777777" w:rsidR="00A174E2" w:rsidRPr="00A174E2" w:rsidRDefault="00A174E2" w:rsidP="00A174E2">
      <w:pPr>
        <w:widowControl w:val="0"/>
        <w:autoSpaceDE w:val="0"/>
        <w:autoSpaceDN w:val="0"/>
        <w:adjustRightInd w:val="0"/>
        <w:spacing w:line="480" w:lineRule="auto"/>
        <w:ind w:left="640" w:hanging="640"/>
        <w:rPr>
          <w:noProof/>
        </w:rPr>
      </w:pPr>
      <w:r w:rsidRPr="00A174E2">
        <w:rPr>
          <w:noProof/>
        </w:rPr>
        <w:t>13.</w:t>
      </w:r>
      <w:r w:rsidRPr="00A174E2">
        <w:rPr>
          <w:noProof/>
        </w:rPr>
        <w:tab/>
        <w:t xml:space="preserve">Page, M. J. </w:t>
      </w:r>
      <w:r w:rsidRPr="00A174E2">
        <w:rPr>
          <w:i/>
          <w:iCs/>
          <w:noProof/>
        </w:rPr>
        <w:t>et al.</w:t>
      </w:r>
      <w:r w:rsidRPr="00A174E2">
        <w:rPr>
          <w:noProof/>
        </w:rPr>
        <w:t xml:space="preserve"> The PRISMA 2020 statement: an updated guideline for reporting systematic reviews. </w:t>
      </w:r>
      <w:r w:rsidRPr="00A174E2">
        <w:rPr>
          <w:i/>
          <w:iCs/>
          <w:noProof/>
        </w:rPr>
        <w:t>BMJ</w:t>
      </w:r>
      <w:r w:rsidRPr="00A174E2">
        <w:rPr>
          <w:noProof/>
        </w:rPr>
        <w:t xml:space="preserve"> </w:t>
      </w:r>
      <w:r w:rsidRPr="00A174E2">
        <w:rPr>
          <w:b/>
          <w:bCs/>
          <w:noProof/>
        </w:rPr>
        <w:t>372</w:t>
      </w:r>
      <w:r w:rsidRPr="00A174E2">
        <w:rPr>
          <w:noProof/>
        </w:rPr>
        <w:t>, (2021).</w:t>
      </w:r>
    </w:p>
    <w:p w14:paraId="6179207B" w14:textId="77777777" w:rsidR="0040327B" w:rsidRPr="0040327B" w:rsidRDefault="0040327B" w:rsidP="0040327B">
      <w:pPr>
        <w:spacing w:line="480" w:lineRule="auto"/>
        <w:jc w:val="both"/>
      </w:pPr>
      <w:r w:rsidRPr="00FB385A">
        <w:fldChar w:fldCharType="end"/>
      </w:r>
    </w:p>
    <w:sectPr w:rsidR="0040327B" w:rsidRPr="004032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621F2" w14:textId="77777777" w:rsidR="00DB3765" w:rsidRDefault="00DB3765" w:rsidP="008F590F">
      <w:r>
        <w:separator/>
      </w:r>
    </w:p>
  </w:endnote>
  <w:endnote w:type="continuationSeparator" w:id="0">
    <w:p w14:paraId="7ED6B081" w14:textId="77777777" w:rsidR="00DB3765" w:rsidRDefault="00DB3765" w:rsidP="008F5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nos">
    <w:altName w:val="Times New Roman"/>
    <w:charset w:val="00"/>
    <w:family w:val="auto"/>
    <w:pitch w:val="default"/>
  </w:font>
  <w:font w:name="Droid Sans Fallback">
    <w:panose1 w:val="00000000000000000000"/>
    <w:charset w:val="00"/>
    <w:family w:val="roman"/>
    <w:notTrueType/>
    <w:pitch w:val="default"/>
  </w:font>
  <w:font w:name="DejaVu Sans">
    <w:altName w:val="Arial"/>
    <w:charset w:val="00"/>
    <w:family w:val="swiss"/>
    <w:pitch w:val="variable"/>
    <w:sig w:usb0="E7002EFF" w:usb1="D200FDFF" w:usb2="0A246029" w:usb3="00000000" w:csb0="000001FF" w:csb1="00000000"/>
  </w:font>
  <w:font w:name="Liberation Sans">
    <w:charset w:val="00"/>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Lohit Hindi">
    <w:altName w:val="MS Gothic"/>
    <w:charset w:val="80"/>
    <w:family w:val="auto"/>
    <w:pitch w:val="variable"/>
  </w:font>
  <w:font w:name="OpenSymbol">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193145"/>
      <w:docPartObj>
        <w:docPartGallery w:val="Page Numbers (Bottom of Page)"/>
        <w:docPartUnique/>
      </w:docPartObj>
    </w:sdtPr>
    <w:sdtEndPr>
      <w:rPr>
        <w:noProof/>
      </w:rPr>
    </w:sdtEndPr>
    <w:sdtContent>
      <w:p w14:paraId="5871ADF2" w14:textId="77777777" w:rsidR="002B1FA3" w:rsidRDefault="002B1FA3">
        <w:pPr>
          <w:pStyle w:val="Footer"/>
          <w:jc w:val="right"/>
        </w:pPr>
        <w:r>
          <w:fldChar w:fldCharType="begin"/>
        </w:r>
        <w:r>
          <w:instrText xml:space="preserve"> PAGE   \* MERGEFORMAT </w:instrText>
        </w:r>
        <w:r>
          <w:fldChar w:fldCharType="separate"/>
        </w:r>
        <w:r w:rsidR="0063071C">
          <w:rPr>
            <w:noProof/>
          </w:rPr>
          <w:t>13</w:t>
        </w:r>
        <w:r>
          <w:rPr>
            <w:noProof/>
          </w:rPr>
          <w:fldChar w:fldCharType="end"/>
        </w:r>
      </w:p>
    </w:sdtContent>
  </w:sdt>
  <w:p w14:paraId="1C2AFCFA" w14:textId="77777777" w:rsidR="002B1FA3" w:rsidRDefault="002B1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C32FE" w14:textId="77777777" w:rsidR="00DB3765" w:rsidRDefault="00DB3765" w:rsidP="008F590F">
      <w:r>
        <w:separator/>
      </w:r>
    </w:p>
  </w:footnote>
  <w:footnote w:type="continuationSeparator" w:id="0">
    <w:p w14:paraId="0D15FB55" w14:textId="77777777" w:rsidR="00DB3765" w:rsidRDefault="00DB3765" w:rsidP="008F5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554"/>
    <w:multiLevelType w:val="multilevel"/>
    <w:tmpl w:val="CB9E15E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86FF5"/>
    <w:multiLevelType w:val="multilevel"/>
    <w:tmpl w:val="2D84A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5341DA"/>
    <w:multiLevelType w:val="multilevel"/>
    <w:tmpl w:val="1C622C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566C0F"/>
    <w:multiLevelType w:val="hybridMultilevel"/>
    <w:tmpl w:val="968E5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106F4"/>
    <w:multiLevelType w:val="multilevel"/>
    <w:tmpl w:val="2D84A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AAD1D95"/>
    <w:multiLevelType w:val="multilevel"/>
    <w:tmpl w:val="210886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BF83BAC"/>
    <w:multiLevelType w:val="hybridMultilevel"/>
    <w:tmpl w:val="E18C79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EB7B1A"/>
    <w:multiLevelType w:val="hybridMultilevel"/>
    <w:tmpl w:val="DAC8D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D292F"/>
    <w:multiLevelType w:val="multilevel"/>
    <w:tmpl w:val="4C607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DB3304"/>
    <w:multiLevelType w:val="multilevel"/>
    <w:tmpl w:val="AFCC92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51A1696"/>
    <w:multiLevelType w:val="multilevel"/>
    <w:tmpl w:val="6A92DDB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C80136"/>
    <w:multiLevelType w:val="multilevel"/>
    <w:tmpl w:val="388480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D05103"/>
    <w:multiLevelType w:val="multilevel"/>
    <w:tmpl w:val="3ACE74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F20198E"/>
    <w:multiLevelType w:val="multilevel"/>
    <w:tmpl w:val="2BB413F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927BD2"/>
    <w:multiLevelType w:val="multilevel"/>
    <w:tmpl w:val="FF0E80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E82189"/>
    <w:multiLevelType w:val="hybridMultilevel"/>
    <w:tmpl w:val="70FE3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806B20"/>
    <w:multiLevelType w:val="multilevel"/>
    <w:tmpl w:val="FE7CA6DE"/>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3584558B"/>
    <w:multiLevelType w:val="multilevel"/>
    <w:tmpl w:val="FE0254D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A2765E"/>
    <w:multiLevelType w:val="hybridMultilevel"/>
    <w:tmpl w:val="F516EE8C"/>
    <w:lvl w:ilvl="0" w:tplc="04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A86F24"/>
    <w:multiLevelType w:val="multilevel"/>
    <w:tmpl w:val="F2343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040163"/>
    <w:multiLevelType w:val="multilevel"/>
    <w:tmpl w:val="A5B8257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2157ED"/>
    <w:multiLevelType w:val="multilevel"/>
    <w:tmpl w:val="AFD4F8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2F6463"/>
    <w:multiLevelType w:val="multilevel"/>
    <w:tmpl w:val="04E88B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411D75"/>
    <w:multiLevelType w:val="multilevel"/>
    <w:tmpl w:val="9C8AD3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E53B5C"/>
    <w:multiLevelType w:val="multilevel"/>
    <w:tmpl w:val="F14819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ECD4AE8"/>
    <w:multiLevelType w:val="multilevel"/>
    <w:tmpl w:val="D3121B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2803907"/>
    <w:multiLevelType w:val="multilevel"/>
    <w:tmpl w:val="F3BE67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8D819B5"/>
    <w:multiLevelType w:val="multilevel"/>
    <w:tmpl w:val="F6A6DD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D90595"/>
    <w:multiLevelType w:val="multilevel"/>
    <w:tmpl w:val="A6D834F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2C635A"/>
    <w:multiLevelType w:val="hybridMultilevel"/>
    <w:tmpl w:val="99A262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5B3E3D"/>
    <w:multiLevelType w:val="hybridMultilevel"/>
    <w:tmpl w:val="F662B174"/>
    <w:lvl w:ilvl="0" w:tplc="38BACA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42661"/>
    <w:multiLevelType w:val="multilevel"/>
    <w:tmpl w:val="3BC691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BF382D"/>
    <w:multiLevelType w:val="multilevel"/>
    <w:tmpl w:val="9D56550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40D17"/>
    <w:multiLevelType w:val="multilevel"/>
    <w:tmpl w:val="ADBEF0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6C170F04"/>
    <w:multiLevelType w:val="multilevel"/>
    <w:tmpl w:val="88D60B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D045BA"/>
    <w:multiLevelType w:val="hybridMultilevel"/>
    <w:tmpl w:val="65BAF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FF3312"/>
    <w:multiLevelType w:val="multilevel"/>
    <w:tmpl w:val="B0BA51E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B03AE9"/>
    <w:multiLevelType w:val="multilevel"/>
    <w:tmpl w:val="78CE0D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B32F4F"/>
    <w:multiLevelType w:val="multilevel"/>
    <w:tmpl w:val="90487FF8"/>
    <w:lvl w:ilvl="0">
      <w:start w:val="1"/>
      <w:numFmt w:val="lowerRoman"/>
      <w:lvlText w:val="%1."/>
      <w:lvlJc w:val="righ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672761242">
    <w:abstractNumId w:val="38"/>
  </w:num>
  <w:num w:numId="2" w16cid:durableId="1432048182">
    <w:abstractNumId w:val="9"/>
  </w:num>
  <w:num w:numId="3" w16cid:durableId="328021576">
    <w:abstractNumId w:val="16"/>
  </w:num>
  <w:num w:numId="4" w16cid:durableId="977145471">
    <w:abstractNumId w:val="24"/>
  </w:num>
  <w:num w:numId="5" w16cid:durableId="435487316">
    <w:abstractNumId w:val="3"/>
  </w:num>
  <w:num w:numId="6" w16cid:durableId="921068323">
    <w:abstractNumId w:val="29"/>
  </w:num>
  <w:num w:numId="7" w16cid:durableId="2125226578">
    <w:abstractNumId w:val="12"/>
  </w:num>
  <w:num w:numId="8" w16cid:durableId="945427522">
    <w:abstractNumId w:val="7"/>
  </w:num>
  <w:num w:numId="9" w16cid:durableId="275720156">
    <w:abstractNumId w:val="26"/>
  </w:num>
  <w:num w:numId="10" w16cid:durableId="340085533">
    <w:abstractNumId w:val="33"/>
  </w:num>
  <w:num w:numId="11" w16cid:durableId="1720208966">
    <w:abstractNumId w:val="5"/>
  </w:num>
  <w:num w:numId="12" w16cid:durableId="791241268">
    <w:abstractNumId w:val="25"/>
  </w:num>
  <w:num w:numId="13" w16cid:durableId="1051687486">
    <w:abstractNumId w:val="4"/>
  </w:num>
  <w:num w:numId="14" w16cid:durableId="939340366">
    <w:abstractNumId w:val="1"/>
  </w:num>
  <w:num w:numId="15" w16cid:durableId="1435006905">
    <w:abstractNumId w:val="35"/>
  </w:num>
  <w:num w:numId="16" w16cid:durableId="1734084587">
    <w:abstractNumId w:val="8"/>
  </w:num>
  <w:num w:numId="17" w16cid:durableId="1141069524">
    <w:abstractNumId w:val="11"/>
  </w:num>
  <w:num w:numId="18" w16cid:durableId="918291518">
    <w:abstractNumId w:val="21"/>
  </w:num>
  <w:num w:numId="19" w16cid:durableId="2073850533">
    <w:abstractNumId w:val="27"/>
  </w:num>
  <w:num w:numId="20" w16cid:durableId="1913001169">
    <w:abstractNumId w:val="14"/>
  </w:num>
  <w:num w:numId="21" w16cid:durableId="1105614572">
    <w:abstractNumId w:val="34"/>
  </w:num>
  <w:num w:numId="22" w16cid:durableId="1281064152">
    <w:abstractNumId w:val="37"/>
  </w:num>
  <w:num w:numId="23" w16cid:durableId="941915323">
    <w:abstractNumId w:val="2"/>
  </w:num>
  <w:num w:numId="24" w16cid:durableId="1874610339">
    <w:abstractNumId w:val="22"/>
  </w:num>
  <w:num w:numId="25" w16cid:durableId="1918248146">
    <w:abstractNumId w:val="23"/>
  </w:num>
  <w:num w:numId="26" w16cid:durableId="1267300815">
    <w:abstractNumId w:val="20"/>
  </w:num>
  <w:num w:numId="27" w16cid:durableId="105010198">
    <w:abstractNumId w:val="28"/>
  </w:num>
  <w:num w:numId="28" w16cid:durableId="1487699436">
    <w:abstractNumId w:val="17"/>
  </w:num>
  <w:num w:numId="29" w16cid:durableId="1823111155">
    <w:abstractNumId w:val="0"/>
  </w:num>
  <w:num w:numId="30" w16cid:durableId="1687748623">
    <w:abstractNumId w:val="31"/>
  </w:num>
  <w:num w:numId="31" w16cid:durableId="2066178401">
    <w:abstractNumId w:val="13"/>
  </w:num>
  <w:num w:numId="32" w16cid:durableId="440340633">
    <w:abstractNumId w:val="19"/>
  </w:num>
  <w:num w:numId="33" w16cid:durableId="665479363">
    <w:abstractNumId w:val="32"/>
  </w:num>
  <w:num w:numId="34" w16cid:durableId="775096365">
    <w:abstractNumId w:val="10"/>
  </w:num>
  <w:num w:numId="35" w16cid:durableId="288558408">
    <w:abstractNumId w:val="6"/>
  </w:num>
  <w:num w:numId="36" w16cid:durableId="2119525483">
    <w:abstractNumId w:val="15"/>
  </w:num>
  <w:num w:numId="37" w16cid:durableId="325210023">
    <w:abstractNumId w:val="36"/>
  </w:num>
  <w:num w:numId="38" w16cid:durableId="139857508">
    <w:abstractNumId w:val="38"/>
  </w:num>
  <w:num w:numId="39" w16cid:durableId="793913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294021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20124248">
    <w:abstractNumId w:val="30"/>
  </w:num>
  <w:num w:numId="42" w16cid:durableId="13466638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9CB"/>
    <w:rsid w:val="00012433"/>
    <w:rsid w:val="000213E8"/>
    <w:rsid w:val="000347AC"/>
    <w:rsid w:val="000505C3"/>
    <w:rsid w:val="000607C3"/>
    <w:rsid w:val="000851DC"/>
    <w:rsid w:val="00085B84"/>
    <w:rsid w:val="00087E8D"/>
    <w:rsid w:val="00091AB0"/>
    <w:rsid w:val="00094AE9"/>
    <w:rsid w:val="000A0804"/>
    <w:rsid w:val="000A5BDE"/>
    <w:rsid w:val="000B016F"/>
    <w:rsid w:val="000B1350"/>
    <w:rsid w:val="000B4AC1"/>
    <w:rsid w:val="000D0055"/>
    <w:rsid w:val="000F06AA"/>
    <w:rsid w:val="00116CBA"/>
    <w:rsid w:val="00120888"/>
    <w:rsid w:val="00122F14"/>
    <w:rsid w:val="00137B3E"/>
    <w:rsid w:val="0014143B"/>
    <w:rsid w:val="001467E3"/>
    <w:rsid w:val="00166C5C"/>
    <w:rsid w:val="00166C77"/>
    <w:rsid w:val="00171CB0"/>
    <w:rsid w:val="00174E30"/>
    <w:rsid w:val="001925C3"/>
    <w:rsid w:val="001E0A69"/>
    <w:rsid w:val="001F23F6"/>
    <w:rsid w:val="00201A27"/>
    <w:rsid w:val="00214B2B"/>
    <w:rsid w:val="0022093A"/>
    <w:rsid w:val="00232F6E"/>
    <w:rsid w:val="00244865"/>
    <w:rsid w:val="00261674"/>
    <w:rsid w:val="00270F3A"/>
    <w:rsid w:val="0029105E"/>
    <w:rsid w:val="002A2F36"/>
    <w:rsid w:val="002A357E"/>
    <w:rsid w:val="002A3DB0"/>
    <w:rsid w:val="002A5628"/>
    <w:rsid w:val="002B0DF4"/>
    <w:rsid w:val="002B1FA3"/>
    <w:rsid w:val="002E619B"/>
    <w:rsid w:val="00305F69"/>
    <w:rsid w:val="00317106"/>
    <w:rsid w:val="00320584"/>
    <w:rsid w:val="00323FF1"/>
    <w:rsid w:val="003339A2"/>
    <w:rsid w:val="0033596A"/>
    <w:rsid w:val="0035238B"/>
    <w:rsid w:val="00367561"/>
    <w:rsid w:val="003709EC"/>
    <w:rsid w:val="00372D97"/>
    <w:rsid w:val="00373A22"/>
    <w:rsid w:val="003A1E82"/>
    <w:rsid w:val="003A469A"/>
    <w:rsid w:val="003A7317"/>
    <w:rsid w:val="00402F5B"/>
    <w:rsid w:val="0040327B"/>
    <w:rsid w:val="004170FF"/>
    <w:rsid w:val="00420875"/>
    <w:rsid w:val="00467703"/>
    <w:rsid w:val="00475494"/>
    <w:rsid w:val="004768C1"/>
    <w:rsid w:val="00492A24"/>
    <w:rsid w:val="004C3C2A"/>
    <w:rsid w:val="004C421E"/>
    <w:rsid w:val="004C4979"/>
    <w:rsid w:val="004D6829"/>
    <w:rsid w:val="004D71EB"/>
    <w:rsid w:val="004E7353"/>
    <w:rsid w:val="004F2E4E"/>
    <w:rsid w:val="004F7F16"/>
    <w:rsid w:val="005113C0"/>
    <w:rsid w:val="005233AA"/>
    <w:rsid w:val="005308EC"/>
    <w:rsid w:val="00552B6C"/>
    <w:rsid w:val="005563DC"/>
    <w:rsid w:val="00561B68"/>
    <w:rsid w:val="005700AD"/>
    <w:rsid w:val="0057088B"/>
    <w:rsid w:val="00580373"/>
    <w:rsid w:val="00592CE2"/>
    <w:rsid w:val="005974CD"/>
    <w:rsid w:val="005A18EB"/>
    <w:rsid w:val="005A26A2"/>
    <w:rsid w:val="005B0DCC"/>
    <w:rsid w:val="005B5C0E"/>
    <w:rsid w:val="005D2765"/>
    <w:rsid w:val="005E0B77"/>
    <w:rsid w:val="005E5040"/>
    <w:rsid w:val="005F0487"/>
    <w:rsid w:val="005F1563"/>
    <w:rsid w:val="005F2C01"/>
    <w:rsid w:val="005F47CF"/>
    <w:rsid w:val="005F5251"/>
    <w:rsid w:val="00602E06"/>
    <w:rsid w:val="0061343D"/>
    <w:rsid w:val="0061736C"/>
    <w:rsid w:val="0063071C"/>
    <w:rsid w:val="00636069"/>
    <w:rsid w:val="006465C5"/>
    <w:rsid w:val="00651470"/>
    <w:rsid w:val="00653E1D"/>
    <w:rsid w:val="0065589C"/>
    <w:rsid w:val="00692A5F"/>
    <w:rsid w:val="00694CD7"/>
    <w:rsid w:val="00697121"/>
    <w:rsid w:val="006A4EF9"/>
    <w:rsid w:val="006B67BF"/>
    <w:rsid w:val="006C1D45"/>
    <w:rsid w:val="006C632B"/>
    <w:rsid w:val="006E179F"/>
    <w:rsid w:val="006E55F6"/>
    <w:rsid w:val="006F4E0B"/>
    <w:rsid w:val="00700A97"/>
    <w:rsid w:val="00703B24"/>
    <w:rsid w:val="00716ACA"/>
    <w:rsid w:val="00722995"/>
    <w:rsid w:val="007421EA"/>
    <w:rsid w:val="00747D83"/>
    <w:rsid w:val="007528C1"/>
    <w:rsid w:val="00757E7F"/>
    <w:rsid w:val="007604E2"/>
    <w:rsid w:val="00762A81"/>
    <w:rsid w:val="007633B1"/>
    <w:rsid w:val="00776C1E"/>
    <w:rsid w:val="007902DB"/>
    <w:rsid w:val="007A0B70"/>
    <w:rsid w:val="007A1F0C"/>
    <w:rsid w:val="007A2C86"/>
    <w:rsid w:val="007A42D3"/>
    <w:rsid w:val="007A5EE2"/>
    <w:rsid w:val="007C2BF0"/>
    <w:rsid w:val="007C395F"/>
    <w:rsid w:val="007E5624"/>
    <w:rsid w:val="00805DC3"/>
    <w:rsid w:val="00805E48"/>
    <w:rsid w:val="00815324"/>
    <w:rsid w:val="00835831"/>
    <w:rsid w:val="00836E35"/>
    <w:rsid w:val="0084275A"/>
    <w:rsid w:val="00843180"/>
    <w:rsid w:val="008569A9"/>
    <w:rsid w:val="00866BAC"/>
    <w:rsid w:val="008704ED"/>
    <w:rsid w:val="008763AA"/>
    <w:rsid w:val="00882B27"/>
    <w:rsid w:val="00883476"/>
    <w:rsid w:val="00886AEB"/>
    <w:rsid w:val="00897F1B"/>
    <w:rsid w:val="008A14DF"/>
    <w:rsid w:val="008B5056"/>
    <w:rsid w:val="008B7B89"/>
    <w:rsid w:val="008C0F68"/>
    <w:rsid w:val="008D7A12"/>
    <w:rsid w:val="008F590F"/>
    <w:rsid w:val="00902311"/>
    <w:rsid w:val="009167C7"/>
    <w:rsid w:val="009213CA"/>
    <w:rsid w:val="00932A62"/>
    <w:rsid w:val="00935FBE"/>
    <w:rsid w:val="009445A2"/>
    <w:rsid w:val="00945B39"/>
    <w:rsid w:val="00946781"/>
    <w:rsid w:val="009578DF"/>
    <w:rsid w:val="00961A04"/>
    <w:rsid w:val="0097669C"/>
    <w:rsid w:val="00984FF2"/>
    <w:rsid w:val="00991293"/>
    <w:rsid w:val="00996D26"/>
    <w:rsid w:val="009A7749"/>
    <w:rsid w:val="009C4498"/>
    <w:rsid w:val="009D7C91"/>
    <w:rsid w:val="009F36B2"/>
    <w:rsid w:val="009F4773"/>
    <w:rsid w:val="009F4E05"/>
    <w:rsid w:val="00A06606"/>
    <w:rsid w:val="00A14B0A"/>
    <w:rsid w:val="00A174E2"/>
    <w:rsid w:val="00A25D55"/>
    <w:rsid w:val="00A27318"/>
    <w:rsid w:val="00A53AB0"/>
    <w:rsid w:val="00A5650E"/>
    <w:rsid w:val="00A72BBB"/>
    <w:rsid w:val="00A77135"/>
    <w:rsid w:val="00A84B9B"/>
    <w:rsid w:val="00A91095"/>
    <w:rsid w:val="00A925CA"/>
    <w:rsid w:val="00AA2241"/>
    <w:rsid w:val="00AB0A32"/>
    <w:rsid w:val="00AB0DBB"/>
    <w:rsid w:val="00AC01C7"/>
    <w:rsid w:val="00AC0693"/>
    <w:rsid w:val="00AC49CB"/>
    <w:rsid w:val="00B21E2C"/>
    <w:rsid w:val="00B3139E"/>
    <w:rsid w:val="00B31D43"/>
    <w:rsid w:val="00B34959"/>
    <w:rsid w:val="00B35331"/>
    <w:rsid w:val="00B534B3"/>
    <w:rsid w:val="00B56117"/>
    <w:rsid w:val="00B637EE"/>
    <w:rsid w:val="00B66F47"/>
    <w:rsid w:val="00B72E1C"/>
    <w:rsid w:val="00B754F1"/>
    <w:rsid w:val="00B77E8F"/>
    <w:rsid w:val="00B80017"/>
    <w:rsid w:val="00B93B2B"/>
    <w:rsid w:val="00BA5B10"/>
    <w:rsid w:val="00BB02B8"/>
    <w:rsid w:val="00BB51D7"/>
    <w:rsid w:val="00BB5A9E"/>
    <w:rsid w:val="00BB6098"/>
    <w:rsid w:val="00BD6F79"/>
    <w:rsid w:val="00BE3042"/>
    <w:rsid w:val="00C00E9B"/>
    <w:rsid w:val="00C05CFA"/>
    <w:rsid w:val="00C12E1D"/>
    <w:rsid w:val="00C161DE"/>
    <w:rsid w:val="00C20909"/>
    <w:rsid w:val="00C24BC9"/>
    <w:rsid w:val="00C279D2"/>
    <w:rsid w:val="00C560BC"/>
    <w:rsid w:val="00C56121"/>
    <w:rsid w:val="00C612B2"/>
    <w:rsid w:val="00C71A25"/>
    <w:rsid w:val="00C74BD2"/>
    <w:rsid w:val="00C757FD"/>
    <w:rsid w:val="00CA1B34"/>
    <w:rsid w:val="00CB44BC"/>
    <w:rsid w:val="00CC02E4"/>
    <w:rsid w:val="00CD3116"/>
    <w:rsid w:val="00CD433C"/>
    <w:rsid w:val="00CE0D5B"/>
    <w:rsid w:val="00D12BEE"/>
    <w:rsid w:val="00D25587"/>
    <w:rsid w:val="00D2663B"/>
    <w:rsid w:val="00D414D1"/>
    <w:rsid w:val="00D455D6"/>
    <w:rsid w:val="00D4719C"/>
    <w:rsid w:val="00D54730"/>
    <w:rsid w:val="00D55AA4"/>
    <w:rsid w:val="00D55EDA"/>
    <w:rsid w:val="00D57103"/>
    <w:rsid w:val="00D811B9"/>
    <w:rsid w:val="00D85A32"/>
    <w:rsid w:val="00D9598F"/>
    <w:rsid w:val="00DA0D79"/>
    <w:rsid w:val="00DA63F7"/>
    <w:rsid w:val="00DA7FD1"/>
    <w:rsid w:val="00DB21C6"/>
    <w:rsid w:val="00DB3765"/>
    <w:rsid w:val="00DB471B"/>
    <w:rsid w:val="00DD189A"/>
    <w:rsid w:val="00E01666"/>
    <w:rsid w:val="00E046E8"/>
    <w:rsid w:val="00E141BF"/>
    <w:rsid w:val="00E54056"/>
    <w:rsid w:val="00E75E01"/>
    <w:rsid w:val="00E7748E"/>
    <w:rsid w:val="00E80171"/>
    <w:rsid w:val="00E84BE7"/>
    <w:rsid w:val="00E94951"/>
    <w:rsid w:val="00EC1407"/>
    <w:rsid w:val="00EE0734"/>
    <w:rsid w:val="00EE0B94"/>
    <w:rsid w:val="00EF173E"/>
    <w:rsid w:val="00EF43EC"/>
    <w:rsid w:val="00EF456F"/>
    <w:rsid w:val="00F0359C"/>
    <w:rsid w:val="00F048EE"/>
    <w:rsid w:val="00F1299E"/>
    <w:rsid w:val="00F131D9"/>
    <w:rsid w:val="00F25FD8"/>
    <w:rsid w:val="00F3036C"/>
    <w:rsid w:val="00F31C47"/>
    <w:rsid w:val="00F3428B"/>
    <w:rsid w:val="00F34667"/>
    <w:rsid w:val="00F5244E"/>
    <w:rsid w:val="00F52E38"/>
    <w:rsid w:val="00F5542A"/>
    <w:rsid w:val="00F659EE"/>
    <w:rsid w:val="00F83F1D"/>
    <w:rsid w:val="00FA4E23"/>
    <w:rsid w:val="00FA7B77"/>
    <w:rsid w:val="00FB385A"/>
    <w:rsid w:val="00FB75BF"/>
    <w:rsid w:val="00FC4641"/>
    <w:rsid w:val="00FD3F1C"/>
    <w:rsid w:val="00FD43E1"/>
    <w:rsid w:val="00FD44E8"/>
    <w:rsid w:val="00FF0C82"/>
    <w:rsid w:val="00FF4770"/>
    <w:rsid w:val="00FF4FF6"/>
    <w:rsid w:val="00FF5F73"/>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DD311"/>
  <w15:chartTrackingRefBased/>
  <w15:docId w15:val="{F193EBDE-1280-48D6-B542-05D5EE41C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9CB"/>
    <w:pPr>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styleId="Heading1">
    <w:name w:val="heading 1"/>
    <w:basedOn w:val="Normal"/>
    <w:next w:val="Normal"/>
    <w:link w:val="Heading1Char"/>
    <w:qFormat/>
    <w:rsid w:val="00AC49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
    <w:next w:val="BodyText"/>
    <w:link w:val="Heading2Char"/>
    <w:qFormat/>
    <w:rsid w:val="00AC49CB"/>
    <w:pPr>
      <w:outlineLvl w:val="1"/>
    </w:pPr>
    <w:rPr>
      <w:rFonts w:ascii="Tinos" w:eastAsia="Droid Sans Fallback" w:hAnsi="Tinos" w:cs="DejaVu Sans"/>
      <w:b/>
      <w:bCs/>
      <w:sz w:val="36"/>
      <w:szCs w:val="36"/>
    </w:rPr>
  </w:style>
  <w:style w:type="paragraph" w:styleId="Heading3">
    <w:name w:val="heading 3"/>
    <w:basedOn w:val="Normal"/>
    <w:next w:val="Normal"/>
    <w:link w:val="Heading3Char"/>
    <w:unhideWhenUsed/>
    <w:qFormat/>
    <w:rsid w:val="00AC49C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rsid w:val="00AC49CB"/>
    <w:pPr>
      <w:keepNext/>
      <w:keepLines/>
      <w:spacing w:before="240" w:after="40"/>
      <w:outlineLvl w:val="3"/>
    </w:pPr>
    <w:rPr>
      <w:b/>
    </w:rPr>
  </w:style>
  <w:style w:type="paragraph" w:styleId="Heading5">
    <w:name w:val="heading 5"/>
    <w:basedOn w:val="Normal"/>
    <w:next w:val="Normal"/>
    <w:link w:val="Heading5Char"/>
    <w:rsid w:val="00AC49CB"/>
    <w:pPr>
      <w:keepNext/>
      <w:keepLines/>
      <w:spacing w:before="220" w:after="40"/>
      <w:outlineLvl w:val="4"/>
    </w:pPr>
    <w:rPr>
      <w:b/>
      <w:sz w:val="22"/>
      <w:szCs w:val="22"/>
    </w:rPr>
  </w:style>
  <w:style w:type="paragraph" w:styleId="Heading6">
    <w:name w:val="heading 6"/>
    <w:basedOn w:val="Normal"/>
    <w:next w:val="Normal"/>
    <w:link w:val="Heading6Char"/>
    <w:rsid w:val="00AC49C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49CB"/>
    <w:rPr>
      <w:rFonts w:asciiTheme="majorHAnsi" w:eastAsiaTheme="majorEastAsia" w:hAnsiTheme="majorHAnsi" w:cstheme="majorBidi"/>
      <w:color w:val="2E74B5" w:themeColor="accent1" w:themeShade="BF"/>
      <w:kern w:val="1"/>
      <w:sz w:val="32"/>
      <w:szCs w:val="32"/>
      <w:lang w:eastAsia="zh-CN"/>
    </w:rPr>
  </w:style>
  <w:style w:type="paragraph" w:customStyle="1" w:styleId="Heading">
    <w:name w:val="Heading"/>
    <w:basedOn w:val="Normal"/>
    <w:next w:val="BodyText"/>
    <w:rsid w:val="00AC49CB"/>
    <w:pPr>
      <w:keepNext/>
      <w:spacing w:before="240" w:after="120"/>
    </w:pPr>
    <w:rPr>
      <w:rFonts w:ascii="Liberation Sans" w:eastAsia="WenQuanYi Micro Hei" w:hAnsi="Liberation Sans" w:cs="Lohit Hindi"/>
      <w:sz w:val="28"/>
      <w:szCs w:val="28"/>
    </w:rPr>
  </w:style>
  <w:style w:type="paragraph" w:styleId="BodyText">
    <w:name w:val="Body Text"/>
    <w:basedOn w:val="Normal"/>
    <w:link w:val="BodyTextChar"/>
    <w:rsid w:val="00AC49CB"/>
    <w:pPr>
      <w:spacing w:after="120"/>
    </w:pPr>
  </w:style>
  <w:style w:type="character" w:customStyle="1" w:styleId="BodyTextChar">
    <w:name w:val="Body Text Char"/>
    <w:basedOn w:val="DefaultParagraphFont"/>
    <w:link w:val="BodyText"/>
    <w:rsid w:val="00AC49CB"/>
    <w:rPr>
      <w:rFonts w:ascii="Times New Roman" w:eastAsia="Times New Roman" w:hAnsi="Times New Roman" w:cs="Times New Roman"/>
      <w:kern w:val="1"/>
      <w:sz w:val="24"/>
      <w:szCs w:val="24"/>
      <w:lang w:eastAsia="zh-CN"/>
    </w:rPr>
  </w:style>
  <w:style w:type="character" w:customStyle="1" w:styleId="Heading2Char">
    <w:name w:val="Heading 2 Char"/>
    <w:basedOn w:val="DefaultParagraphFont"/>
    <w:link w:val="Heading2"/>
    <w:rsid w:val="00AC49CB"/>
    <w:rPr>
      <w:rFonts w:ascii="Tinos" w:eastAsia="Droid Sans Fallback" w:hAnsi="Tinos" w:cs="DejaVu Sans"/>
      <w:b/>
      <w:bCs/>
      <w:kern w:val="1"/>
      <w:sz w:val="36"/>
      <w:szCs w:val="36"/>
      <w:lang w:eastAsia="zh-CN"/>
    </w:rPr>
  </w:style>
  <w:style w:type="character" w:customStyle="1" w:styleId="Heading3Char">
    <w:name w:val="Heading 3 Char"/>
    <w:basedOn w:val="DefaultParagraphFont"/>
    <w:link w:val="Heading3"/>
    <w:rsid w:val="00AC49CB"/>
    <w:rPr>
      <w:rFonts w:asciiTheme="majorHAnsi" w:eastAsiaTheme="majorEastAsia" w:hAnsiTheme="majorHAnsi" w:cstheme="majorBidi"/>
      <w:color w:val="1F4D78" w:themeColor="accent1" w:themeShade="7F"/>
      <w:kern w:val="1"/>
      <w:sz w:val="24"/>
      <w:szCs w:val="24"/>
      <w:lang w:eastAsia="zh-CN"/>
    </w:rPr>
  </w:style>
  <w:style w:type="character" w:customStyle="1" w:styleId="Heading4Char">
    <w:name w:val="Heading 4 Char"/>
    <w:basedOn w:val="DefaultParagraphFont"/>
    <w:link w:val="Heading4"/>
    <w:rsid w:val="00AC49CB"/>
    <w:rPr>
      <w:rFonts w:ascii="Times New Roman" w:eastAsia="Times New Roman" w:hAnsi="Times New Roman" w:cs="Times New Roman"/>
      <w:b/>
      <w:kern w:val="1"/>
      <w:sz w:val="24"/>
      <w:szCs w:val="24"/>
      <w:lang w:eastAsia="zh-CN"/>
    </w:rPr>
  </w:style>
  <w:style w:type="character" w:customStyle="1" w:styleId="Heading5Char">
    <w:name w:val="Heading 5 Char"/>
    <w:basedOn w:val="DefaultParagraphFont"/>
    <w:link w:val="Heading5"/>
    <w:rsid w:val="00AC49CB"/>
    <w:rPr>
      <w:rFonts w:ascii="Times New Roman" w:eastAsia="Times New Roman" w:hAnsi="Times New Roman" w:cs="Times New Roman"/>
      <w:b/>
      <w:kern w:val="1"/>
      <w:lang w:eastAsia="zh-CN"/>
    </w:rPr>
  </w:style>
  <w:style w:type="character" w:customStyle="1" w:styleId="Heading6Char">
    <w:name w:val="Heading 6 Char"/>
    <w:basedOn w:val="DefaultParagraphFont"/>
    <w:link w:val="Heading6"/>
    <w:rsid w:val="00AC49CB"/>
    <w:rPr>
      <w:rFonts w:ascii="Times New Roman" w:eastAsia="Times New Roman" w:hAnsi="Times New Roman" w:cs="Times New Roman"/>
      <w:b/>
      <w:kern w:val="1"/>
      <w:sz w:val="20"/>
      <w:szCs w:val="20"/>
      <w:lang w:eastAsia="zh-CN"/>
    </w:rPr>
  </w:style>
  <w:style w:type="paragraph" w:styleId="Title">
    <w:name w:val="Title"/>
    <w:basedOn w:val="Normal"/>
    <w:next w:val="Normal"/>
    <w:link w:val="TitleChar"/>
    <w:rsid w:val="00AC49CB"/>
    <w:pPr>
      <w:keepNext/>
      <w:keepLines/>
      <w:spacing w:before="480" w:after="120"/>
    </w:pPr>
    <w:rPr>
      <w:b/>
      <w:sz w:val="72"/>
      <w:szCs w:val="72"/>
    </w:rPr>
  </w:style>
  <w:style w:type="character" w:customStyle="1" w:styleId="TitleChar">
    <w:name w:val="Title Char"/>
    <w:basedOn w:val="DefaultParagraphFont"/>
    <w:link w:val="Title"/>
    <w:rsid w:val="00AC49CB"/>
    <w:rPr>
      <w:rFonts w:ascii="Times New Roman" w:eastAsia="Times New Roman" w:hAnsi="Times New Roman" w:cs="Times New Roman"/>
      <w:b/>
      <w:kern w:val="1"/>
      <w:sz w:val="72"/>
      <w:szCs w:val="72"/>
      <w:lang w:eastAsia="zh-CN"/>
    </w:rPr>
  </w:style>
  <w:style w:type="character" w:customStyle="1" w:styleId="Absatz-Standardschriftart1">
    <w:name w:val="Absatz-Standardschriftart1"/>
    <w:rsid w:val="00AC49CB"/>
  </w:style>
  <w:style w:type="character" w:customStyle="1" w:styleId="WW-Absatz-Standardschriftart">
    <w:name w:val="WW-Absatz-Standardschriftart"/>
    <w:rsid w:val="00AC49CB"/>
  </w:style>
  <w:style w:type="character" w:customStyle="1" w:styleId="WW8Num1z0">
    <w:name w:val="WW8Num1z0"/>
    <w:rsid w:val="00AC49CB"/>
    <w:rPr>
      <w:rFonts w:ascii="Symbol" w:hAnsi="Symbol" w:cs="Symbol"/>
    </w:rPr>
  </w:style>
  <w:style w:type="character" w:styleId="CommentReference">
    <w:name w:val="annotation reference"/>
    <w:basedOn w:val="DefaultParagraphFont"/>
    <w:uiPriority w:val="99"/>
    <w:rsid w:val="00AC49CB"/>
    <w:rPr>
      <w:sz w:val="16"/>
      <w:szCs w:val="16"/>
    </w:rPr>
  </w:style>
  <w:style w:type="character" w:styleId="PageNumber">
    <w:name w:val="page number"/>
    <w:basedOn w:val="DefaultParagraphFont"/>
    <w:rsid w:val="00AC49CB"/>
  </w:style>
  <w:style w:type="character" w:customStyle="1" w:styleId="WW8Num3z3">
    <w:name w:val="WW8Num3z3"/>
    <w:rsid w:val="00AC49CB"/>
    <w:rPr>
      <w:rFonts w:ascii="Times New Roman" w:hAnsi="Times New Roman" w:cs="Times New Roman"/>
      <w:b w:val="0"/>
      <w:i w:val="0"/>
      <w:sz w:val="24"/>
      <w:szCs w:val="24"/>
    </w:rPr>
  </w:style>
  <w:style w:type="character" w:customStyle="1" w:styleId="NumberingSymbols">
    <w:name w:val="Numbering Symbols"/>
    <w:rsid w:val="00AC49CB"/>
    <w:rPr>
      <w:b/>
      <w:bCs/>
    </w:rPr>
  </w:style>
  <w:style w:type="character" w:customStyle="1" w:styleId="WW8Num8z1">
    <w:name w:val="WW8Num8z1"/>
    <w:rsid w:val="00AC49CB"/>
    <w:rPr>
      <w:b/>
    </w:rPr>
  </w:style>
  <w:style w:type="character" w:customStyle="1" w:styleId="WW8Num21z0">
    <w:name w:val="WW8Num21z0"/>
    <w:rsid w:val="00AC49CB"/>
    <w:rPr>
      <w:rFonts w:ascii="Times New Roman" w:hAnsi="Times New Roman" w:cs="Times New Roman"/>
    </w:rPr>
  </w:style>
  <w:style w:type="character" w:styleId="Hyperlink">
    <w:name w:val="Hyperlink"/>
    <w:basedOn w:val="DefaultParagraphFont"/>
    <w:rsid w:val="00AC49CB"/>
    <w:rPr>
      <w:color w:val="0000FF"/>
      <w:u w:val="single"/>
    </w:rPr>
  </w:style>
  <w:style w:type="character" w:styleId="Emphasis">
    <w:name w:val="Emphasis"/>
    <w:uiPriority w:val="20"/>
    <w:qFormat/>
    <w:rsid w:val="00AC49CB"/>
    <w:rPr>
      <w:i/>
      <w:iCs/>
    </w:rPr>
  </w:style>
  <w:style w:type="character" w:customStyle="1" w:styleId="WWCharLFO4LVL2">
    <w:name w:val="WW_CharLFO4LVL2"/>
    <w:rsid w:val="00AC49CB"/>
    <w:rPr>
      <w:b/>
    </w:rPr>
  </w:style>
  <w:style w:type="character" w:customStyle="1" w:styleId="WWCharLFO4LVL3">
    <w:name w:val="WW_CharLFO4LVL3"/>
    <w:rsid w:val="00AC49CB"/>
    <w:rPr>
      <w:b/>
    </w:rPr>
  </w:style>
  <w:style w:type="character" w:customStyle="1" w:styleId="WWCharLFO5LVL1">
    <w:name w:val="WW_CharLFO5LVL1"/>
    <w:rsid w:val="00AC49CB"/>
    <w:rPr>
      <w:rFonts w:ascii="Times New Roman" w:hAnsi="Times New Roman" w:cs="Times New Roman"/>
    </w:rPr>
  </w:style>
  <w:style w:type="character" w:customStyle="1" w:styleId="WWCharLFO15LVL1">
    <w:name w:val="WW_CharLFO15LVL1"/>
    <w:rsid w:val="00AC49CB"/>
    <w:rPr>
      <w:b/>
      <w:bCs/>
    </w:rPr>
  </w:style>
  <w:style w:type="character" w:customStyle="1" w:styleId="WWCharLFO15LVL2">
    <w:name w:val="WW_CharLFO15LVL2"/>
    <w:rsid w:val="00AC49CB"/>
    <w:rPr>
      <w:b/>
      <w:bCs/>
    </w:rPr>
  </w:style>
  <w:style w:type="character" w:customStyle="1" w:styleId="WWCharLFO24LVL1">
    <w:name w:val="WW_CharLFO24LVL1"/>
    <w:rsid w:val="00AC49CB"/>
    <w:rPr>
      <w:b/>
      <w:bCs/>
    </w:rPr>
  </w:style>
  <w:style w:type="character" w:customStyle="1" w:styleId="Bullets">
    <w:name w:val="Bullets"/>
    <w:rsid w:val="00AC49CB"/>
    <w:rPr>
      <w:rFonts w:ascii="OpenSymbol" w:eastAsia="OpenSymbol" w:hAnsi="OpenSymbol" w:cs="OpenSymbol"/>
    </w:rPr>
  </w:style>
  <w:style w:type="paragraph" w:customStyle="1" w:styleId="LO-Normal">
    <w:name w:val="LO-Normal"/>
    <w:rsid w:val="00AC49CB"/>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Times New Roman" w:eastAsia="Times New Roman" w:hAnsi="Times New Roman" w:cs="Times New Roman"/>
      <w:color w:val="000000"/>
      <w:kern w:val="1"/>
      <w:sz w:val="24"/>
      <w:szCs w:val="20"/>
      <w:lang w:eastAsia="zh-CN"/>
    </w:rPr>
  </w:style>
  <w:style w:type="paragraph" w:styleId="List">
    <w:name w:val="List"/>
    <w:basedOn w:val="BodyText"/>
    <w:rsid w:val="00AC49CB"/>
    <w:rPr>
      <w:rFonts w:cs="Lohit Hindi"/>
    </w:rPr>
  </w:style>
  <w:style w:type="paragraph" w:styleId="Caption">
    <w:name w:val="caption"/>
    <w:basedOn w:val="Normal"/>
    <w:qFormat/>
    <w:rsid w:val="00AC49CB"/>
    <w:pPr>
      <w:suppressLineNumbers/>
      <w:spacing w:before="120" w:after="120"/>
    </w:pPr>
    <w:rPr>
      <w:rFonts w:cs="Lohit Hindi"/>
      <w:i/>
      <w:iCs/>
    </w:rPr>
  </w:style>
  <w:style w:type="paragraph" w:customStyle="1" w:styleId="Index">
    <w:name w:val="Index"/>
    <w:basedOn w:val="Normal"/>
    <w:rsid w:val="00AC49CB"/>
    <w:pPr>
      <w:suppressLineNumbers/>
    </w:pPr>
    <w:rPr>
      <w:rFonts w:cs="Lohit Hindi"/>
    </w:rPr>
  </w:style>
  <w:style w:type="paragraph" w:styleId="CommentText">
    <w:name w:val="annotation text"/>
    <w:basedOn w:val="Normal"/>
    <w:link w:val="CommentTextChar"/>
    <w:uiPriority w:val="99"/>
    <w:rsid w:val="00AC49CB"/>
    <w:rPr>
      <w:sz w:val="20"/>
      <w:szCs w:val="20"/>
    </w:rPr>
  </w:style>
  <w:style w:type="character" w:customStyle="1" w:styleId="CommentTextChar">
    <w:name w:val="Comment Text Char"/>
    <w:basedOn w:val="DefaultParagraphFont"/>
    <w:link w:val="CommentText"/>
    <w:uiPriority w:val="99"/>
    <w:rsid w:val="00AC49CB"/>
    <w:rPr>
      <w:rFonts w:ascii="Times New Roman" w:eastAsia="Times New Roman" w:hAnsi="Times New Roman" w:cs="Times New Roman"/>
      <w:kern w:val="1"/>
      <w:sz w:val="20"/>
      <w:szCs w:val="20"/>
      <w:lang w:eastAsia="zh-CN"/>
    </w:rPr>
  </w:style>
  <w:style w:type="paragraph" w:styleId="CommentSubject">
    <w:name w:val="annotation subject"/>
    <w:basedOn w:val="CommentText"/>
    <w:next w:val="CommentText"/>
    <w:link w:val="CommentSubjectChar"/>
    <w:uiPriority w:val="99"/>
    <w:rsid w:val="00AC49CB"/>
    <w:rPr>
      <w:b/>
      <w:bCs/>
    </w:rPr>
  </w:style>
  <w:style w:type="character" w:customStyle="1" w:styleId="CommentSubjectChar">
    <w:name w:val="Comment Subject Char"/>
    <w:basedOn w:val="CommentTextChar"/>
    <w:link w:val="CommentSubject"/>
    <w:uiPriority w:val="99"/>
    <w:rsid w:val="00AC49CB"/>
    <w:rPr>
      <w:rFonts w:ascii="Times New Roman" w:eastAsia="Times New Roman" w:hAnsi="Times New Roman" w:cs="Times New Roman"/>
      <w:b/>
      <w:bCs/>
      <w:kern w:val="1"/>
      <w:sz w:val="20"/>
      <w:szCs w:val="20"/>
      <w:lang w:eastAsia="zh-CN"/>
    </w:rPr>
  </w:style>
  <w:style w:type="paragraph" w:styleId="BalloonText">
    <w:name w:val="Balloon Text"/>
    <w:basedOn w:val="Normal"/>
    <w:link w:val="BalloonTextChar"/>
    <w:uiPriority w:val="99"/>
    <w:rsid w:val="00AC49CB"/>
    <w:rPr>
      <w:rFonts w:ascii="Tahoma" w:hAnsi="Tahoma" w:cs="Tahoma"/>
      <w:sz w:val="16"/>
      <w:szCs w:val="16"/>
    </w:rPr>
  </w:style>
  <w:style w:type="character" w:customStyle="1" w:styleId="BalloonTextChar">
    <w:name w:val="Balloon Text Char"/>
    <w:basedOn w:val="DefaultParagraphFont"/>
    <w:link w:val="BalloonText"/>
    <w:uiPriority w:val="99"/>
    <w:rsid w:val="00AC49CB"/>
    <w:rPr>
      <w:rFonts w:ascii="Tahoma" w:eastAsia="Times New Roman" w:hAnsi="Tahoma" w:cs="Tahoma"/>
      <w:kern w:val="1"/>
      <w:sz w:val="16"/>
      <w:szCs w:val="16"/>
      <w:lang w:eastAsia="zh-CN"/>
    </w:rPr>
  </w:style>
  <w:style w:type="paragraph" w:styleId="NormalWeb">
    <w:name w:val="Normal (Web)"/>
    <w:basedOn w:val="Normal"/>
    <w:uiPriority w:val="99"/>
    <w:rsid w:val="00AC49CB"/>
    <w:pPr>
      <w:spacing w:before="280" w:after="115"/>
    </w:pPr>
  </w:style>
  <w:style w:type="paragraph" w:styleId="Header">
    <w:name w:val="header"/>
    <w:basedOn w:val="Normal"/>
    <w:link w:val="HeaderChar"/>
    <w:uiPriority w:val="99"/>
    <w:rsid w:val="00AC49CB"/>
    <w:pPr>
      <w:tabs>
        <w:tab w:val="center" w:pos="4320"/>
        <w:tab w:val="right" w:pos="8640"/>
      </w:tabs>
    </w:pPr>
  </w:style>
  <w:style w:type="character" w:customStyle="1" w:styleId="HeaderChar">
    <w:name w:val="Header Char"/>
    <w:basedOn w:val="DefaultParagraphFont"/>
    <w:link w:val="Header"/>
    <w:uiPriority w:val="99"/>
    <w:rsid w:val="00AC49CB"/>
    <w:rPr>
      <w:rFonts w:ascii="Times New Roman" w:eastAsia="Times New Roman" w:hAnsi="Times New Roman" w:cs="Times New Roman"/>
      <w:kern w:val="1"/>
      <w:sz w:val="24"/>
      <w:szCs w:val="24"/>
      <w:lang w:eastAsia="zh-CN"/>
    </w:rPr>
  </w:style>
  <w:style w:type="paragraph" w:styleId="Footer">
    <w:name w:val="footer"/>
    <w:basedOn w:val="Normal"/>
    <w:link w:val="FooterChar"/>
    <w:uiPriority w:val="99"/>
    <w:rsid w:val="00AC49CB"/>
    <w:pPr>
      <w:tabs>
        <w:tab w:val="center" w:pos="4320"/>
        <w:tab w:val="right" w:pos="8640"/>
      </w:tabs>
    </w:pPr>
  </w:style>
  <w:style w:type="character" w:customStyle="1" w:styleId="FooterChar">
    <w:name w:val="Footer Char"/>
    <w:basedOn w:val="DefaultParagraphFont"/>
    <w:link w:val="Footer"/>
    <w:uiPriority w:val="99"/>
    <w:rsid w:val="00AC49CB"/>
    <w:rPr>
      <w:rFonts w:ascii="Times New Roman" w:eastAsia="Times New Roman" w:hAnsi="Times New Roman" w:cs="Times New Roman"/>
      <w:kern w:val="1"/>
      <w:sz w:val="24"/>
      <w:szCs w:val="24"/>
      <w:lang w:eastAsia="zh-CN"/>
    </w:rPr>
  </w:style>
  <w:style w:type="paragraph" w:customStyle="1" w:styleId="WW-Default">
    <w:name w:val="WW-Default"/>
    <w:rsid w:val="00AC49CB"/>
    <w:pPr>
      <w:pBdr>
        <w:top w:val="none" w:sz="0" w:space="0" w:color="000000"/>
        <w:left w:val="none" w:sz="0" w:space="0" w:color="000000"/>
        <w:bottom w:val="none" w:sz="0" w:space="0" w:color="000000"/>
        <w:right w:val="none" w:sz="0"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autoSpaceDE w:val="0"/>
      <w:spacing w:after="0" w:line="216" w:lineRule="auto"/>
      <w:textAlignment w:val="baseline"/>
    </w:pPr>
    <w:rPr>
      <w:rFonts w:ascii="Lucida Sans Unicode" w:eastAsia="Arial" w:hAnsi="Lucida Sans Unicode" w:cs="Lucida Sans Unicode"/>
      <w:color w:val="000000"/>
      <w:kern w:val="1"/>
      <w:sz w:val="36"/>
      <w:szCs w:val="36"/>
      <w:lang w:eastAsia="zh-CN"/>
    </w:rPr>
  </w:style>
  <w:style w:type="paragraph" w:customStyle="1" w:styleId="TableContents">
    <w:name w:val="Table Contents"/>
    <w:basedOn w:val="Normal"/>
    <w:rsid w:val="00AC49CB"/>
    <w:pPr>
      <w:suppressLineNumbers/>
    </w:pPr>
  </w:style>
  <w:style w:type="paragraph" w:customStyle="1" w:styleId="TableHeading">
    <w:name w:val="Table Heading"/>
    <w:basedOn w:val="TableContents"/>
    <w:rsid w:val="00AC49CB"/>
    <w:pPr>
      <w:jc w:val="center"/>
    </w:pPr>
    <w:rPr>
      <w:b/>
      <w:bCs/>
    </w:rPr>
  </w:style>
  <w:style w:type="paragraph" w:customStyle="1" w:styleId="FrameContents">
    <w:name w:val="Frame Contents"/>
    <w:basedOn w:val="BodyText"/>
    <w:rsid w:val="00AC49CB"/>
  </w:style>
  <w:style w:type="paragraph" w:styleId="ListParagraph">
    <w:name w:val="List Paragraph"/>
    <w:basedOn w:val="Normal"/>
    <w:uiPriority w:val="34"/>
    <w:qFormat/>
    <w:rsid w:val="00AC49CB"/>
    <w:pPr>
      <w:ind w:left="720"/>
      <w:contextualSpacing/>
    </w:pPr>
  </w:style>
  <w:style w:type="table" w:styleId="TableGrid">
    <w:name w:val="Table Grid"/>
    <w:basedOn w:val="TableNormal"/>
    <w:uiPriority w:val="39"/>
    <w:rsid w:val="00AC49CB"/>
    <w:pPr>
      <w:pBdr>
        <w:top w:val="none" w:sz="0" w:space="0" w:color="000000"/>
        <w:left w:val="none" w:sz="0" w:space="0" w:color="000000"/>
        <w:bottom w:val="none" w:sz="0" w:space="0" w:color="000000"/>
        <w:right w:val="none" w:sz="0" w:space="0" w:color="000000"/>
      </w:pBd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AC49CB"/>
    <w:pPr>
      <w:pBdr>
        <w:top w:val="none" w:sz="0" w:space="0" w:color="auto"/>
        <w:left w:val="none" w:sz="0" w:space="0" w:color="auto"/>
        <w:bottom w:val="none" w:sz="0" w:space="0" w:color="auto"/>
        <w:right w:val="none" w:sz="0" w:space="0" w:color="auto"/>
      </w:pBdr>
      <w:suppressAutoHyphens w:val="0"/>
      <w:spacing w:before="100" w:beforeAutospacing="1" w:after="115"/>
      <w:textAlignment w:val="auto"/>
    </w:pPr>
    <w:rPr>
      <w:kern w:val="0"/>
      <w:lang w:eastAsia="en-US"/>
    </w:rPr>
  </w:style>
  <w:style w:type="paragraph" w:styleId="Subtitle">
    <w:name w:val="Subtitle"/>
    <w:basedOn w:val="Normal"/>
    <w:next w:val="Normal"/>
    <w:link w:val="SubtitleChar"/>
    <w:rsid w:val="00AC49C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AC49CB"/>
    <w:rPr>
      <w:rFonts w:ascii="Georgia" w:eastAsia="Georgia" w:hAnsi="Georgia" w:cs="Georgia"/>
      <w:i/>
      <w:color w:val="666666"/>
      <w:kern w:val="1"/>
      <w:sz w:val="48"/>
      <w:szCs w:val="48"/>
      <w:lang w:eastAsia="zh-CN"/>
    </w:rPr>
  </w:style>
  <w:style w:type="character" w:customStyle="1" w:styleId="e24kjd">
    <w:name w:val="e24kjd"/>
    <w:basedOn w:val="DefaultParagraphFont"/>
    <w:rsid w:val="00AC49CB"/>
  </w:style>
  <w:style w:type="paragraph" w:customStyle="1" w:styleId="western1">
    <w:name w:val="western1"/>
    <w:basedOn w:val="Normal"/>
    <w:rsid w:val="00AC49CB"/>
    <w:pPr>
      <w:pBdr>
        <w:top w:val="none" w:sz="0" w:space="0" w:color="auto"/>
        <w:left w:val="none" w:sz="0" w:space="0" w:color="auto"/>
        <w:bottom w:val="none" w:sz="0" w:space="0" w:color="auto"/>
        <w:right w:val="none" w:sz="0" w:space="0" w:color="auto"/>
      </w:pBdr>
      <w:suppressAutoHyphens w:val="0"/>
      <w:spacing w:before="100" w:beforeAutospacing="1"/>
      <w:textAlignment w:val="auto"/>
    </w:pPr>
    <w:rPr>
      <w:color w:val="000000"/>
      <w:kern w:val="0"/>
      <w:lang w:eastAsia="en-US"/>
    </w:rPr>
  </w:style>
  <w:style w:type="paragraph" w:customStyle="1" w:styleId="cjk">
    <w:name w:val="cjk"/>
    <w:basedOn w:val="Normal"/>
    <w:rsid w:val="00AC49CB"/>
    <w:pPr>
      <w:pBdr>
        <w:top w:val="none" w:sz="0" w:space="0" w:color="auto"/>
        <w:left w:val="none" w:sz="0" w:space="0" w:color="auto"/>
        <w:bottom w:val="none" w:sz="0" w:space="0" w:color="auto"/>
        <w:right w:val="none" w:sz="0" w:space="0" w:color="auto"/>
      </w:pBdr>
      <w:suppressAutoHyphens w:val="0"/>
      <w:spacing w:before="100" w:beforeAutospacing="1" w:after="115"/>
      <w:textAlignment w:val="auto"/>
    </w:pPr>
    <w:rPr>
      <w:kern w:val="0"/>
      <w:lang w:eastAsia="en-US"/>
    </w:rPr>
  </w:style>
  <w:style w:type="paragraph" w:customStyle="1" w:styleId="ctl">
    <w:name w:val="ctl"/>
    <w:basedOn w:val="Normal"/>
    <w:rsid w:val="00AC49CB"/>
    <w:pPr>
      <w:pBdr>
        <w:top w:val="none" w:sz="0" w:space="0" w:color="auto"/>
        <w:left w:val="none" w:sz="0" w:space="0" w:color="auto"/>
        <w:bottom w:val="none" w:sz="0" w:space="0" w:color="auto"/>
        <w:right w:val="none" w:sz="0" w:space="0" w:color="auto"/>
      </w:pBdr>
      <w:suppressAutoHyphens w:val="0"/>
      <w:spacing w:before="100" w:beforeAutospacing="1" w:after="115"/>
      <w:textAlignment w:val="auto"/>
    </w:pPr>
    <w:rPr>
      <w:kern w:val="0"/>
      <w:lang w:eastAsia="en-US"/>
    </w:rPr>
  </w:style>
  <w:style w:type="character" w:customStyle="1" w:styleId="acopre">
    <w:name w:val="acopre"/>
    <w:basedOn w:val="DefaultParagraphFont"/>
    <w:rsid w:val="00AC49CB"/>
  </w:style>
  <w:style w:type="character" w:customStyle="1" w:styleId="EndnoteTextChar">
    <w:name w:val="Endnote Text Char"/>
    <w:basedOn w:val="DefaultParagraphFont"/>
    <w:link w:val="EndnoteText"/>
    <w:uiPriority w:val="99"/>
    <w:semiHidden/>
    <w:rsid w:val="00AC49CB"/>
    <w:rPr>
      <w:rFonts w:ascii="Times New Roman" w:eastAsia="Times New Roman" w:hAnsi="Times New Roman" w:cs="Times New Roman"/>
      <w:kern w:val="1"/>
      <w:sz w:val="20"/>
      <w:szCs w:val="20"/>
      <w:lang w:eastAsia="zh-CN"/>
    </w:rPr>
  </w:style>
  <w:style w:type="paragraph" w:styleId="EndnoteText">
    <w:name w:val="endnote text"/>
    <w:basedOn w:val="Normal"/>
    <w:link w:val="EndnoteTextChar"/>
    <w:uiPriority w:val="99"/>
    <w:semiHidden/>
    <w:unhideWhenUsed/>
    <w:rsid w:val="00AC49CB"/>
    <w:rPr>
      <w:sz w:val="20"/>
      <w:szCs w:val="20"/>
    </w:rPr>
  </w:style>
  <w:style w:type="character" w:customStyle="1" w:styleId="hgkelc">
    <w:name w:val="hgkelc"/>
    <w:basedOn w:val="DefaultParagraphFont"/>
    <w:rsid w:val="00AC49CB"/>
  </w:style>
  <w:style w:type="character" w:customStyle="1" w:styleId="linkify">
    <w:name w:val="linkify"/>
    <w:basedOn w:val="DefaultParagraphFont"/>
    <w:rsid w:val="00AC49CB"/>
  </w:style>
  <w:style w:type="paragraph" w:customStyle="1" w:styleId="MDPI41tablecaption">
    <w:name w:val="MDPI_4.1_table_caption"/>
    <w:qFormat/>
    <w:rsid w:val="003A7317"/>
    <w:pPr>
      <w:adjustRightInd w:val="0"/>
      <w:snapToGrid w:val="0"/>
      <w:spacing w:before="240" w:after="120" w:line="228" w:lineRule="auto"/>
      <w:ind w:left="2608"/>
    </w:pPr>
    <w:rPr>
      <w:rFonts w:ascii="Palatino Linotype" w:eastAsia="Times New Roman" w:hAnsi="Palatino Linotype"/>
      <w:color w:val="000000"/>
      <w:sz w:val="18"/>
      <w:lang w:eastAsia="de-DE" w:bidi="en-US"/>
    </w:rPr>
  </w:style>
  <w:style w:type="paragraph" w:customStyle="1" w:styleId="Default">
    <w:name w:val="Default"/>
    <w:rsid w:val="00A174E2"/>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Revision">
    <w:name w:val="Revision"/>
    <w:hidden/>
    <w:uiPriority w:val="99"/>
    <w:semiHidden/>
    <w:rsid w:val="00A25D55"/>
    <w:pPr>
      <w:spacing w:after="0" w:line="240" w:lineRule="auto"/>
    </w:pPr>
    <w:rPr>
      <w:rFonts w:ascii="Times New Roman" w:eastAsia="Times New Roman" w:hAnsi="Times New Roman" w:cs="Times New Roman"/>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656">
      <w:bodyDiv w:val="1"/>
      <w:marLeft w:val="0"/>
      <w:marRight w:val="0"/>
      <w:marTop w:val="0"/>
      <w:marBottom w:val="0"/>
      <w:divBdr>
        <w:top w:val="none" w:sz="0" w:space="0" w:color="auto"/>
        <w:left w:val="none" w:sz="0" w:space="0" w:color="auto"/>
        <w:bottom w:val="none" w:sz="0" w:space="0" w:color="auto"/>
        <w:right w:val="none" w:sz="0" w:space="0" w:color="auto"/>
      </w:divBdr>
    </w:div>
    <w:div w:id="93481007">
      <w:bodyDiv w:val="1"/>
      <w:marLeft w:val="0"/>
      <w:marRight w:val="0"/>
      <w:marTop w:val="0"/>
      <w:marBottom w:val="0"/>
      <w:divBdr>
        <w:top w:val="none" w:sz="0" w:space="0" w:color="auto"/>
        <w:left w:val="none" w:sz="0" w:space="0" w:color="auto"/>
        <w:bottom w:val="none" w:sz="0" w:space="0" w:color="auto"/>
        <w:right w:val="none" w:sz="0" w:space="0" w:color="auto"/>
      </w:divBdr>
    </w:div>
    <w:div w:id="113915445">
      <w:bodyDiv w:val="1"/>
      <w:marLeft w:val="0"/>
      <w:marRight w:val="0"/>
      <w:marTop w:val="0"/>
      <w:marBottom w:val="0"/>
      <w:divBdr>
        <w:top w:val="none" w:sz="0" w:space="0" w:color="auto"/>
        <w:left w:val="none" w:sz="0" w:space="0" w:color="auto"/>
        <w:bottom w:val="none" w:sz="0" w:space="0" w:color="auto"/>
        <w:right w:val="none" w:sz="0" w:space="0" w:color="auto"/>
      </w:divBdr>
    </w:div>
    <w:div w:id="163788547">
      <w:bodyDiv w:val="1"/>
      <w:marLeft w:val="0"/>
      <w:marRight w:val="0"/>
      <w:marTop w:val="0"/>
      <w:marBottom w:val="0"/>
      <w:divBdr>
        <w:top w:val="none" w:sz="0" w:space="0" w:color="auto"/>
        <w:left w:val="none" w:sz="0" w:space="0" w:color="auto"/>
        <w:bottom w:val="none" w:sz="0" w:space="0" w:color="auto"/>
        <w:right w:val="none" w:sz="0" w:space="0" w:color="auto"/>
      </w:divBdr>
    </w:div>
    <w:div w:id="314649103">
      <w:bodyDiv w:val="1"/>
      <w:marLeft w:val="0"/>
      <w:marRight w:val="0"/>
      <w:marTop w:val="0"/>
      <w:marBottom w:val="0"/>
      <w:divBdr>
        <w:top w:val="none" w:sz="0" w:space="0" w:color="auto"/>
        <w:left w:val="none" w:sz="0" w:space="0" w:color="auto"/>
        <w:bottom w:val="none" w:sz="0" w:space="0" w:color="auto"/>
        <w:right w:val="none" w:sz="0" w:space="0" w:color="auto"/>
      </w:divBdr>
    </w:div>
    <w:div w:id="340402117">
      <w:bodyDiv w:val="1"/>
      <w:marLeft w:val="0"/>
      <w:marRight w:val="0"/>
      <w:marTop w:val="0"/>
      <w:marBottom w:val="0"/>
      <w:divBdr>
        <w:top w:val="none" w:sz="0" w:space="0" w:color="auto"/>
        <w:left w:val="none" w:sz="0" w:space="0" w:color="auto"/>
        <w:bottom w:val="none" w:sz="0" w:space="0" w:color="auto"/>
        <w:right w:val="none" w:sz="0" w:space="0" w:color="auto"/>
      </w:divBdr>
    </w:div>
    <w:div w:id="355742560">
      <w:bodyDiv w:val="1"/>
      <w:marLeft w:val="0"/>
      <w:marRight w:val="0"/>
      <w:marTop w:val="0"/>
      <w:marBottom w:val="0"/>
      <w:divBdr>
        <w:top w:val="none" w:sz="0" w:space="0" w:color="auto"/>
        <w:left w:val="none" w:sz="0" w:space="0" w:color="auto"/>
        <w:bottom w:val="none" w:sz="0" w:space="0" w:color="auto"/>
        <w:right w:val="none" w:sz="0" w:space="0" w:color="auto"/>
      </w:divBdr>
    </w:div>
    <w:div w:id="444035052">
      <w:bodyDiv w:val="1"/>
      <w:marLeft w:val="0"/>
      <w:marRight w:val="0"/>
      <w:marTop w:val="0"/>
      <w:marBottom w:val="0"/>
      <w:divBdr>
        <w:top w:val="none" w:sz="0" w:space="0" w:color="auto"/>
        <w:left w:val="none" w:sz="0" w:space="0" w:color="auto"/>
        <w:bottom w:val="none" w:sz="0" w:space="0" w:color="auto"/>
        <w:right w:val="none" w:sz="0" w:space="0" w:color="auto"/>
      </w:divBdr>
    </w:div>
    <w:div w:id="445125419">
      <w:bodyDiv w:val="1"/>
      <w:marLeft w:val="0"/>
      <w:marRight w:val="0"/>
      <w:marTop w:val="0"/>
      <w:marBottom w:val="0"/>
      <w:divBdr>
        <w:top w:val="none" w:sz="0" w:space="0" w:color="auto"/>
        <w:left w:val="none" w:sz="0" w:space="0" w:color="auto"/>
        <w:bottom w:val="none" w:sz="0" w:space="0" w:color="auto"/>
        <w:right w:val="none" w:sz="0" w:space="0" w:color="auto"/>
      </w:divBdr>
    </w:div>
    <w:div w:id="482740953">
      <w:bodyDiv w:val="1"/>
      <w:marLeft w:val="0"/>
      <w:marRight w:val="0"/>
      <w:marTop w:val="0"/>
      <w:marBottom w:val="0"/>
      <w:divBdr>
        <w:top w:val="none" w:sz="0" w:space="0" w:color="auto"/>
        <w:left w:val="none" w:sz="0" w:space="0" w:color="auto"/>
        <w:bottom w:val="none" w:sz="0" w:space="0" w:color="auto"/>
        <w:right w:val="none" w:sz="0" w:space="0" w:color="auto"/>
      </w:divBdr>
    </w:div>
    <w:div w:id="674767187">
      <w:bodyDiv w:val="1"/>
      <w:marLeft w:val="0"/>
      <w:marRight w:val="0"/>
      <w:marTop w:val="0"/>
      <w:marBottom w:val="0"/>
      <w:divBdr>
        <w:top w:val="none" w:sz="0" w:space="0" w:color="auto"/>
        <w:left w:val="none" w:sz="0" w:space="0" w:color="auto"/>
        <w:bottom w:val="none" w:sz="0" w:space="0" w:color="auto"/>
        <w:right w:val="none" w:sz="0" w:space="0" w:color="auto"/>
      </w:divBdr>
    </w:div>
    <w:div w:id="713505434">
      <w:bodyDiv w:val="1"/>
      <w:marLeft w:val="0"/>
      <w:marRight w:val="0"/>
      <w:marTop w:val="0"/>
      <w:marBottom w:val="0"/>
      <w:divBdr>
        <w:top w:val="none" w:sz="0" w:space="0" w:color="auto"/>
        <w:left w:val="none" w:sz="0" w:space="0" w:color="auto"/>
        <w:bottom w:val="none" w:sz="0" w:space="0" w:color="auto"/>
        <w:right w:val="none" w:sz="0" w:space="0" w:color="auto"/>
      </w:divBdr>
    </w:div>
    <w:div w:id="723066085">
      <w:bodyDiv w:val="1"/>
      <w:marLeft w:val="0"/>
      <w:marRight w:val="0"/>
      <w:marTop w:val="0"/>
      <w:marBottom w:val="0"/>
      <w:divBdr>
        <w:top w:val="none" w:sz="0" w:space="0" w:color="auto"/>
        <w:left w:val="none" w:sz="0" w:space="0" w:color="auto"/>
        <w:bottom w:val="none" w:sz="0" w:space="0" w:color="auto"/>
        <w:right w:val="none" w:sz="0" w:space="0" w:color="auto"/>
      </w:divBdr>
    </w:div>
    <w:div w:id="747076145">
      <w:bodyDiv w:val="1"/>
      <w:marLeft w:val="0"/>
      <w:marRight w:val="0"/>
      <w:marTop w:val="0"/>
      <w:marBottom w:val="0"/>
      <w:divBdr>
        <w:top w:val="none" w:sz="0" w:space="0" w:color="auto"/>
        <w:left w:val="none" w:sz="0" w:space="0" w:color="auto"/>
        <w:bottom w:val="none" w:sz="0" w:space="0" w:color="auto"/>
        <w:right w:val="none" w:sz="0" w:space="0" w:color="auto"/>
      </w:divBdr>
    </w:div>
    <w:div w:id="902327508">
      <w:bodyDiv w:val="1"/>
      <w:marLeft w:val="0"/>
      <w:marRight w:val="0"/>
      <w:marTop w:val="0"/>
      <w:marBottom w:val="0"/>
      <w:divBdr>
        <w:top w:val="none" w:sz="0" w:space="0" w:color="auto"/>
        <w:left w:val="none" w:sz="0" w:space="0" w:color="auto"/>
        <w:bottom w:val="none" w:sz="0" w:space="0" w:color="auto"/>
        <w:right w:val="none" w:sz="0" w:space="0" w:color="auto"/>
      </w:divBdr>
    </w:div>
    <w:div w:id="1060056676">
      <w:bodyDiv w:val="1"/>
      <w:marLeft w:val="0"/>
      <w:marRight w:val="0"/>
      <w:marTop w:val="0"/>
      <w:marBottom w:val="0"/>
      <w:divBdr>
        <w:top w:val="none" w:sz="0" w:space="0" w:color="auto"/>
        <w:left w:val="none" w:sz="0" w:space="0" w:color="auto"/>
        <w:bottom w:val="none" w:sz="0" w:space="0" w:color="auto"/>
        <w:right w:val="none" w:sz="0" w:space="0" w:color="auto"/>
      </w:divBdr>
    </w:div>
    <w:div w:id="1153907327">
      <w:bodyDiv w:val="1"/>
      <w:marLeft w:val="0"/>
      <w:marRight w:val="0"/>
      <w:marTop w:val="0"/>
      <w:marBottom w:val="0"/>
      <w:divBdr>
        <w:top w:val="none" w:sz="0" w:space="0" w:color="auto"/>
        <w:left w:val="none" w:sz="0" w:space="0" w:color="auto"/>
        <w:bottom w:val="none" w:sz="0" w:space="0" w:color="auto"/>
        <w:right w:val="none" w:sz="0" w:space="0" w:color="auto"/>
      </w:divBdr>
    </w:div>
    <w:div w:id="1256866062">
      <w:bodyDiv w:val="1"/>
      <w:marLeft w:val="0"/>
      <w:marRight w:val="0"/>
      <w:marTop w:val="0"/>
      <w:marBottom w:val="0"/>
      <w:divBdr>
        <w:top w:val="none" w:sz="0" w:space="0" w:color="auto"/>
        <w:left w:val="none" w:sz="0" w:space="0" w:color="auto"/>
        <w:bottom w:val="none" w:sz="0" w:space="0" w:color="auto"/>
        <w:right w:val="none" w:sz="0" w:space="0" w:color="auto"/>
      </w:divBdr>
    </w:div>
    <w:div w:id="1294141907">
      <w:bodyDiv w:val="1"/>
      <w:marLeft w:val="0"/>
      <w:marRight w:val="0"/>
      <w:marTop w:val="0"/>
      <w:marBottom w:val="0"/>
      <w:divBdr>
        <w:top w:val="none" w:sz="0" w:space="0" w:color="auto"/>
        <w:left w:val="none" w:sz="0" w:space="0" w:color="auto"/>
        <w:bottom w:val="none" w:sz="0" w:space="0" w:color="auto"/>
        <w:right w:val="none" w:sz="0" w:space="0" w:color="auto"/>
      </w:divBdr>
    </w:div>
    <w:div w:id="1330132357">
      <w:bodyDiv w:val="1"/>
      <w:marLeft w:val="0"/>
      <w:marRight w:val="0"/>
      <w:marTop w:val="0"/>
      <w:marBottom w:val="0"/>
      <w:divBdr>
        <w:top w:val="none" w:sz="0" w:space="0" w:color="auto"/>
        <w:left w:val="none" w:sz="0" w:space="0" w:color="auto"/>
        <w:bottom w:val="none" w:sz="0" w:space="0" w:color="auto"/>
        <w:right w:val="none" w:sz="0" w:space="0" w:color="auto"/>
      </w:divBdr>
    </w:div>
    <w:div w:id="1348287191">
      <w:bodyDiv w:val="1"/>
      <w:marLeft w:val="0"/>
      <w:marRight w:val="0"/>
      <w:marTop w:val="0"/>
      <w:marBottom w:val="0"/>
      <w:divBdr>
        <w:top w:val="none" w:sz="0" w:space="0" w:color="auto"/>
        <w:left w:val="none" w:sz="0" w:space="0" w:color="auto"/>
        <w:bottom w:val="none" w:sz="0" w:space="0" w:color="auto"/>
        <w:right w:val="none" w:sz="0" w:space="0" w:color="auto"/>
      </w:divBdr>
    </w:div>
    <w:div w:id="1377585347">
      <w:bodyDiv w:val="1"/>
      <w:marLeft w:val="0"/>
      <w:marRight w:val="0"/>
      <w:marTop w:val="0"/>
      <w:marBottom w:val="0"/>
      <w:divBdr>
        <w:top w:val="none" w:sz="0" w:space="0" w:color="auto"/>
        <w:left w:val="none" w:sz="0" w:space="0" w:color="auto"/>
        <w:bottom w:val="none" w:sz="0" w:space="0" w:color="auto"/>
        <w:right w:val="none" w:sz="0" w:space="0" w:color="auto"/>
      </w:divBdr>
    </w:div>
    <w:div w:id="1455324862">
      <w:bodyDiv w:val="1"/>
      <w:marLeft w:val="0"/>
      <w:marRight w:val="0"/>
      <w:marTop w:val="0"/>
      <w:marBottom w:val="0"/>
      <w:divBdr>
        <w:top w:val="none" w:sz="0" w:space="0" w:color="auto"/>
        <w:left w:val="none" w:sz="0" w:space="0" w:color="auto"/>
        <w:bottom w:val="none" w:sz="0" w:space="0" w:color="auto"/>
        <w:right w:val="none" w:sz="0" w:space="0" w:color="auto"/>
      </w:divBdr>
    </w:div>
    <w:div w:id="1536769332">
      <w:bodyDiv w:val="1"/>
      <w:marLeft w:val="0"/>
      <w:marRight w:val="0"/>
      <w:marTop w:val="0"/>
      <w:marBottom w:val="0"/>
      <w:divBdr>
        <w:top w:val="none" w:sz="0" w:space="0" w:color="auto"/>
        <w:left w:val="none" w:sz="0" w:space="0" w:color="auto"/>
        <w:bottom w:val="none" w:sz="0" w:space="0" w:color="auto"/>
        <w:right w:val="none" w:sz="0" w:space="0" w:color="auto"/>
      </w:divBdr>
    </w:div>
    <w:div w:id="1626812559">
      <w:bodyDiv w:val="1"/>
      <w:marLeft w:val="0"/>
      <w:marRight w:val="0"/>
      <w:marTop w:val="0"/>
      <w:marBottom w:val="0"/>
      <w:divBdr>
        <w:top w:val="none" w:sz="0" w:space="0" w:color="auto"/>
        <w:left w:val="none" w:sz="0" w:space="0" w:color="auto"/>
        <w:bottom w:val="none" w:sz="0" w:space="0" w:color="auto"/>
        <w:right w:val="none" w:sz="0" w:space="0" w:color="auto"/>
      </w:divBdr>
    </w:div>
    <w:div w:id="1628312110">
      <w:bodyDiv w:val="1"/>
      <w:marLeft w:val="0"/>
      <w:marRight w:val="0"/>
      <w:marTop w:val="0"/>
      <w:marBottom w:val="0"/>
      <w:divBdr>
        <w:top w:val="none" w:sz="0" w:space="0" w:color="auto"/>
        <w:left w:val="none" w:sz="0" w:space="0" w:color="auto"/>
        <w:bottom w:val="none" w:sz="0" w:space="0" w:color="auto"/>
        <w:right w:val="none" w:sz="0" w:space="0" w:color="auto"/>
      </w:divBdr>
    </w:div>
    <w:div w:id="1630041057">
      <w:bodyDiv w:val="1"/>
      <w:marLeft w:val="0"/>
      <w:marRight w:val="0"/>
      <w:marTop w:val="0"/>
      <w:marBottom w:val="0"/>
      <w:divBdr>
        <w:top w:val="none" w:sz="0" w:space="0" w:color="auto"/>
        <w:left w:val="none" w:sz="0" w:space="0" w:color="auto"/>
        <w:bottom w:val="none" w:sz="0" w:space="0" w:color="auto"/>
        <w:right w:val="none" w:sz="0" w:space="0" w:color="auto"/>
      </w:divBdr>
    </w:div>
    <w:div w:id="1722436274">
      <w:bodyDiv w:val="1"/>
      <w:marLeft w:val="0"/>
      <w:marRight w:val="0"/>
      <w:marTop w:val="0"/>
      <w:marBottom w:val="0"/>
      <w:divBdr>
        <w:top w:val="none" w:sz="0" w:space="0" w:color="auto"/>
        <w:left w:val="none" w:sz="0" w:space="0" w:color="auto"/>
        <w:bottom w:val="none" w:sz="0" w:space="0" w:color="auto"/>
        <w:right w:val="none" w:sz="0" w:space="0" w:color="auto"/>
      </w:divBdr>
    </w:div>
    <w:div w:id="1729108489">
      <w:bodyDiv w:val="1"/>
      <w:marLeft w:val="0"/>
      <w:marRight w:val="0"/>
      <w:marTop w:val="0"/>
      <w:marBottom w:val="0"/>
      <w:divBdr>
        <w:top w:val="none" w:sz="0" w:space="0" w:color="auto"/>
        <w:left w:val="none" w:sz="0" w:space="0" w:color="auto"/>
        <w:bottom w:val="none" w:sz="0" w:space="0" w:color="auto"/>
        <w:right w:val="none" w:sz="0" w:space="0" w:color="auto"/>
      </w:divBdr>
    </w:div>
    <w:div w:id="1771241567">
      <w:bodyDiv w:val="1"/>
      <w:marLeft w:val="0"/>
      <w:marRight w:val="0"/>
      <w:marTop w:val="0"/>
      <w:marBottom w:val="0"/>
      <w:divBdr>
        <w:top w:val="none" w:sz="0" w:space="0" w:color="auto"/>
        <w:left w:val="none" w:sz="0" w:space="0" w:color="auto"/>
        <w:bottom w:val="none" w:sz="0" w:space="0" w:color="auto"/>
        <w:right w:val="none" w:sz="0" w:space="0" w:color="auto"/>
      </w:divBdr>
    </w:div>
    <w:div w:id="1997563320">
      <w:bodyDiv w:val="1"/>
      <w:marLeft w:val="0"/>
      <w:marRight w:val="0"/>
      <w:marTop w:val="0"/>
      <w:marBottom w:val="0"/>
      <w:divBdr>
        <w:top w:val="none" w:sz="0" w:space="0" w:color="auto"/>
        <w:left w:val="none" w:sz="0" w:space="0" w:color="auto"/>
        <w:bottom w:val="none" w:sz="0" w:space="0" w:color="auto"/>
        <w:right w:val="none" w:sz="0" w:space="0" w:color="auto"/>
      </w:divBdr>
    </w:div>
    <w:div w:id="209119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223A7A-04B4-4835-A1B1-46B50F1D9441}">
  <we:reference id="wa104382081" version="1.55.1.0" store="en-GB" storeType="OMEX"/>
  <we:alternateReferences>
    <we:reference id="WA104382081" version="1.55.1.0" store="" storeType="OMEX"/>
  </we:alternateReferences>
  <we:properties>
    <we:property name="MENDELEY_CITATIONS" value="[]"/>
    <we:property name="MENDELEY_CITATIONS_STYLE" value="{&quot;id&quot;:&quot;https://www.zotero.org/styles/nature-neuroscience&quot;,&quot;title&quot;:&quot;Nature Neuroscienc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54AC-4423-44F6-BDDA-EAD1D4CC8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16</Pages>
  <Words>11705</Words>
  <Characters>66721</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Prabhakar Deonikar</dc:creator>
  <cp:keywords/>
  <dc:description/>
  <cp:lastModifiedBy>echo asp</cp:lastModifiedBy>
  <cp:revision>14</cp:revision>
  <dcterms:created xsi:type="dcterms:W3CDTF">2025-01-13T16:13:00Z</dcterms:created>
  <dcterms:modified xsi:type="dcterms:W3CDTF">2025-01-15T01:11:00Z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ea5be8c7-ce41-3ba4-b491-d5ebc421517e</vt:lpwstr>
  </property>
  <property fmtid="{D5CDD505-2E9C-101B-9397-08002B2CF9AE}" pid="4" name="Mendeley Citation Style_1">
    <vt:lpwstr>http://www.zotero.org/styles/nature-neuroscience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http://www.zotero.org/styles/blood-cancer-journal</vt:lpwstr>
  </property>
  <property fmtid="{D5CDD505-2E9C-101B-9397-08002B2CF9AE}" pid="8" name="Mendeley Recent Style Name 1_1">
    <vt:lpwstr>Blood Cancer Journal</vt:lpwstr>
  </property>
  <property fmtid="{D5CDD505-2E9C-101B-9397-08002B2CF9AE}" pid="9" name="Mendeley Recent Style Id 2_1">
    <vt:lpwstr>http://www.zotero.org/styles/modern-humanities-research-association</vt:lpwstr>
  </property>
  <property fmtid="{D5CDD505-2E9C-101B-9397-08002B2CF9AE}" pid="10" name="Mendeley Recent Style Name 2_1">
    <vt:lpwstr>Modern Humanities Research Association 3rd edition (note with bibliography)</vt:lpwstr>
  </property>
  <property fmtid="{D5CDD505-2E9C-101B-9397-08002B2CF9AE}" pid="11" name="Mendeley Recent Style Id 3_1">
    <vt:lpwstr>http://www.zotero.org/styles/molecules</vt:lpwstr>
  </property>
  <property fmtid="{D5CDD505-2E9C-101B-9397-08002B2CF9AE}" pid="12" name="Mendeley Recent Style Name 3_1">
    <vt:lpwstr>Molecules</vt:lpwstr>
  </property>
  <property fmtid="{D5CDD505-2E9C-101B-9397-08002B2CF9AE}" pid="13" name="Mendeley Recent Style Id 4_1">
    <vt:lpwstr>http://csl.mendeley.com/styles/60919811/multidisciplinary-digital-publishing-institute</vt:lpwstr>
  </property>
  <property fmtid="{D5CDD505-2E9C-101B-9397-08002B2CF9AE}" pid="14" name="Mendeley Recent Style Name 4_1">
    <vt:lpwstr>Multidisciplinary Digital Publishing Institute - Shiva Ayyadurai</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http://www.zotero.org/styles/nature-neuroscience</vt:lpwstr>
  </property>
  <property fmtid="{D5CDD505-2E9C-101B-9397-08002B2CF9AE}" pid="18" name="Mendeley Recent Style Name 6_1">
    <vt:lpwstr>Nature Neuroscience</vt:lpwstr>
  </property>
  <property fmtid="{D5CDD505-2E9C-101B-9397-08002B2CF9AE}" pid="19" name="Mendeley Recent Style Id 7_1">
    <vt:lpwstr>http://www.zotero.org/styles/neuron</vt:lpwstr>
  </property>
  <property fmtid="{D5CDD505-2E9C-101B-9397-08002B2CF9AE}" pid="20" name="Mendeley Recent Style Name 7_1">
    <vt:lpwstr>Neuron</vt:lpwstr>
  </property>
  <property fmtid="{D5CDD505-2E9C-101B-9397-08002B2CF9AE}" pid="21" name="Mendeley Recent Style Id 8_1">
    <vt:lpwstr>http://www.zotero.org/styles/nutrients</vt:lpwstr>
  </property>
  <property fmtid="{D5CDD505-2E9C-101B-9397-08002B2CF9AE}" pid="22" name="Mendeley Recent Style Name 8_1">
    <vt:lpwstr>Nutrients</vt:lpwstr>
  </property>
  <property fmtid="{D5CDD505-2E9C-101B-9397-08002B2CF9AE}" pid="23" name="Mendeley Recent Style Id 9_1">
    <vt:lpwstr>http://www.zotero.org/styles/scientific-reports</vt:lpwstr>
  </property>
  <property fmtid="{D5CDD505-2E9C-101B-9397-08002B2CF9AE}" pid="24" name="Mendeley Recent Style Name 9_1">
    <vt:lpwstr>Scientific Reports</vt:lpwstr>
  </property>
</Properties>
</file>