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E68F" w14:textId="71379F27" w:rsidR="00AB4519" w:rsidRPr="00F73A13" w:rsidRDefault="00AB4519" w:rsidP="00AB4519">
      <w:pPr>
        <w:pStyle w:val="Heading1"/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</w:rPr>
        <w:t>Supplementary</w:t>
      </w:r>
      <w:r w:rsidR="00F47F7F">
        <w:rPr>
          <w:rFonts w:ascii="Times New Roman" w:hAnsi="Times New Roman" w:cs="Times New Roman"/>
        </w:rPr>
        <w:t xml:space="preserve"> Figures</w:t>
      </w:r>
    </w:p>
    <w:p w14:paraId="4F85D51D" w14:textId="77777777" w:rsidR="00AB4519" w:rsidRPr="00F73A13" w:rsidRDefault="00AB4519" w:rsidP="00AB4519">
      <w:pPr>
        <w:spacing w:line="276" w:lineRule="auto"/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noProof/>
        </w:rPr>
        <w:drawing>
          <wp:inline distT="0" distB="0" distL="0" distR="0" wp14:anchorId="44B824DA" wp14:editId="676A94B0">
            <wp:extent cx="5962650" cy="3352800"/>
            <wp:effectExtent l="0" t="0" r="0" b="0"/>
            <wp:docPr id="511528380" name="Picture 8" descr="A graph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28380" name="Picture 8" descr="A graph with different colored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9938" w14:textId="77777777" w:rsidR="00AB4519" w:rsidRPr="00F73A13" w:rsidRDefault="00AB4519" w:rsidP="00AB4519">
      <w:pPr>
        <w:spacing w:line="276" w:lineRule="auto"/>
        <w:rPr>
          <w:rFonts w:ascii="Times New Roman" w:eastAsia="Aptos" w:hAnsi="Times New Roman" w:cs="Times New Roman"/>
        </w:rPr>
      </w:pPr>
      <w:r w:rsidRPr="00F73A13">
        <w:rPr>
          <w:rFonts w:ascii="Times New Roman" w:eastAsia="Aptos" w:hAnsi="Times New Roman" w:cs="Times New Roman"/>
          <w:b/>
          <w:bCs/>
        </w:rPr>
        <w:t xml:space="preserve">Figure S1. </w:t>
      </w:r>
      <w:bookmarkStart w:id="0" w:name="_Hlk178173596"/>
      <w:r w:rsidRPr="00F73A13">
        <w:rPr>
          <w:rFonts w:ascii="Times New Roman" w:eastAsia="Aptos" w:hAnsi="Times New Roman" w:cs="Times New Roman"/>
          <w:b/>
          <w:bCs/>
        </w:rPr>
        <w:t>Peptide array reactivity and nonreactivity groupin</w:t>
      </w:r>
      <w:bookmarkEnd w:id="0"/>
      <w:r w:rsidRPr="00F73A13">
        <w:rPr>
          <w:rFonts w:ascii="Times New Roman" w:eastAsia="Aptos" w:hAnsi="Times New Roman" w:cs="Times New Roman"/>
          <w:b/>
          <w:bCs/>
        </w:rPr>
        <w:t>g.</w:t>
      </w:r>
      <w:r w:rsidRPr="00F73A13">
        <w:rPr>
          <w:rFonts w:ascii="Times New Roman" w:eastAsia="Aptos" w:hAnsi="Times New Roman" w:cs="Times New Roman"/>
        </w:rPr>
        <w:t xml:space="preserve"> </w:t>
      </w:r>
      <w:r>
        <w:rPr>
          <w:rFonts w:ascii="Times New Roman" w:eastAsia="Aptos" w:hAnsi="Times New Roman" w:cs="Times New Roman"/>
        </w:rPr>
        <w:t>Total number of peptides with</w:t>
      </w:r>
      <w:r w:rsidRPr="00F73A13">
        <w:rPr>
          <w:rFonts w:ascii="Times New Roman" w:eastAsia="Aptos" w:hAnsi="Times New Roman" w:cs="Times New Roman"/>
        </w:rPr>
        <w:t xml:space="preserve"> raw median binding</w:t>
      </w:r>
      <w:r>
        <w:rPr>
          <w:rFonts w:ascii="Times New Roman" w:eastAsia="Aptos" w:hAnsi="Times New Roman" w:cs="Times New Roman"/>
        </w:rPr>
        <w:t xml:space="preserve"> above</w:t>
      </w:r>
      <w:r w:rsidRPr="00F73A13">
        <w:rPr>
          <w:rFonts w:ascii="Times New Roman" w:eastAsia="Aptos" w:hAnsi="Times New Roman" w:cs="Times New Roman"/>
        </w:rPr>
        <w:t xml:space="preserve"> cut-off values (arbitrary units)</w:t>
      </w:r>
      <w:r>
        <w:rPr>
          <w:rFonts w:ascii="Times New Roman" w:eastAsia="Aptos" w:hAnsi="Times New Roman" w:cs="Times New Roman"/>
        </w:rPr>
        <w:t xml:space="preserve"> presented as peptide count</w:t>
      </w:r>
      <w:r w:rsidRPr="00F73A13">
        <w:rPr>
          <w:rFonts w:ascii="Times New Roman" w:eastAsia="Aptos" w:hAnsi="Times New Roman" w:cs="Times New Roman"/>
        </w:rPr>
        <w:t>. 3D10 reactive peptides were defined as peptides with a raw median binding value of 1024 or greater. Forty-three peptides were classified as 3D10 reactive, and 4335 peptides were classified as 3D10 nonreactive.</w:t>
      </w:r>
    </w:p>
    <w:p w14:paraId="27FBD176" w14:textId="5C446240" w:rsidR="00F47F7F" w:rsidRDefault="00F47F7F">
      <w:pPr>
        <w:spacing w:line="259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</w:rPr>
        <w:br w:type="page"/>
      </w:r>
    </w:p>
    <w:p w14:paraId="467A235E" w14:textId="77777777" w:rsidR="00AB4519" w:rsidRPr="00F73A13" w:rsidRDefault="00AB4519" w:rsidP="00AB4519">
      <w:pPr>
        <w:spacing w:line="276" w:lineRule="auto"/>
        <w:rPr>
          <w:rFonts w:ascii="Times New Roman" w:eastAsia="Aptos" w:hAnsi="Times New Roman" w:cs="Times New Roman"/>
        </w:rPr>
      </w:pPr>
    </w:p>
    <w:p w14:paraId="029F66BA" w14:textId="77777777" w:rsidR="00AB4519" w:rsidRPr="00F73A13" w:rsidRDefault="00AB4519" w:rsidP="00AB4519">
      <w:pPr>
        <w:spacing w:line="276" w:lineRule="auto"/>
        <w:rPr>
          <w:rFonts w:ascii="Times New Roman" w:eastAsia="Aptos" w:hAnsi="Times New Roman" w:cs="Times New Roman"/>
        </w:rPr>
      </w:pPr>
      <w:r>
        <w:rPr>
          <w:rFonts w:ascii="Times New Roman" w:eastAsia="Aptos" w:hAnsi="Times New Roman" w:cs="Times New Roman"/>
          <w:noProof/>
        </w:rPr>
        <w:drawing>
          <wp:inline distT="0" distB="0" distL="0" distR="0" wp14:anchorId="7ED70770" wp14:editId="7CA9C942">
            <wp:extent cx="5934024" cy="2484000"/>
            <wp:effectExtent l="0" t="0" r="0" b="0"/>
            <wp:docPr id="1001435745" name="Picture 1" descr="A graph of different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35745" name="Picture 1" descr="A graph of different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0" b="35953"/>
                    <a:stretch/>
                  </pic:blipFill>
                  <pic:spPr bwMode="auto">
                    <a:xfrm>
                      <a:off x="0" y="0"/>
                      <a:ext cx="5934710" cy="248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48C4B" w14:textId="77777777" w:rsidR="00AB4519" w:rsidRPr="00F73A13" w:rsidRDefault="00AB4519" w:rsidP="00AB4519">
      <w:pPr>
        <w:spacing w:line="276" w:lineRule="auto"/>
        <w:rPr>
          <w:rFonts w:ascii="Times New Roman" w:eastAsia="Aptos" w:hAnsi="Times New Roman" w:cs="Times New Roman"/>
        </w:rPr>
      </w:pPr>
      <w:r w:rsidRPr="00F73A13">
        <w:rPr>
          <w:rFonts w:ascii="Times New Roman" w:eastAsia="Aptos" w:hAnsi="Times New Roman" w:cs="Times New Roman"/>
          <w:b/>
          <w:bCs/>
        </w:rPr>
        <w:t>Figure S2. Frequency of sequence elements occurrence per peptide for DBPII, PvEBP2, VAR2CSA (FCR3 and NF54).</w:t>
      </w:r>
      <w:r w:rsidRPr="00F73A13">
        <w:rPr>
          <w:rFonts w:ascii="Times New Roman" w:eastAsia="Aptos" w:hAnsi="Times New Roman" w:cs="Times New Roman"/>
        </w:rPr>
        <w:t xml:space="preserve"> The frequency of lysine to occur is presented as its proportion relative to other amino acids; lysine represents ~10% of all amino acids for each protein. The total proportion of peptides that contain either a ‘KY’ or ‘YK’ sequence pattern is indicated for each protein.</w:t>
      </w:r>
    </w:p>
    <w:p w14:paraId="52F6DEDB" w14:textId="56AB9920" w:rsidR="00F47F7F" w:rsidRDefault="00F47F7F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1E4183" w14:textId="77777777" w:rsidR="00AB4519" w:rsidRPr="0088347F" w:rsidRDefault="00AB4519" w:rsidP="00AB4519">
      <w:pPr>
        <w:rPr>
          <w:rFonts w:ascii="Times New Roman" w:hAnsi="Times New Roman" w:cs="Times New Roman"/>
        </w:rPr>
      </w:pPr>
    </w:p>
    <w:p w14:paraId="63D05E95" w14:textId="77777777" w:rsidR="00AB4519" w:rsidRPr="0088347F" w:rsidRDefault="00AB4519" w:rsidP="00AB4519">
      <w:pPr>
        <w:rPr>
          <w:rFonts w:ascii="Times New Roman" w:hAnsi="Times New Roman" w:cs="Times New Roman"/>
        </w:rPr>
      </w:pPr>
      <w:r w:rsidRPr="00BB72D3">
        <w:rPr>
          <w:rFonts w:ascii="Times New Roman" w:hAnsi="Times New Roman" w:cs="Times New Roman"/>
          <w:b/>
          <w:bCs/>
        </w:rPr>
        <w:t>Table S1:</w:t>
      </w:r>
      <w:r w:rsidRPr="0088347F">
        <w:rPr>
          <w:rFonts w:ascii="Times New Roman" w:hAnsi="Times New Roman" w:cs="Times New Roman"/>
        </w:rPr>
        <w:t xml:space="preserve"> Feature descriptions</w:t>
      </w:r>
    </w:p>
    <w:tbl>
      <w:tblPr>
        <w:tblStyle w:val="TableGrid"/>
        <w:tblpPr w:leftFromText="180" w:rightFromText="180" w:vertAnchor="text" w:horzAnchor="margin" w:tblpXSpec="center" w:tblpY="-55"/>
        <w:tblW w:w="10774" w:type="dxa"/>
        <w:tblLook w:val="04A0" w:firstRow="1" w:lastRow="0" w:firstColumn="1" w:lastColumn="0" w:noHBand="0" w:noVBand="1"/>
      </w:tblPr>
      <w:tblGrid>
        <w:gridCol w:w="2897"/>
        <w:gridCol w:w="1077"/>
        <w:gridCol w:w="6800"/>
      </w:tblGrid>
      <w:tr w:rsidR="00AB4519" w:rsidRPr="0088347F" w14:paraId="6C7ADDE9" w14:textId="77777777" w:rsidTr="00F0523A">
        <w:tc>
          <w:tcPr>
            <w:tcW w:w="2897" w:type="dxa"/>
            <w:shd w:val="clear" w:color="auto" w:fill="D1D1D1" w:themeFill="background2" w:themeFillShade="E6"/>
          </w:tcPr>
          <w:p w14:paraId="4BC970F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47F">
              <w:rPr>
                <w:rFonts w:ascii="Times New Roman" w:hAnsi="Times New Roman" w:cs="Times New Roman"/>
                <w:b/>
                <w:bCs/>
              </w:rPr>
              <w:t>Feature categories</w:t>
            </w:r>
          </w:p>
        </w:tc>
        <w:tc>
          <w:tcPr>
            <w:tcW w:w="1077" w:type="dxa"/>
            <w:shd w:val="clear" w:color="auto" w:fill="D1D1D1" w:themeFill="background2" w:themeFillShade="E6"/>
          </w:tcPr>
          <w:p w14:paraId="09FF90B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47F">
              <w:rPr>
                <w:rFonts w:ascii="Times New Roman" w:hAnsi="Times New Roman" w:cs="Times New Roman"/>
                <w:b/>
                <w:bCs/>
              </w:rPr>
              <w:t>Feature count</w:t>
            </w:r>
          </w:p>
        </w:tc>
        <w:tc>
          <w:tcPr>
            <w:tcW w:w="6800" w:type="dxa"/>
            <w:shd w:val="clear" w:color="auto" w:fill="D1D1D1" w:themeFill="background2" w:themeFillShade="E6"/>
          </w:tcPr>
          <w:p w14:paraId="2C5FA64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47F">
              <w:rPr>
                <w:rFonts w:ascii="Times New Roman" w:hAnsi="Times New Roman" w:cs="Times New Roman"/>
                <w:b/>
                <w:bCs/>
              </w:rPr>
              <w:t>Feature category description</w:t>
            </w:r>
          </w:p>
        </w:tc>
      </w:tr>
      <w:tr w:rsidR="00AB4519" w:rsidRPr="0088347F" w14:paraId="3B9CD5C6" w14:textId="77777777" w:rsidTr="00F0523A">
        <w:tc>
          <w:tcPr>
            <w:tcW w:w="2897" w:type="dxa"/>
          </w:tcPr>
          <w:p w14:paraId="40A037F8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Single amino acid counts</w:t>
            </w:r>
          </w:p>
        </w:tc>
        <w:tc>
          <w:tcPr>
            <w:tcW w:w="1077" w:type="dxa"/>
          </w:tcPr>
          <w:p w14:paraId="5D8FF68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00" w:type="dxa"/>
          </w:tcPr>
          <w:p w14:paraId="76F1F6FA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 xml:space="preserve">Counts of all 20 amino acids </w:t>
            </w:r>
          </w:p>
        </w:tc>
      </w:tr>
      <w:tr w:rsidR="00AB4519" w:rsidRPr="0088347F" w14:paraId="5E685C7D" w14:textId="77777777" w:rsidTr="00F0523A">
        <w:tc>
          <w:tcPr>
            <w:tcW w:w="2897" w:type="dxa"/>
          </w:tcPr>
          <w:p w14:paraId="0AC1D7A3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Dipeptide counts</w:t>
            </w:r>
          </w:p>
        </w:tc>
        <w:tc>
          <w:tcPr>
            <w:tcW w:w="1077" w:type="dxa"/>
          </w:tcPr>
          <w:p w14:paraId="497A3F5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6800" w:type="dxa"/>
          </w:tcPr>
          <w:p w14:paraId="71DDA0A2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 xml:space="preserve">Counts of 2 amino acid combinations </w:t>
            </w:r>
          </w:p>
        </w:tc>
      </w:tr>
      <w:tr w:rsidR="00AB4519" w:rsidRPr="0088347F" w14:paraId="4DC91494" w14:textId="77777777" w:rsidTr="00F0523A">
        <w:tc>
          <w:tcPr>
            <w:tcW w:w="2897" w:type="dxa"/>
          </w:tcPr>
          <w:p w14:paraId="64B10824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Secondary structure</w:t>
            </w:r>
          </w:p>
        </w:tc>
        <w:tc>
          <w:tcPr>
            <w:tcW w:w="1077" w:type="dxa"/>
          </w:tcPr>
          <w:p w14:paraId="76923A0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0" w:type="dxa"/>
          </w:tcPr>
          <w:p w14:paraId="62C8D610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Odds for a peptide segment to be an alpha helix, beta sheet, or coilᵃ</w:t>
            </w:r>
          </w:p>
        </w:tc>
      </w:tr>
      <w:tr w:rsidR="00AB4519" w:rsidRPr="0088347F" w14:paraId="1C1B03F4" w14:textId="77777777" w:rsidTr="00F0523A">
        <w:tc>
          <w:tcPr>
            <w:tcW w:w="2897" w:type="dxa"/>
          </w:tcPr>
          <w:p w14:paraId="362759C4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Physicochemical values</w:t>
            </w:r>
          </w:p>
        </w:tc>
        <w:tc>
          <w:tcPr>
            <w:tcW w:w="1077" w:type="dxa"/>
          </w:tcPr>
          <w:p w14:paraId="1EAB928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0" w:type="dxa"/>
          </w:tcPr>
          <w:p w14:paraId="372185E9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 xml:space="preserve">Sums of physicochemical values for every residue based on </w:t>
            </w:r>
            <w:proofErr w:type="spellStart"/>
            <w:r w:rsidRPr="0088347F">
              <w:rPr>
                <w:rFonts w:ascii="Times New Roman" w:hAnsi="Times New Roman" w:cs="Times New Roman"/>
              </w:rPr>
              <w:t>polarity</w:t>
            </w:r>
            <w:r w:rsidRPr="0088347F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  <w:r w:rsidRPr="0088347F">
              <w:rPr>
                <w:rFonts w:ascii="Times New Roman" w:hAnsi="Times New Roman" w:cs="Times New Roman"/>
              </w:rPr>
              <w:t xml:space="preserve">, sidechain </w:t>
            </w:r>
            <w:proofErr w:type="spellStart"/>
            <w:r w:rsidRPr="0088347F">
              <w:rPr>
                <w:rFonts w:ascii="Times New Roman" w:hAnsi="Times New Roman" w:cs="Times New Roman"/>
              </w:rPr>
              <w:t>energy</w:t>
            </w:r>
            <w:r w:rsidRPr="0088347F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  <w:r w:rsidRPr="0088347F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88347F">
              <w:rPr>
                <w:rFonts w:ascii="Times New Roman" w:hAnsi="Times New Roman" w:cs="Times New Roman"/>
              </w:rPr>
              <w:t>hydropathy</w:t>
            </w:r>
            <w:r w:rsidRPr="0088347F">
              <w:rPr>
                <w:rFonts w:ascii="Times New Roman" w:hAnsi="Times New Roman" w:cs="Times New Roman"/>
                <w:vertAlign w:val="superscript"/>
              </w:rPr>
              <w:t>d</w:t>
            </w:r>
            <w:proofErr w:type="spellEnd"/>
          </w:p>
        </w:tc>
      </w:tr>
      <w:tr w:rsidR="00AB4519" w:rsidRPr="0088347F" w14:paraId="7690E096" w14:textId="77777777" w:rsidTr="00F0523A">
        <w:tc>
          <w:tcPr>
            <w:tcW w:w="2897" w:type="dxa"/>
          </w:tcPr>
          <w:p w14:paraId="537365FB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Charge</w:t>
            </w:r>
          </w:p>
        </w:tc>
        <w:tc>
          <w:tcPr>
            <w:tcW w:w="1077" w:type="dxa"/>
          </w:tcPr>
          <w:p w14:paraId="0D1C2CD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0" w:type="dxa"/>
          </w:tcPr>
          <w:p w14:paraId="0CF03794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 xml:space="preserve">Counts of total </w:t>
            </w:r>
            <w:proofErr w:type="gramStart"/>
            <w:r w:rsidRPr="0088347F">
              <w:rPr>
                <w:rFonts w:ascii="Times New Roman" w:hAnsi="Times New Roman" w:cs="Times New Roman"/>
              </w:rPr>
              <w:t>positively-charged</w:t>
            </w:r>
            <w:proofErr w:type="gramEnd"/>
            <w:r w:rsidRPr="0088347F">
              <w:rPr>
                <w:rFonts w:ascii="Times New Roman" w:hAnsi="Times New Roman" w:cs="Times New Roman"/>
              </w:rPr>
              <w:t>, negatively charged residues, and the sum of these two values (net charge)</w:t>
            </w:r>
          </w:p>
        </w:tc>
      </w:tr>
      <w:tr w:rsidR="00AB4519" w:rsidRPr="0088347F" w14:paraId="2C65DAB8" w14:textId="77777777" w:rsidTr="00F0523A">
        <w:tc>
          <w:tcPr>
            <w:tcW w:w="2897" w:type="dxa"/>
          </w:tcPr>
          <w:p w14:paraId="2F04C0B2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Disulphide bond potential</w:t>
            </w:r>
          </w:p>
        </w:tc>
        <w:tc>
          <w:tcPr>
            <w:tcW w:w="1077" w:type="dxa"/>
          </w:tcPr>
          <w:p w14:paraId="64613D3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0" w:type="dxa"/>
          </w:tcPr>
          <w:p w14:paraId="01762493" w14:textId="77777777" w:rsidR="00AB4519" w:rsidRPr="0088347F" w:rsidRDefault="00AB4519" w:rsidP="00F0523A">
            <w:pPr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A Boolean value denoting whether a peptide contains 2 cysteines 3 amino acids apart</w:t>
            </w:r>
          </w:p>
        </w:tc>
      </w:tr>
    </w:tbl>
    <w:p w14:paraId="5A848AFA" w14:textId="77777777" w:rsidR="00AB4519" w:rsidRPr="00F73A13" w:rsidRDefault="00AB4519" w:rsidP="00AB4519">
      <w:pPr>
        <w:pStyle w:val="Heading3"/>
        <w:rPr>
          <w:rFonts w:ascii="Times New Roman" w:hAnsi="Times New Roman" w:cs="Times New Roman"/>
        </w:rPr>
      </w:pPr>
    </w:p>
    <w:p w14:paraId="29D47EC3" w14:textId="77777777" w:rsidR="00AB4519" w:rsidRPr="00F73A13" w:rsidRDefault="00AB4519" w:rsidP="00AB4519">
      <w:pPr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F73A13">
        <w:rPr>
          <w:rFonts w:ascii="Times New Roman" w:hAnsi="Times New Roman" w:cs="Times New Roman"/>
        </w:rPr>
        <w:br w:type="page"/>
      </w:r>
    </w:p>
    <w:p w14:paraId="0E46E056" w14:textId="3B2BA9F4" w:rsidR="00CC3379" w:rsidRPr="00F73A13" w:rsidRDefault="00AB4519" w:rsidP="00CC3379">
      <w:pPr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b/>
          <w:bCs/>
        </w:rPr>
        <w:lastRenderedPageBreak/>
        <w:t>Table S2</w:t>
      </w:r>
      <w:r w:rsidRPr="00F73A13">
        <w:rPr>
          <w:rFonts w:ascii="Times New Roman" w:hAnsi="Times New Roman" w:cs="Times New Roman"/>
        </w:rPr>
        <w:t>: Selected features</w:t>
      </w:r>
    </w:p>
    <w:tbl>
      <w:tblPr>
        <w:tblStyle w:val="TableGrid1"/>
        <w:tblW w:w="9356" w:type="dxa"/>
        <w:jc w:val="center"/>
        <w:tblLook w:val="04A0" w:firstRow="1" w:lastRow="0" w:firstColumn="1" w:lastColumn="0" w:noHBand="0" w:noVBand="1"/>
      </w:tblPr>
      <w:tblGrid>
        <w:gridCol w:w="2959"/>
        <w:gridCol w:w="1280"/>
        <w:gridCol w:w="1280"/>
        <w:gridCol w:w="1279"/>
        <w:gridCol w:w="1279"/>
        <w:gridCol w:w="1279"/>
      </w:tblGrid>
      <w:tr w:rsidR="00CC3379" w:rsidRPr="0088347F" w14:paraId="1A8A313D" w14:textId="77777777" w:rsidTr="00715DF2">
        <w:trPr>
          <w:jc w:val="center"/>
        </w:trPr>
        <w:tc>
          <w:tcPr>
            <w:tcW w:w="2959" w:type="dxa"/>
            <w:shd w:val="clear" w:color="auto" w:fill="F2F2F2"/>
            <w:tcMar>
              <w:left w:w="57" w:type="dxa"/>
              <w:right w:w="57" w:type="dxa"/>
            </w:tcMar>
          </w:tcPr>
          <w:p w14:paraId="5018EAA7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Features</w:t>
            </w:r>
          </w:p>
        </w:tc>
        <w:tc>
          <w:tcPr>
            <w:tcW w:w="1280" w:type="dxa"/>
            <w:shd w:val="clear" w:color="auto" w:fill="F2F2F2"/>
            <w:tcMar>
              <w:left w:w="57" w:type="dxa"/>
              <w:right w:w="57" w:type="dxa"/>
            </w:tcMar>
          </w:tcPr>
          <w:p w14:paraId="66EEF756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Variance feature selection</w:t>
            </w:r>
          </w:p>
        </w:tc>
        <w:tc>
          <w:tcPr>
            <w:tcW w:w="1280" w:type="dxa"/>
            <w:shd w:val="clear" w:color="auto" w:fill="F2F2F2"/>
            <w:tcMar>
              <w:left w:w="57" w:type="dxa"/>
              <w:right w:w="57" w:type="dxa"/>
            </w:tcMar>
          </w:tcPr>
          <w:p w14:paraId="789382F1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Feature utilization</w:t>
            </w:r>
          </w:p>
        </w:tc>
        <w:tc>
          <w:tcPr>
            <w:tcW w:w="1279" w:type="dxa"/>
            <w:shd w:val="clear" w:color="auto" w:fill="F2F2F2"/>
            <w:tcMar>
              <w:left w:w="57" w:type="dxa"/>
              <w:right w:w="57" w:type="dxa"/>
            </w:tcMar>
          </w:tcPr>
          <w:p w14:paraId="4E135C8C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Feature elimination (5)</w:t>
            </w: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  <w:position w:val="6"/>
                <w:vertAlign w:val="superscript"/>
              </w:rPr>
              <w:t xml:space="preserve"> a</w:t>
            </w:r>
          </w:p>
        </w:tc>
        <w:tc>
          <w:tcPr>
            <w:tcW w:w="1279" w:type="dxa"/>
            <w:shd w:val="clear" w:color="auto" w:fill="F2F2F2"/>
            <w:tcMar>
              <w:left w:w="57" w:type="dxa"/>
              <w:right w:w="57" w:type="dxa"/>
            </w:tcMar>
          </w:tcPr>
          <w:p w14:paraId="57D25095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Feature elimination (10)</w:t>
            </w: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  <w:position w:val="6"/>
                <w:vertAlign w:val="superscript"/>
              </w:rPr>
              <w:t>a</w:t>
            </w:r>
          </w:p>
        </w:tc>
        <w:tc>
          <w:tcPr>
            <w:tcW w:w="1279" w:type="dxa"/>
            <w:shd w:val="clear" w:color="auto" w:fill="F2F2F2"/>
            <w:tcMar>
              <w:left w:w="57" w:type="dxa"/>
              <w:right w:w="57" w:type="dxa"/>
            </w:tcMar>
          </w:tcPr>
          <w:p w14:paraId="3A6A4948" w14:textId="77777777" w:rsidR="00CC3379" w:rsidRPr="0088347F" w:rsidRDefault="00CC3379" w:rsidP="00715DF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</w:rPr>
              <w:t>Feature elimination (15)</w:t>
            </w:r>
            <w:r w:rsidRPr="0088347F">
              <w:rPr>
                <w:rFonts w:ascii="Times New Roman" w:eastAsia="ADLaM Display" w:hAnsi="Times New Roman" w:cs="Times New Roman"/>
                <w:b/>
                <w:bCs/>
                <w:color w:val="000000"/>
                <w:position w:val="6"/>
                <w:vertAlign w:val="superscript"/>
              </w:rPr>
              <w:t xml:space="preserve"> a</w:t>
            </w:r>
          </w:p>
        </w:tc>
      </w:tr>
      <w:tr w:rsidR="00CC3379" w:rsidRPr="0088347F" w14:paraId="2F6EF2C2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428FC215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Positive residue count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20158010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73DEB6E2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421AEA79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1DA1ECDD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808AA02" w14:textId="77777777" w:rsidR="00CC3379" w:rsidRPr="0088347F" w:rsidRDefault="00CC3379" w:rsidP="00715DF2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287A4BA4" w14:textId="77777777" w:rsidTr="00671BA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4D964463" w14:textId="2E925B74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Hydropathy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18CA5E4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268EF11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54C363B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66D4EF9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11F96A9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1B125FA0" w14:textId="77777777" w:rsidTr="001344E6">
        <w:trPr>
          <w:trHeight w:val="204"/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5F317811" w14:textId="5F6C55EB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VM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7D80D4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068316B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E0C53B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9F43B0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5989EB3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1CE495C2" w14:textId="77777777" w:rsidTr="00DB66E2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004972B8" w14:textId="45D0B285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Asparagine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CC2AC5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735AB25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7977A96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7EAC099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28FA142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4933E572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11CF0E8D" w14:textId="50EA4A2D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Polarity</w:t>
            </w:r>
          </w:p>
        </w:tc>
        <w:tc>
          <w:tcPr>
            <w:tcW w:w="1280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4F6DED8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73EF8C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55DB2A8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53FC8D3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1AC3161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38882577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5457A6D6" w14:textId="6E1AC7D0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KQ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1A839E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DC15A4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DB16B6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0A73046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797C81B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0CA7F697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10A38442" w14:textId="42B3A79B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KY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6C15993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13A49B0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CDBCAF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0706F9E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31AE741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755C8A49" w14:textId="77777777" w:rsidTr="00E57683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3BC79D6D" w14:textId="52DBCF7C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HL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3EF210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37D41AB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5F117F1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3D44D64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14DCCACB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712F8C99" w14:textId="77777777" w:rsidTr="00E57683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5D83B636" w14:textId="55B3AA6D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HM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0F224D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47B085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EFAF39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7C5F3AA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C5AC47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1155268D" w14:textId="77777777" w:rsidTr="00E57683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48137C94" w14:textId="689E0464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HF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E9F19F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8B447F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73A894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0BB156D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2D5E2F9B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2B526AB9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3EEF646B" w14:textId="44E9534E" w:rsidR="006D085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RE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0EC358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0CDB7D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6F13418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50C5856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449BE2A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3350E65C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4BF01263" w14:textId="462DA496" w:rsidR="006D085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HA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53FE430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5C5DF59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BA3E62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79C1D59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1C2ADC4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5390AA70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397E1981" w14:textId="600FF2BF" w:rsidR="006D085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HV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35A5315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D62E1C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57B41F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49F6C7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430FE35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6CA797B8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7463E3E5" w14:textId="5EE06493" w:rsidR="006D085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HI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372AC087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7E28CA17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DDDC66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4010FC37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66A896A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67E2730F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1B91B5E3" w14:textId="617F376A" w:rsidR="006D085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>
              <w:rPr>
                <w:rFonts w:ascii="Times New Roman" w:eastAsia="ADLaM Display" w:hAnsi="Times New Roman" w:cs="Times New Roman"/>
                <w:color w:val="000000"/>
              </w:rPr>
              <w:t>RD count</w:t>
            </w: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3FFB88E7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FBFCBA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6BF589C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45B49B7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84E290" w:themeFill="accent3" w:themeFillTint="66"/>
            <w:tcMar>
              <w:left w:w="57" w:type="dxa"/>
              <w:right w:w="57" w:type="dxa"/>
            </w:tcMar>
            <w:vAlign w:val="center"/>
          </w:tcPr>
          <w:p w14:paraId="3CBE342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59A79D95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4E63C2C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Side chain energy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643374D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2516AA0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7184EE4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3B54A8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2CF8A39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5BB5CA19" w14:textId="77777777" w:rsidTr="00CC3379">
        <w:trPr>
          <w:jc w:val="center"/>
        </w:trPr>
        <w:tc>
          <w:tcPr>
            <w:tcW w:w="295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3843B1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Lysine count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32DBEC8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3A0CA9D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2DB7D1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095982E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49FF218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7A6ADB5A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2AE0588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Net charge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7BB1B27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6B18ADF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CD6A6B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1C56C3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DD4DE8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08A7B144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706E0FD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Helix probability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4963A15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0E329EB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700A1B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E488FE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0C60B2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0AFFA3FE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3D95AA4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Coil probability</w:t>
            </w: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31B25404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  <w:vAlign w:val="center"/>
          </w:tcPr>
          <w:p w14:paraId="214DE3D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4296B8B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40F8A3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6335335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109D6921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21D4B4D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MT count</w:t>
            </w:r>
          </w:p>
        </w:tc>
        <w:tc>
          <w:tcPr>
            <w:tcW w:w="1280" w:type="dxa"/>
            <w:shd w:val="clear" w:color="auto" w:fill="BFBFBF"/>
            <w:tcMar>
              <w:left w:w="57" w:type="dxa"/>
              <w:right w:w="57" w:type="dxa"/>
            </w:tcMar>
          </w:tcPr>
          <w:p w14:paraId="782AB48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195BCA9A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17834A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B891282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497DA4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2EF82161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01D6C53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IQ count</w:t>
            </w:r>
          </w:p>
        </w:tc>
        <w:tc>
          <w:tcPr>
            <w:tcW w:w="1280" w:type="dxa"/>
            <w:shd w:val="clear" w:color="auto" w:fill="BFBFBF"/>
            <w:tcMar>
              <w:left w:w="57" w:type="dxa"/>
              <w:right w:w="57" w:type="dxa"/>
            </w:tcMar>
          </w:tcPr>
          <w:p w14:paraId="2758D1F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157B6AF7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3AC350B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1FD0F5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4417A29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68087A3F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00255FB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Sheet probability</w:t>
            </w:r>
          </w:p>
        </w:tc>
        <w:tc>
          <w:tcPr>
            <w:tcW w:w="1280" w:type="dxa"/>
            <w:shd w:val="clear" w:color="auto" w:fill="BFBFBF"/>
            <w:tcMar>
              <w:left w:w="57" w:type="dxa"/>
              <w:right w:w="57" w:type="dxa"/>
            </w:tcMar>
          </w:tcPr>
          <w:p w14:paraId="34D5519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76A7AF1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9F6395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6037D6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EEF93DE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3A6BCB16" w14:textId="77777777" w:rsidTr="00CC3379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2846B17C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TW count</w:t>
            </w:r>
          </w:p>
        </w:tc>
        <w:tc>
          <w:tcPr>
            <w:tcW w:w="1280" w:type="dxa"/>
            <w:shd w:val="clear" w:color="auto" w:fill="BFBFBF"/>
            <w:tcMar>
              <w:left w:w="57" w:type="dxa"/>
              <w:right w:w="57" w:type="dxa"/>
            </w:tcMar>
          </w:tcPr>
          <w:p w14:paraId="3B13996B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84E290"/>
            <w:tcMar>
              <w:left w:w="57" w:type="dxa"/>
              <w:right w:w="57" w:type="dxa"/>
            </w:tcMar>
          </w:tcPr>
          <w:p w14:paraId="79F180A0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40E06366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7B5221D5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8E8EA2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  <w:tr w:rsidR="006D085F" w:rsidRPr="0088347F" w14:paraId="55748BFF" w14:textId="77777777" w:rsidTr="006D085F">
        <w:trPr>
          <w:jc w:val="center"/>
        </w:trPr>
        <w:tc>
          <w:tcPr>
            <w:tcW w:w="2959" w:type="dxa"/>
            <w:tcMar>
              <w:left w:w="57" w:type="dxa"/>
              <w:right w:w="57" w:type="dxa"/>
            </w:tcMar>
            <w:vAlign w:val="center"/>
          </w:tcPr>
          <w:p w14:paraId="66E84DBC" w14:textId="2B7FF0E2" w:rsidR="006D085F" w:rsidRPr="0088347F" w:rsidRDefault="006D085F" w:rsidP="006D085F">
            <w:pPr>
              <w:spacing w:line="259" w:lineRule="auto"/>
              <w:rPr>
                <w:rFonts w:ascii="Times New Roman" w:eastAsia="ADLaM Display" w:hAnsi="Times New Roman" w:cs="Times New Roman"/>
                <w:color w:val="000000"/>
              </w:rPr>
            </w:pPr>
            <w:r w:rsidRPr="0088347F">
              <w:rPr>
                <w:rFonts w:ascii="Times New Roman" w:eastAsia="ADLaM Display" w:hAnsi="Times New Roman" w:cs="Times New Roman"/>
                <w:color w:val="000000"/>
              </w:rPr>
              <w:t>Negative residue count</w:t>
            </w:r>
          </w:p>
        </w:tc>
        <w:tc>
          <w:tcPr>
            <w:tcW w:w="1280" w:type="dxa"/>
            <w:shd w:val="clear" w:color="auto" w:fill="84E290" w:themeFill="accent3" w:themeFillTint="66"/>
            <w:tcMar>
              <w:left w:w="57" w:type="dxa"/>
              <w:right w:w="57" w:type="dxa"/>
            </w:tcMar>
          </w:tcPr>
          <w:p w14:paraId="78FB1071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8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52B2B583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2CEA432D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321FCDFF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  <w:tc>
          <w:tcPr>
            <w:tcW w:w="1279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92E6F68" w14:textId="77777777" w:rsidR="006D085F" w:rsidRPr="0088347F" w:rsidRDefault="006D085F" w:rsidP="006D085F">
            <w:pPr>
              <w:spacing w:line="259" w:lineRule="auto"/>
              <w:rPr>
                <w:rFonts w:ascii="Times New Roman" w:eastAsia="Times New Roman" w:hAnsi="Times New Roman" w:cs="Times New Roman"/>
                <w:color w:val="0F4761"/>
              </w:rPr>
            </w:pPr>
          </w:p>
        </w:tc>
      </w:tr>
    </w:tbl>
    <w:p w14:paraId="545ADA91" w14:textId="77777777" w:rsidR="00CC3379" w:rsidRPr="00F73A13" w:rsidRDefault="00CC3379" w:rsidP="00CC3379">
      <w:pPr>
        <w:rPr>
          <w:rFonts w:ascii="Times New Roman" w:hAnsi="Times New Roman" w:cs="Times New Roman"/>
        </w:rPr>
      </w:pPr>
    </w:p>
    <w:p w14:paraId="3C7FC2C5" w14:textId="77777777" w:rsidR="00CC3379" w:rsidRDefault="00CC3379" w:rsidP="00CC3379">
      <w:pPr>
        <w:rPr>
          <w:rFonts w:ascii="Times New Roman" w:hAnsi="Times New Roman" w:cs="Times New Roman"/>
          <w:sz w:val="22"/>
          <w:szCs w:val="22"/>
        </w:rPr>
      </w:pPr>
      <w:r w:rsidRPr="0088347F">
        <w:rPr>
          <w:rFonts w:ascii="Times New Roman" w:hAnsi="Times New Roman" w:cs="Times New Roman"/>
          <w:sz w:val="22"/>
          <w:szCs w:val="22"/>
          <w:vertAlign w:val="superscript"/>
        </w:rPr>
        <w:t xml:space="preserve">a </w:t>
      </w:r>
      <w:r w:rsidRPr="0088347F">
        <w:rPr>
          <w:rFonts w:ascii="Times New Roman" w:hAnsi="Times New Roman" w:cs="Times New Roman"/>
          <w:sz w:val="22"/>
          <w:szCs w:val="22"/>
        </w:rPr>
        <w:t>Feature elimination reduces features to a specified value indicated in parentheses</w:t>
      </w:r>
    </w:p>
    <w:p w14:paraId="15D37792" w14:textId="77777777" w:rsidR="003A489A" w:rsidRDefault="003A489A" w:rsidP="00204E0A">
      <w:pPr>
        <w:rPr>
          <w:rFonts w:ascii="Times New Roman" w:hAnsi="Times New Roman" w:cs="Times New Roman"/>
          <w:noProof/>
        </w:rPr>
      </w:pPr>
    </w:p>
    <w:p w14:paraId="1B23EA2A" w14:textId="525EB1AF" w:rsidR="00204E0A" w:rsidRDefault="00204E0A" w:rsidP="00464F4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0B0333" wp14:editId="230D5251">
            <wp:extent cx="4298315" cy="1796995"/>
            <wp:effectExtent l="0" t="0" r="6985" b="0"/>
            <wp:docPr id="172409540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9540" name="Picture 1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94" t="18324" b="5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143" cy="179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B103E" w14:textId="0A6697F3" w:rsidR="00204E0A" w:rsidRDefault="00204E0A" w:rsidP="00204E0A">
      <w:pPr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3</w:t>
      </w:r>
      <w:r w:rsidRPr="00F73A13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Model evaluation.</w:t>
      </w:r>
      <w:r w:rsidRPr="002526E8">
        <w:rPr>
          <w:rFonts w:ascii="Times New Roman" w:hAnsi="Times New Roman" w:cs="Times New Roman"/>
        </w:rPr>
        <w:t xml:space="preserve"> </w:t>
      </w:r>
      <w:r w:rsidR="00E26D4B">
        <w:rPr>
          <w:rFonts w:ascii="Times New Roman" w:hAnsi="Times New Roman" w:cs="Times New Roman"/>
        </w:rPr>
        <w:t>A decision tree m</w:t>
      </w:r>
      <w:r>
        <w:rPr>
          <w:rFonts w:ascii="Times New Roman" w:hAnsi="Times New Roman" w:cs="Times New Roman"/>
        </w:rPr>
        <w:t xml:space="preserve">odel </w:t>
      </w:r>
      <w:r w:rsidR="00E26D4B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trained </w:t>
      </w:r>
      <w:r w:rsidR="00E26D4B">
        <w:rPr>
          <w:rFonts w:ascii="Times New Roman" w:hAnsi="Times New Roman" w:cs="Times New Roman"/>
        </w:rPr>
        <w:t>on DBPII, PvEBP2, and both alleles of VAR2CSA (NF54 and FCR3)</w:t>
      </w:r>
      <w:r w:rsidR="00464F44">
        <w:rPr>
          <w:rFonts w:ascii="Times New Roman" w:hAnsi="Times New Roman" w:cs="Times New Roman"/>
        </w:rPr>
        <w:t>,</w:t>
      </w:r>
      <w:r w:rsidR="00E26D4B">
        <w:rPr>
          <w:rFonts w:ascii="Times New Roman" w:hAnsi="Times New Roman" w:cs="Times New Roman"/>
        </w:rPr>
        <w:t xml:space="preserve"> and tested against a withheld dataset.</w:t>
      </w:r>
      <w:r>
        <w:rPr>
          <w:rFonts w:ascii="Times New Roman" w:hAnsi="Times New Roman" w:cs="Times New Roman"/>
        </w:rPr>
        <w:t xml:space="preserve"> </w:t>
      </w:r>
      <w:r w:rsidR="00E26D4B">
        <w:rPr>
          <w:rFonts w:ascii="Times New Roman" w:hAnsi="Times New Roman" w:cs="Times New Roman"/>
        </w:rPr>
        <w:t xml:space="preserve">The withheld </w:t>
      </w:r>
      <w:r w:rsidRPr="001A0912">
        <w:rPr>
          <w:rFonts w:ascii="Times New Roman" w:hAnsi="Times New Roman" w:cs="Times New Roman"/>
        </w:rPr>
        <w:t xml:space="preserve">dataset </w:t>
      </w:r>
      <w:r w:rsidR="00E26D4B">
        <w:rPr>
          <w:rFonts w:ascii="Times New Roman" w:hAnsi="Times New Roman" w:cs="Times New Roman"/>
        </w:rPr>
        <w:t xml:space="preserve">was </w:t>
      </w:r>
      <w:r w:rsidRPr="001A0912">
        <w:rPr>
          <w:rFonts w:ascii="Times New Roman" w:hAnsi="Times New Roman" w:cs="Times New Roman"/>
        </w:rPr>
        <w:t xml:space="preserve">derived from PcDBP, a PvDBP ortholog from </w:t>
      </w:r>
      <w:r w:rsidRPr="001A0912">
        <w:rPr>
          <w:rFonts w:ascii="Times New Roman" w:hAnsi="Times New Roman" w:cs="Times New Roman"/>
          <w:i/>
          <w:iCs/>
        </w:rPr>
        <w:t>Plasmodium chabaudi</w:t>
      </w:r>
      <w:r w:rsidRPr="001A0912">
        <w:rPr>
          <w:rFonts w:ascii="Times New Roman" w:hAnsi="Times New Roman" w:cs="Times New Roman"/>
        </w:rPr>
        <w:t xml:space="preserve">. The decision tree </w:t>
      </w:r>
      <w:r>
        <w:rPr>
          <w:rFonts w:ascii="Times New Roman" w:hAnsi="Times New Roman" w:cs="Times New Roman"/>
        </w:rPr>
        <w:t>predicts</w:t>
      </w:r>
      <w:r w:rsidRPr="001A0912">
        <w:rPr>
          <w:rFonts w:ascii="Times New Roman" w:hAnsi="Times New Roman" w:cs="Times New Roman"/>
        </w:rPr>
        <w:t xml:space="preserve"> peptide</w:t>
      </w:r>
      <w:r>
        <w:rPr>
          <w:rFonts w:ascii="Times New Roman" w:hAnsi="Times New Roman" w:cs="Times New Roman"/>
        </w:rPr>
        <w:t xml:space="preserve"> reactivity using discrete values based on feature values defined during training. All PcDBP peptides were placed</w:t>
      </w:r>
      <w:r w:rsidRPr="001A0912">
        <w:rPr>
          <w:rFonts w:ascii="Times New Roman" w:hAnsi="Times New Roman" w:cs="Times New Roman"/>
        </w:rPr>
        <w:t xml:space="preserve"> in the</w:t>
      </w:r>
      <w:r>
        <w:rPr>
          <w:rFonts w:ascii="Times New Roman" w:hAnsi="Times New Roman" w:cs="Times New Roman"/>
        </w:rPr>
        <w:t xml:space="preserve"> same</w:t>
      </w:r>
      <w:r w:rsidRPr="001A0912">
        <w:rPr>
          <w:rFonts w:ascii="Times New Roman" w:hAnsi="Times New Roman" w:cs="Times New Roman"/>
        </w:rPr>
        <w:t xml:space="preserve"> low/non-binding category</w:t>
      </w:r>
      <w:r>
        <w:rPr>
          <w:rFonts w:ascii="Times New Roman" w:hAnsi="Times New Roman" w:cs="Times New Roman"/>
        </w:rPr>
        <w:t xml:space="preserve">. </w:t>
      </w:r>
      <w:r w:rsidRPr="001A0912">
        <w:rPr>
          <w:rFonts w:ascii="Times New Roman" w:hAnsi="Times New Roman" w:cs="Times New Roman"/>
        </w:rPr>
        <w:t>Model-predicted values are presented in blue, whereas actual binding values are presented in red</w:t>
      </w:r>
      <w:r>
        <w:rPr>
          <w:rFonts w:ascii="Times New Roman" w:hAnsi="Times New Roman" w:cs="Times New Roman"/>
        </w:rPr>
        <w:t>. N</w:t>
      </w:r>
      <w:r w:rsidRPr="001A0912">
        <w:rPr>
          <w:rFonts w:ascii="Times New Roman" w:hAnsi="Times New Roman" w:cs="Times New Roman"/>
        </w:rPr>
        <w:t>o peptides from the PcDBP dataset bound at the reactivity cut-off of 2</w:t>
      </w:r>
      <w:r w:rsidRPr="001A0912">
        <w:rPr>
          <w:rFonts w:ascii="Times New Roman" w:hAnsi="Times New Roman" w:cs="Times New Roman"/>
          <w:vertAlign w:val="superscript"/>
        </w:rPr>
        <w:t>10</w:t>
      </w:r>
      <w:r w:rsidRPr="001A091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model used for these predictions is </w:t>
      </w:r>
      <w:r w:rsidRPr="00BB2C27">
        <w:rPr>
          <w:rFonts w:ascii="Times New Roman" w:hAnsi="Times New Roman" w:cs="Times New Roman"/>
        </w:rPr>
        <w:t>accessible in a GitHub repository described in our data availability section</w:t>
      </w:r>
      <w:r>
        <w:rPr>
          <w:rFonts w:ascii="Times New Roman" w:hAnsi="Times New Roman" w:cs="Times New Roman"/>
        </w:rPr>
        <w:t>.</w:t>
      </w:r>
      <w:r w:rsidR="00BA4C4D">
        <w:rPr>
          <w:rFonts w:ascii="Times New Roman" w:hAnsi="Times New Roman" w:cs="Times New Roman"/>
        </w:rPr>
        <w:t xml:space="preserve"> The mean squared error of all predictions in this evaluation was 1020.68.</w:t>
      </w:r>
    </w:p>
    <w:p w14:paraId="5500CF77" w14:textId="77777777" w:rsidR="00204E0A" w:rsidRPr="0088347F" w:rsidRDefault="00204E0A" w:rsidP="00CC3379">
      <w:pPr>
        <w:rPr>
          <w:rFonts w:ascii="Times New Roman" w:hAnsi="Times New Roman" w:cs="Times New Roman"/>
          <w:sz w:val="22"/>
          <w:szCs w:val="22"/>
        </w:rPr>
      </w:pPr>
    </w:p>
    <w:p w14:paraId="40BC2D7F" w14:textId="6AD29804" w:rsidR="00980102" w:rsidRDefault="00980102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1ECAEA" w14:textId="77777777" w:rsidR="00F47F7F" w:rsidRDefault="00F47F7F">
      <w:pPr>
        <w:spacing w:line="259" w:lineRule="auto"/>
        <w:rPr>
          <w:rFonts w:ascii="Times New Roman" w:hAnsi="Times New Roman" w:cs="Times New Roman"/>
        </w:rPr>
      </w:pPr>
    </w:p>
    <w:p w14:paraId="0F0969E0" w14:textId="77777777" w:rsidR="00AB4519" w:rsidRPr="00F73A13" w:rsidRDefault="00AB4519" w:rsidP="00AB4519">
      <w:pPr>
        <w:rPr>
          <w:rFonts w:ascii="Times New Roman" w:hAnsi="Times New Roman" w:cs="Times New Roman"/>
        </w:rPr>
      </w:pPr>
    </w:p>
    <w:p w14:paraId="0E2A4060" w14:textId="77777777" w:rsidR="00AB4519" w:rsidRPr="00F73A13" w:rsidRDefault="00AB4519" w:rsidP="00AB4519">
      <w:pPr>
        <w:rPr>
          <w:rFonts w:ascii="Times New Roman" w:hAnsi="Times New Roman" w:cs="Times New Roman"/>
        </w:rPr>
      </w:pPr>
    </w:p>
    <w:p w14:paraId="05F4512F" w14:textId="6EEDA668" w:rsidR="00AB4519" w:rsidRPr="00F73A13" w:rsidRDefault="00592C33" w:rsidP="00AB45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16507AB" wp14:editId="1F071CEE">
            <wp:extent cx="5943600" cy="3048000"/>
            <wp:effectExtent l="0" t="0" r="0" b="0"/>
            <wp:docPr id="649778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354B" w14:textId="34BF42FF" w:rsidR="003A489A" w:rsidRDefault="00AB4519" w:rsidP="00AB4519">
      <w:pPr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b/>
          <w:bCs/>
        </w:rPr>
        <w:t>Figure S</w:t>
      </w:r>
      <w:r w:rsidR="00204E0A">
        <w:rPr>
          <w:rFonts w:ascii="Times New Roman" w:hAnsi="Times New Roman" w:cs="Times New Roman"/>
          <w:b/>
          <w:bCs/>
        </w:rPr>
        <w:t>4</w:t>
      </w:r>
      <w:r w:rsidRPr="00F73A13">
        <w:rPr>
          <w:rFonts w:ascii="Times New Roman" w:hAnsi="Times New Roman" w:cs="Times New Roman"/>
          <w:b/>
          <w:bCs/>
        </w:rPr>
        <w:t>. Sequence similarity of PvEBP2</w:t>
      </w:r>
      <w:r w:rsidR="00201B8F">
        <w:rPr>
          <w:rFonts w:ascii="Times New Roman" w:hAnsi="Times New Roman" w:cs="Times New Roman"/>
          <w:b/>
          <w:bCs/>
        </w:rPr>
        <w:t xml:space="preserve"> and DBPII</w:t>
      </w:r>
      <w:r w:rsidRPr="00F73A13">
        <w:rPr>
          <w:rFonts w:ascii="Times New Roman" w:hAnsi="Times New Roman" w:cs="Times New Roman"/>
          <w:b/>
          <w:bCs/>
        </w:rPr>
        <w:t>.</w:t>
      </w:r>
      <w:r w:rsidRPr="00F73A13">
        <w:rPr>
          <w:rFonts w:ascii="Times New Roman" w:hAnsi="Times New Roman" w:cs="Times New Roman"/>
        </w:rPr>
        <w:t xml:space="preserve"> Sequence similarity and identity were determined by BLAST using a compositionally adjusted score matrix </w:t>
      </w:r>
      <w:r w:rsidRPr="00F73A13">
        <w:rPr>
          <w:rFonts w:ascii="Times New Roman" w:hAnsi="Times New Roman" w:cs="Times New Roman"/>
        </w:rPr>
        <w:fldChar w:fldCharType="begin">
          <w:fldData xml:space="preserve">PEVuZE5vdGU+PENpdGU+PEF1dGhvcj5BbHRzY2h1bDwvQXV0aG9yPjxZZWFyPjE5OTc8L1llYXI+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F47F7F">
        <w:rPr>
          <w:rFonts w:ascii="Times New Roman" w:hAnsi="Times New Roman" w:cs="Times New Roman"/>
        </w:rPr>
        <w:instrText xml:space="preserve"> ADDIN EN.CITE </w:instrText>
      </w:r>
      <w:r w:rsidR="00F47F7F">
        <w:rPr>
          <w:rFonts w:ascii="Times New Roman" w:hAnsi="Times New Roman" w:cs="Times New Roman"/>
        </w:rPr>
        <w:fldChar w:fldCharType="begin">
          <w:fldData xml:space="preserve">PEVuZE5vdGU+PENpdGU+PEF1dGhvcj5BbHRzY2h1bDwvQXV0aG9yPjxZZWFyPjE5OTc8L1llYXI+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</w:fldData>
        </w:fldChar>
      </w:r>
      <w:r w:rsidR="00F47F7F">
        <w:rPr>
          <w:rFonts w:ascii="Times New Roman" w:hAnsi="Times New Roman" w:cs="Times New Roman"/>
        </w:rPr>
        <w:instrText xml:space="preserve"> ADDIN EN.CITE.DATA </w:instrText>
      </w:r>
      <w:r w:rsidR="00F47F7F">
        <w:rPr>
          <w:rFonts w:ascii="Times New Roman" w:hAnsi="Times New Roman" w:cs="Times New Roman"/>
        </w:rPr>
      </w:r>
      <w:r w:rsidR="00F47F7F">
        <w:rPr>
          <w:rFonts w:ascii="Times New Roman" w:hAnsi="Times New Roman" w:cs="Times New Roman"/>
        </w:rPr>
        <w:fldChar w:fldCharType="end"/>
      </w:r>
      <w:r w:rsidRPr="00F73A13">
        <w:rPr>
          <w:rFonts w:ascii="Times New Roman" w:hAnsi="Times New Roman" w:cs="Times New Roman"/>
        </w:rPr>
      </w:r>
      <w:r w:rsidRPr="00F73A13">
        <w:rPr>
          <w:rFonts w:ascii="Times New Roman" w:hAnsi="Times New Roman" w:cs="Times New Roman"/>
        </w:rPr>
        <w:fldChar w:fldCharType="separate"/>
      </w:r>
      <w:r w:rsidR="00F47F7F" w:rsidRPr="00F47F7F">
        <w:rPr>
          <w:rFonts w:ascii="Times New Roman" w:hAnsi="Times New Roman" w:cs="Times New Roman"/>
          <w:noProof/>
          <w:vertAlign w:val="superscript"/>
        </w:rPr>
        <w:t>1,2</w:t>
      </w:r>
      <w:r w:rsidRPr="00F73A13">
        <w:rPr>
          <w:rFonts w:ascii="Times New Roman" w:hAnsi="Times New Roman" w:cs="Times New Roman"/>
        </w:rPr>
        <w:fldChar w:fldCharType="end"/>
      </w:r>
      <w:r w:rsidRPr="00F73A13">
        <w:rPr>
          <w:rFonts w:ascii="Times New Roman" w:hAnsi="Times New Roman" w:cs="Times New Roman"/>
        </w:rPr>
        <w:t>.</w:t>
      </w:r>
    </w:p>
    <w:p w14:paraId="0BB94102" w14:textId="77777777" w:rsidR="003A489A" w:rsidRDefault="003A489A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8C6F67" w14:textId="77777777" w:rsidR="00733A28" w:rsidRDefault="00733A28" w:rsidP="00733A28">
      <w:pPr>
        <w:jc w:val="center"/>
        <w:rPr>
          <w:rFonts w:ascii="Times New Roman" w:hAnsi="Times New Roman" w:cs="Times New Roman"/>
          <w:b/>
          <w:bCs/>
        </w:rPr>
      </w:pPr>
      <w:r>
        <w:rPr>
          <w:rStyle w:val="CommentReference"/>
          <w:noProof/>
        </w:rPr>
        <w:lastRenderedPageBreak/>
        <w:drawing>
          <wp:inline distT="0" distB="0" distL="0" distR="0" wp14:anchorId="01EF9051" wp14:editId="0F4FFDC9">
            <wp:extent cx="1629410" cy="2058126"/>
            <wp:effectExtent l="0" t="0" r="8890" b="0"/>
            <wp:docPr id="1936722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7" t="23751" r="37262" b="42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205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51D0F" w14:textId="7B732477" w:rsidR="00AB4519" w:rsidRDefault="003A489A" w:rsidP="00733A28">
      <w:pPr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5</w:t>
      </w:r>
      <w:r w:rsidRPr="00F73A13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Model design validation.</w:t>
      </w:r>
      <w:r w:rsidRPr="002526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Models and hyperparameters </w:t>
      </w:r>
      <w:r w:rsidR="003D663D">
        <w:rPr>
          <w:rFonts w:ascii="Times New Roman" w:hAnsi="Times New Roman" w:cs="Times New Roman"/>
        </w:rPr>
        <w:t>were</w:t>
      </w:r>
      <w:r>
        <w:rPr>
          <w:rFonts w:ascii="Times New Roman" w:hAnsi="Times New Roman" w:cs="Times New Roman"/>
        </w:rPr>
        <w:t xml:space="preserve"> trained with a train</w:t>
      </w:r>
      <w:r w:rsidR="001472B9">
        <w:rPr>
          <w:rFonts w:ascii="Times New Roman" w:hAnsi="Times New Roman" w:cs="Times New Roman"/>
        </w:rPr>
        <w:t>ing-validation</w:t>
      </w:r>
      <w:r>
        <w:rPr>
          <w:rFonts w:ascii="Times New Roman" w:hAnsi="Times New Roman" w:cs="Times New Roman"/>
        </w:rPr>
        <w:t xml:space="preserve"> split of 2/3 training and 1/3 testing</w:t>
      </w:r>
      <w:r w:rsidR="00733A28">
        <w:rPr>
          <w:rFonts w:ascii="Times New Roman" w:hAnsi="Times New Roman" w:cs="Times New Roman"/>
        </w:rPr>
        <w:t xml:space="preserve"> using a peptide array data from DBPII, PvEBP2, and both alleles of VAR2CSA (NF54 and FCR3)</w:t>
      </w:r>
      <w:r>
        <w:rPr>
          <w:rFonts w:ascii="Times New Roman" w:hAnsi="Times New Roman" w:cs="Times New Roman"/>
        </w:rPr>
        <w:t xml:space="preserve">. </w:t>
      </w:r>
      <w:r w:rsidRPr="001A0912">
        <w:rPr>
          <w:rFonts w:ascii="Times New Roman" w:hAnsi="Times New Roman" w:cs="Times New Roman"/>
        </w:rPr>
        <w:t xml:space="preserve">Models were </w:t>
      </w:r>
      <w:r w:rsidR="0067252C">
        <w:rPr>
          <w:rFonts w:ascii="Times New Roman" w:hAnsi="Times New Roman" w:cs="Times New Roman"/>
        </w:rPr>
        <w:t>validated</w:t>
      </w:r>
      <w:r w:rsidRPr="001A0912">
        <w:rPr>
          <w:rFonts w:ascii="Times New Roman" w:hAnsi="Times New Roman" w:cs="Times New Roman"/>
        </w:rPr>
        <w:t xml:space="preserve"> for 10,000 sets of 100 random seeds</w:t>
      </w:r>
      <w:r>
        <w:rPr>
          <w:rFonts w:ascii="Times New Roman" w:hAnsi="Times New Roman" w:cs="Times New Roman"/>
        </w:rPr>
        <w:t>. The average mean squared error of the 10,000 tournament-winning models is</w:t>
      </w:r>
      <w:r w:rsidRPr="001A0912">
        <w:rPr>
          <w:rFonts w:ascii="Times New Roman" w:hAnsi="Times New Roman" w:cs="Times New Roman"/>
        </w:rPr>
        <w:t xml:space="preserve"> plotted with 95% confidence error bars.</w:t>
      </w:r>
    </w:p>
    <w:p w14:paraId="24061BE7" w14:textId="19693E5E" w:rsidR="00F10A27" w:rsidRDefault="00F10A27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58A60A1" w14:textId="77777777" w:rsidR="00F10A27" w:rsidRPr="00F73A13" w:rsidRDefault="00F10A27" w:rsidP="00AB4519">
      <w:pPr>
        <w:rPr>
          <w:rFonts w:ascii="Times New Roman" w:hAnsi="Times New Roman" w:cs="Times New Roman"/>
        </w:rPr>
      </w:pPr>
    </w:p>
    <w:p w14:paraId="58059D5E" w14:textId="77777777" w:rsidR="00AB4519" w:rsidRPr="00F73A13" w:rsidRDefault="00AB4519" w:rsidP="00AB4519">
      <w:pPr>
        <w:jc w:val="center"/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noProof/>
        </w:rPr>
        <w:drawing>
          <wp:inline distT="0" distB="0" distL="0" distR="0" wp14:anchorId="120BDFA1" wp14:editId="0E9BDB98">
            <wp:extent cx="4057650" cy="5245812"/>
            <wp:effectExtent l="0" t="0" r="0" b="0"/>
            <wp:docPr id="1916372694" name="Picture 7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72694" name="Picture 7" descr="A close-up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726" cy="529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2F7B6" w14:textId="539B416B" w:rsidR="00AB4519" w:rsidRPr="00F73A13" w:rsidRDefault="00AB4519" w:rsidP="00AB4519">
      <w:pPr>
        <w:rPr>
          <w:rFonts w:ascii="Times New Roman" w:hAnsi="Times New Roman" w:cs="Times New Roman"/>
        </w:rPr>
      </w:pPr>
      <w:r w:rsidRPr="00F73A13">
        <w:rPr>
          <w:rFonts w:ascii="Times New Roman" w:hAnsi="Times New Roman" w:cs="Times New Roman"/>
          <w:b/>
          <w:bCs/>
        </w:rPr>
        <w:t>Figure S</w:t>
      </w:r>
      <w:r w:rsidR="003A489A">
        <w:rPr>
          <w:rFonts w:ascii="Times New Roman" w:hAnsi="Times New Roman" w:cs="Times New Roman"/>
          <w:b/>
          <w:bCs/>
        </w:rPr>
        <w:t>6</w:t>
      </w:r>
      <w:r w:rsidRPr="00F73A13">
        <w:rPr>
          <w:rFonts w:ascii="Times New Roman" w:hAnsi="Times New Roman" w:cs="Times New Roman"/>
          <w:b/>
          <w:bCs/>
        </w:rPr>
        <w:t>. AlphaFold 3 generated VAR2CSA (FCR3) structure evaluation.</w:t>
      </w:r>
      <w:r w:rsidRPr="00F73A13">
        <w:rPr>
          <w:rFonts w:ascii="Times New Roman" w:hAnsi="Times New Roman" w:cs="Times New Roman"/>
        </w:rPr>
        <w:t xml:space="preserve"> Structures generated by AlphaFold 3 were evaluated based on their similarity to previously resolved structures (</w:t>
      </w:r>
      <w:r w:rsidRPr="004E04D2">
        <w:rPr>
          <w:rFonts w:ascii="Times New Roman" w:hAnsi="Times New Roman" w:cs="Times New Roman"/>
          <w:b/>
          <w:bCs/>
        </w:rPr>
        <w:t>A</w:t>
      </w:r>
      <w:r w:rsidRPr="00F73A13">
        <w:rPr>
          <w:rFonts w:ascii="Times New Roman" w:hAnsi="Times New Roman" w:cs="Times New Roman"/>
        </w:rPr>
        <w:t>) and prediction confidence (</w:t>
      </w:r>
      <w:r w:rsidRPr="004E04D2">
        <w:rPr>
          <w:rFonts w:ascii="Times New Roman" w:hAnsi="Times New Roman" w:cs="Times New Roman"/>
          <w:b/>
          <w:bCs/>
        </w:rPr>
        <w:t>B</w:t>
      </w:r>
      <w:r w:rsidR="004E04D2" w:rsidRPr="004E04D2">
        <w:rPr>
          <w:rFonts w:ascii="Times New Roman" w:hAnsi="Times New Roman" w:cs="Times New Roman"/>
          <w:b/>
          <w:bCs/>
        </w:rPr>
        <w:t xml:space="preserve">, </w:t>
      </w:r>
      <w:r w:rsidRPr="004E04D2">
        <w:rPr>
          <w:rFonts w:ascii="Times New Roman" w:hAnsi="Times New Roman" w:cs="Times New Roman"/>
          <w:b/>
          <w:bCs/>
        </w:rPr>
        <w:t>C</w:t>
      </w:r>
      <w:r w:rsidRPr="00F73A13">
        <w:rPr>
          <w:rFonts w:ascii="Times New Roman" w:hAnsi="Times New Roman" w:cs="Times New Roman"/>
        </w:rPr>
        <w:t xml:space="preserve">). (A) RMSD matchmaking overlay was performed using Chimera 1.8x internal software. AlphaFold 3 predicted structure derived from the reference cryo-EM resolved VAR2CSA (FCR3) structure (PDB ID 7JGE) </w:t>
      </w:r>
      <w:r w:rsidRPr="00F73A13">
        <w:rPr>
          <w:rFonts w:ascii="Times New Roman" w:hAnsi="Times New Roman" w:cs="Times New Roman"/>
        </w:rPr>
        <w:fldChar w:fldCharType="begin">
          <w:fldData xml:space="preserve">PEVuZE5vdGU+PENpdGU+PEF1dGhvcj5NYTwvQXV0aG9yPjxZZWFyPjIwMjE8L1llYXI+PFJlY051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</w:fldData>
        </w:fldChar>
      </w:r>
      <w:r w:rsidR="00F47F7F">
        <w:rPr>
          <w:rFonts w:ascii="Times New Roman" w:hAnsi="Times New Roman" w:cs="Times New Roman"/>
        </w:rPr>
        <w:instrText xml:space="preserve"> ADDIN EN.CITE </w:instrText>
      </w:r>
      <w:r w:rsidR="00F47F7F">
        <w:rPr>
          <w:rFonts w:ascii="Times New Roman" w:hAnsi="Times New Roman" w:cs="Times New Roman"/>
        </w:rPr>
        <w:fldChar w:fldCharType="begin">
          <w:fldData xml:space="preserve">PEVuZE5vdGU+PENpdGU+PEF1dGhvcj5NYTwvQXV0aG9yPjxZZWFyPjIwMjE8L1llYXI+PFJlY051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</w:fldData>
        </w:fldChar>
      </w:r>
      <w:r w:rsidR="00F47F7F">
        <w:rPr>
          <w:rFonts w:ascii="Times New Roman" w:hAnsi="Times New Roman" w:cs="Times New Roman"/>
        </w:rPr>
        <w:instrText xml:space="preserve"> ADDIN EN.CITE.DATA </w:instrText>
      </w:r>
      <w:r w:rsidR="00F47F7F">
        <w:rPr>
          <w:rFonts w:ascii="Times New Roman" w:hAnsi="Times New Roman" w:cs="Times New Roman"/>
        </w:rPr>
      </w:r>
      <w:r w:rsidR="00F47F7F">
        <w:rPr>
          <w:rFonts w:ascii="Times New Roman" w:hAnsi="Times New Roman" w:cs="Times New Roman"/>
        </w:rPr>
        <w:fldChar w:fldCharType="end"/>
      </w:r>
      <w:r w:rsidRPr="00F73A13">
        <w:rPr>
          <w:rFonts w:ascii="Times New Roman" w:hAnsi="Times New Roman" w:cs="Times New Roman"/>
        </w:rPr>
      </w:r>
      <w:r w:rsidRPr="00F73A13">
        <w:rPr>
          <w:rFonts w:ascii="Times New Roman" w:hAnsi="Times New Roman" w:cs="Times New Roman"/>
        </w:rPr>
        <w:fldChar w:fldCharType="separate"/>
      </w:r>
      <w:r w:rsidR="00F47F7F" w:rsidRPr="00F47F7F">
        <w:rPr>
          <w:rFonts w:ascii="Times New Roman" w:hAnsi="Times New Roman" w:cs="Times New Roman"/>
          <w:noProof/>
          <w:vertAlign w:val="superscript"/>
        </w:rPr>
        <w:t>3</w:t>
      </w:r>
      <w:r w:rsidRPr="00F73A13">
        <w:rPr>
          <w:rFonts w:ascii="Times New Roman" w:hAnsi="Times New Roman" w:cs="Times New Roman"/>
        </w:rPr>
        <w:fldChar w:fldCharType="end"/>
      </w:r>
      <w:r w:rsidRPr="00F73A13">
        <w:rPr>
          <w:rFonts w:ascii="Times New Roman" w:hAnsi="Times New Roman" w:cs="Times New Roman"/>
        </w:rPr>
        <w:t>. Pruned RMSD score and whole RMSD score calculated by Chimera 1.8x and presented unaltered. (</w:t>
      </w:r>
      <w:r w:rsidRPr="004E04D2">
        <w:rPr>
          <w:rFonts w:ascii="Times New Roman" w:hAnsi="Times New Roman" w:cs="Times New Roman"/>
          <w:b/>
          <w:bCs/>
        </w:rPr>
        <w:t>B</w:t>
      </w:r>
      <w:r w:rsidRPr="00F73A13">
        <w:rPr>
          <w:rFonts w:ascii="Times New Roman" w:hAnsi="Times New Roman" w:cs="Times New Roman"/>
        </w:rPr>
        <w:t>) Per-residue confidence values, predicted local distance difference test (</w:t>
      </w:r>
      <w:proofErr w:type="spellStart"/>
      <w:r w:rsidRPr="00F73A13">
        <w:rPr>
          <w:rFonts w:ascii="Times New Roman" w:hAnsi="Times New Roman" w:cs="Times New Roman"/>
        </w:rPr>
        <w:t>plDDT</w:t>
      </w:r>
      <w:proofErr w:type="spellEnd"/>
      <w:r w:rsidRPr="00F73A13">
        <w:rPr>
          <w:rFonts w:ascii="Times New Roman" w:hAnsi="Times New Roman" w:cs="Times New Roman"/>
        </w:rPr>
        <w:t>), are colour-coded onto respective residues of VAR2CSA (FCR3) AlphaFold 3 predicted structure. (</w:t>
      </w:r>
      <w:r w:rsidRPr="004E04D2">
        <w:rPr>
          <w:rFonts w:ascii="Times New Roman" w:hAnsi="Times New Roman" w:cs="Times New Roman"/>
          <w:b/>
          <w:bCs/>
        </w:rPr>
        <w:t>C</w:t>
      </w:r>
      <w:r w:rsidRPr="00F73A13">
        <w:rPr>
          <w:rFonts w:ascii="Times New Roman" w:hAnsi="Times New Roman" w:cs="Times New Roman"/>
        </w:rPr>
        <w:t>) Predicted aligned error plot of AlphaFold 3 predicted VAR2CSA (FCR3). Plot denotes expected positional error in a pair-wise manner to other residues.</w:t>
      </w:r>
    </w:p>
    <w:p w14:paraId="5795F5C8" w14:textId="77777777" w:rsidR="00AB4519" w:rsidRPr="00F73A13" w:rsidRDefault="00AB4519" w:rsidP="00AB4519">
      <w:pPr>
        <w:rPr>
          <w:rFonts w:ascii="Times New Roman" w:hAnsi="Times New Roman" w:cs="Times New Roman"/>
        </w:rPr>
      </w:pPr>
    </w:p>
    <w:p w14:paraId="57E59901" w14:textId="77777777" w:rsidR="00C24E5C" w:rsidRDefault="00C24E5C" w:rsidP="00AB4519">
      <w:pPr>
        <w:rPr>
          <w:rFonts w:ascii="Times New Roman" w:hAnsi="Times New Roman" w:cs="Times New Roman"/>
          <w:b/>
          <w:bCs/>
        </w:rPr>
      </w:pPr>
    </w:p>
    <w:p w14:paraId="2F02CC61" w14:textId="61F6E615" w:rsidR="00AB4519" w:rsidRPr="00F73A13" w:rsidRDefault="00AB4519" w:rsidP="00AB4519">
      <w:pPr>
        <w:rPr>
          <w:rFonts w:ascii="Times New Roman" w:hAnsi="Times New Roman" w:cs="Times New Roman"/>
          <w:b/>
          <w:bCs/>
        </w:rPr>
      </w:pPr>
      <w:r w:rsidRPr="00F73A13">
        <w:rPr>
          <w:rFonts w:ascii="Times New Roman" w:hAnsi="Times New Roman" w:cs="Times New Roman"/>
          <w:b/>
          <w:bCs/>
        </w:rPr>
        <w:t>Table S3:</w:t>
      </w:r>
      <w:r w:rsidRPr="00F73A13">
        <w:rPr>
          <w:rFonts w:ascii="Times New Roman" w:hAnsi="Times New Roman" w:cs="Times New Roman"/>
        </w:rPr>
        <w:t xml:space="preserve"> Bootstrapped distance probabilities between sequence elements</w:t>
      </w:r>
    </w:p>
    <w:tbl>
      <w:tblPr>
        <w:tblStyle w:val="TableGrid"/>
        <w:tblpPr w:leftFromText="180" w:rightFromText="180" w:vertAnchor="text" w:horzAnchor="margin" w:tblpXSpec="center" w:tblpY="-90"/>
        <w:tblW w:w="0" w:type="auto"/>
        <w:tblLook w:val="04A0" w:firstRow="1" w:lastRow="0" w:firstColumn="1" w:lastColumn="0" w:noHBand="0" w:noVBand="1"/>
      </w:tblPr>
      <w:tblGrid>
        <w:gridCol w:w="1161"/>
        <w:gridCol w:w="956"/>
        <w:gridCol w:w="956"/>
        <w:gridCol w:w="956"/>
        <w:gridCol w:w="956"/>
        <w:gridCol w:w="956"/>
        <w:gridCol w:w="1076"/>
      </w:tblGrid>
      <w:tr w:rsidR="00AB4519" w:rsidRPr="0088347F" w14:paraId="2FD112FA" w14:textId="77777777" w:rsidTr="00F0523A">
        <w:trPr>
          <w:trHeight w:val="315"/>
        </w:trPr>
        <w:tc>
          <w:tcPr>
            <w:tcW w:w="7017" w:type="dxa"/>
            <w:gridSpan w:val="7"/>
            <w:shd w:val="clear" w:color="auto" w:fill="000000" w:themeFill="text1"/>
            <w:noWrap/>
            <w:vAlign w:val="center"/>
            <w:hideMark/>
          </w:tcPr>
          <w:p w14:paraId="19676D1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Boot-strapped odds of amino acid distances</w:t>
            </w:r>
          </w:p>
        </w:tc>
      </w:tr>
      <w:tr w:rsidR="00AB4519" w:rsidRPr="0088347F" w14:paraId="17AA3179" w14:textId="77777777" w:rsidTr="00F0523A">
        <w:trPr>
          <w:trHeight w:val="300"/>
        </w:trPr>
        <w:tc>
          <w:tcPr>
            <w:tcW w:w="116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2D1D1D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Distances</w:t>
            </w:r>
          </w:p>
        </w:tc>
        <w:tc>
          <w:tcPr>
            <w:tcW w:w="5856" w:type="dxa"/>
            <w:gridSpan w:val="6"/>
            <w:shd w:val="clear" w:color="auto" w:fill="D1D1D1" w:themeFill="background2" w:themeFillShade="E6"/>
            <w:noWrap/>
            <w:vAlign w:val="center"/>
            <w:hideMark/>
          </w:tcPr>
          <w:p w14:paraId="466B265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Number of 'other' resid</w:t>
            </w:r>
            <w:r>
              <w:rPr>
                <w:rFonts w:ascii="Times New Roman" w:hAnsi="Times New Roman" w:cs="Times New Roman"/>
              </w:rPr>
              <w:t>u</w:t>
            </w:r>
            <w:r w:rsidRPr="0088347F">
              <w:rPr>
                <w:rFonts w:ascii="Times New Roman" w:hAnsi="Times New Roman" w:cs="Times New Roman"/>
              </w:rPr>
              <w:t>es per peptide</w:t>
            </w:r>
          </w:p>
        </w:tc>
      </w:tr>
      <w:tr w:rsidR="00AB4519" w:rsidRPr="0088347F" w14:paraId="419CC81E" w14:textId="77777777" w:rsidTr="00F0523A">
        <w:trPr>
          <w:trHeight w:val="315"/>
        </w:trPr>
        <w:tc>
          <w:tcPr>
            <w:tcW w:w="1161" w:type="dxa"/>
            <w:vMerge/>
            <w:shd w:val="clear" w:color="auto" w:fill="F2F2F2" w:themeFill="background1" w:themeFillShade="F2"/>
            <w:vAlign w:val="center"/>
            <w:hideMark/>
          </w:tcPr>
          <w:p w14:paraId="7738A7F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shd w:val="clear" w:color="auto" w:fill="D1D1D1" w:themeFill="background2" w:themeFillShade="E6"/>
            <w:noWrap/>
            <w:vAlign w:val="center"/>
            <w:hideMark/>
          </w:tcPr>
          <w:p w14:paraId="5391046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6" w:type="dxa"/>
            <w:shd w:val="clear" w:color="auto" w:fill="D1D1D1" w:themeFill="background2" w:themeFillShade="E6"/>
            <w:noWrap/>
            <w:vAlign w:val="center"/>
            <w:hideMark/>
          </w:tcPr>
          <w:p w14:paraId="7D63A4E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6" w:type="dxa"/>
            <w:shd w:val="clear" w:color="auto" w:fill="D1D1D1" w:themeFill="background2" w:themeFillShade="E6"/>
            <w:noWrap/>
            <w:vAlign w:val="center"/>
            <w:hideMark/>
          </w:tcPr>
          <w:p w14:paraId="72BB4EC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6" w:type="dxa"/>
            <w:shd w:val="clear" w:color="auto" w:fill="D1D1D1" w:themeFill="background2" w:themeFillShade="E6"/>
            <w:noWrap/>
            <w:vAlign w:val="center"/>
            <w:hideMark/>
          </w:tcPr>
          <w:p w14:paraId="16C9D5C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6" w:type="dxa"/>
            <w:shd w:val="clear" w:color="auto" w:fill="D1D1D1" w:themeFill="background2" w:themeFillShade="E6"/>
            <w:noWrap/>
            <w:vAlign w:val="center"/>
            <w:hideMark/>
          </w:tcPr>
          <w:p w14:paraId="581AF0A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6" w:type="dxa"/>
            <w:shd w:val="clear" w:color="auto" w:fill="D1D1D1" w:themeFill="background2" w:themeFillShade="E6"/>
            <w:noWrap/>
            <w:vAlign w:val="center"/>
            <w:hideMark/>
          </w:tcPr>
          <w:p w14:paraId="1C8F542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19</w:t>
            </w:r>
          </w:p>
        </w:tc>
      </w:tr>
      <w:tr w:rsidR="00AB4519" w:rsidRPr="0088347F" w14:paraId="00F957F9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36B6003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6" w:type="dxa"/>
            <w:noWrap/>
            <w:vAlign w:val="center"/>
            <w:hideMark/>
          </w:tcPr>
          <w:p w14:paraId="7F33053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10.00%</w:t>
            </w:r>
          </w:p>
        </w:tc>
        <w:tc>
          <w:tcPr>
            <w:tcW w:w="956" w:type="dxa"/>
            <w:noWrap/>
            <w:vAlign w:val="center"/>
            <w:hideMark/>
          </w:tcPr>
          <w:p w14:paraId="635CC50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19.47%</w:t>
            </w:r>
          </w:p>
        </w:tc>
        <w:tc>
          <w:tcPr>
            <w:tcW w:w="956" w:type="dxa"/>
            <w:noWrap/>
            <w:vAlign w:val="center"/>
            <w:hideMark/>
          </w:tcPr>
          <w:p w14:paraId="78FFB60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28.42%</w:t>
            </w:r>
          </w:p>
        </w:tc>
        <w:tc>
          <w:tcPr>
            <w:tcW w:w="956" w:type="dxa"/>
            <w:noWrap/>
            <w:vAlign w:val="center"/>
            <w:hideMark/>
          </w:tcPr>
          <w:p w14:paraId="04F6D02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36.84%</w:t>
            </w:r>
          </w:p>
        </w:tc>
        <w:tc>
          <w:tcPr>
            <w:tcW w:w="956" w:type="dxa"/>
            <w:noWrap/>
            <w:vAlign w:val="center"/>
            <w:hideMark/>
          </w:tcPr>
          <w:p w14:paraId="0B9C6F91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44.74%</w:t>
            </w:r>
          </w:p>
        </w:tc>
        <w:tc>
          <w:tcPr>
            <w:tcW w:w="1076" w:type="dxa"/>
            <w:noWrap/>
            <w:vAlign w:val="center"/>
            <w:hideMark/>
          </w:tcPr>
          <w:p w14:paraId="0B70C9C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0.53%</w:t>
            </w:r>
          </w:p>
        </w:tc>
      </w:tr>
      <w:tr w:rsidR="00AB4519" w:rsidRPr="0088347F" w14:paraId="6FB693C7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78B090E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6" w:type="dxa"/>
            <w:noWrap/>
            <w:vAlign w:val="center"/>
            <w:hideMark/>
          </w:tcPr>
          <w:p w14:paraId="28B480A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9.47%</w:t>
            </w:r>
          </w:p>
        </w:tc>
        <w:tc>
          <w:tcPr>
            <w:tcW w:w="956" w:type="dxa"/>
            <w:noWrap/>
            <w:vAlign w:val="center"/>
            <w:hideMark/>
          </w:tcPr>
          <w:p w14:paraId="2FB97B9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16.43%</w:t>
            </w:r>
          </w:p>
        </w:tc>
        <w:tc>
          <w:tcPr>
            <w:tcW w:w="956" w:type="dxa"/>
            <w:noWrap/>
            <w:vAlign w:val="center"/>
            <w:hideMark/>
          </w:tcPr>
          <w:p w14:paraId="79C7044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21.22%</w:t>
            </w:r>
          </w:p>
        </w:tc>
        <w:tc>
          <w:tcPr>
            <w:tcW w:w="956" w:type="dxa"/>
            <w:noWrap/>
            <w:vAlign w:val="center"/>
            <w:hideMark/>
          </w:tcPr>
          <w:p w14:paraId="62FD03D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24.15%</w:t>
            </w:r>
          </w:p>
        </w:tc>
        <w:tc>
          <w:tcPr>
            <w:tcW w:w="956" w:type="dxa"/>
            <w:noWrap/>
            <w:vAlign w:val="center"/>
            <w:hideMark/>
          </w:tcPr>
          <w:p w14:paraId="1F8A4C4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25.52%</w:t>
            </w:r>
          </w:p>
        </w:tc>
        <w:tc>
          <w:tcPr>
            <w:tcW w:w="1076" w:type="dxa"/>
            <w:noWrap/>
            <w:vAlign w:val="center"/>
            <w:hideMark/>
          </w:tcPr>
          <w:p w14:paraId="179CA6C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6190FAE7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4A502CA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6" w:type="dxa"/>
            <w:noWrap/>
            <w:vAlign w:val="center"/>
            <w:hideMark/>
          </w:tcPr>
          <w:p w14:paraId="00CF04E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8.95%</w:t>
            </w:r>
          </w:p>
        </w:tc>
        <w:tc>
          <w:tcPr>
            <w:tcW w:w="956" w:type="dxa"/>
            <w:noWrap/>
            <w:vAlign w:val="center"/>
            <w:hideMark/>
          </w:tcPr>
          <w:p w14:paraId="20FCB94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13.68%</w:t>
            </w:r>
          </w:p>
        </w:tc>
        <w:tc>
          <w:tcPr>
            <w:tcW w:w="956" w:type="dxa"/>
            <w:noWrap/>
            <w:vAlign w:val="center"/>
            <w:hideMark/>
          </w:tcPr>
          <w:p w14:paraId="1A5D006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15.47%</w:t>
            </w:r>
          </w:p>
        </w:tc>
        <w:tc>
          <w:tcPr>
            <w:tcW w:w="956" w:type="dxa"/>
            <w:noWrap/>
            <w:vAlign w:val="center"/>
            <w:hideMark/>
          </w:tcPr>
          <w:p w14:paraId="7CE587C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15.30%</w:t>
            </w:r>
          </w:p>
        </w:tc>
        <w:tc>
          <w:tcPr>
            <w:tcW w:w="956" w:type="dxa"/>
            <w:noWrap/>
            <w:vAlign w:val="center"/>
            <w:hideMark/>
          </w:tcPr>
          <w:p w14:paraId="0C96FEB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13.93%</w:t>
            </w:r>
          </w:p>
        </w:tc>
        <w:tc>
          <w:tcPr>
            <w:tcW w:w="1076" w:type="dxa"/>
            <w:noWrap/>
            <w:vAlign w:val="center"/>
            <w:hideMark/>
          </w:tcPr>
          <w:p w14:paraId="17B6F991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666A15F0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11F657D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6" w:type="dxa"/>
            <w:noWrap/>
            <w:vAlign w:val="center"/>
            <w:hideMark/>
          </w:tcPr>
          <w:p w14:paraId="3294D0D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8.42%</w:t>
            </w:r>
          </w:p>
        </w:tc>
        <w:tc>
          <w:tcPr>
            <w:tcW w:w="956" w:type="dxa"/>
            <w:noWrap/>
            <w:vAlign w:val="center"/>
            <w:hideMark/>
          </w:tcPr>
          <w:p w14:paraId="121C73A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11.23%</w:t>
            </w:r>
          </w:p>
        </w:tc>
        <w:tc>
          <w:tcPr>
            <w:tcW w:w="956" w:type="dxa"/>
            <w:noWrap/>
            <w:vAlign w:val="center"/>
            <w:hideMark/>
          </w:tcPr>
          <w:p w14:paraId="688D228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11.00%</w:t>
            </w:r>
          </w:p>
        </w:tc>
        <w:tc>
          <w:tcPr>
            <w:tcW w:w="956" w:type="dxa"/>
            <w:noWrap/>
            <w:vAlign w:val="center"/>
            <w:hideMark/>
          </w:tcPr>
          <w:p w14:paraId="0971BD7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9.38%</w:t>
            </w:r>
          </w:p>
        </w:tc>
        <w:tc>
          <w:tcPr>
            <w:tcW w:w="956" w:type="dxa"/>
            <w:noWrap/>
            <w:vAlign w:val="center"/>
            <w:hideMark/>
          </w:tcPr>
          <w:p w14:paraId="6B7DD80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7.33%</w:t>
            </w:r>
          </w:p>
        </w:tc>
        <w:tc>
          <w:tcPr>
            <w:tcW w:w="1076" w:type="dxa"/>
            <w:noWrap/>
            <w:vAlign w:val="center"/>
            <w:hideMark/>
          </w:tcPr>
          <w:p w14:paraId="55D4F93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70523685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0ED8794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6" w:type="dxa"/>
            <w:noWrap/>
            <w:vAlign w:val="center"/>
            <w:hideMark/>
          </w:tcPr>
          <w:p w14:paraId="21B21BA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7.89%</w:t>
            </w:r>
          </w:p>
        </w:tc>
        <w:tc>
          <w:tcPr>
            <w:tcW w:w="956" w:type="dxa"/>
            <w:noWrap/>
            <w:vAlign w:val="center"/>
            <w:hideMark/>
          </w:tcPr>
          <w:p w14:paraId="48DC5EC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9.06%</w:t>
            </w:r>
          </w:p>
        </w:tc>
        <w:tc>
          <w:tcPr>
            <w:tcW w:w="956" w:type="dxa"/>
            <w:noWrap/>
            <w:vAlign w:val="center"/>
            <w:hideMark/>
          </w:tcPr>
          <w:p w14:paraId="492C516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7.64%</w:t>
            </w:r>
          </w:p>
        </w:tc>
        <w:tc>
          <w:tcPr>
            <w:tcW w:w="956" w:type="dxa"/>
            <w:noWrap/>
            <w:vAlign w:val="center"/>
            <w:hideMark/>
          </w:tcPr>
          <w:p w14:paraId="443BD23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5.61%</w:t>
            </w:r>
          </w:p>
        </w:tc>
        <w:tc>
          <w:tcPr>
            <w:tcW w:w="956" w:type="dxa"/>
            <w:noWrap/>
            <w:vAlign w:val="center"/>
            <w:hideMark/>
          </w:tcPr>
          <w:p w14:paraId="45FC036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3.81%</w:t>
            </w:r>
          </w:p>
        </w:tc>
        <w:tc>
          <w:tcPr>
            <w:tcW w:w="1076" w:type="dxa"/>
            <w:noWrap/>
            <w:vAlign w:val="center"/>
            <w:hideMark/>
          </w:tcPr>
          <w:p w14:paraId="701BA9E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1EA0478F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1D02754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6" w:type="dxa"/>
            <w:noWrap/>
            <w:vAlign w:val="center"/>
            <w:hideMark/>
          </w:tcPr>
          <w:p w14:paraId="025A842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7.37%</w:t>
            </w:r>
          </w:p>
        </w:tc>
        <w:tc>
          <w:tcPr>
            <w:tcW w:w="956" w:type="dxa"/>
            <w:noWrap/>
            <w:vAlign w:val="center"/>
            <w:hideMark/>
          </w:tcPr>
          <w:p w14:paraId="658CB81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7.19%</w:t>
            </w:r>
          </w:p>
        </w:tc>
        <w:tc>
          <w:tcPr>
            <w:tcW w:w="956" w:type="dxa"/>
            <w:noWrap/>
            <w:vAlign w:val="center"/>
            <w:hideMark/>
          </w:tcPr>
          <w:p w14:paraId="627E2D3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5.20%</w:t>
            </w:r>
          </w:p>
        </w:tc>
        <w:tc>
          <w:tcPr>
            <w:tcW w:w="956" w:type="dxa"/>
            <w:noWrap/>
            <w:vAlign w:val="center"/>
            <w:hideMark/>
          </w:tcPr>
          <w:p w14:paraId="1D9A251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3.34%</w:t>
            </w:r>
          </w:p>
        </w:tc>
        <w:tc>
          <w:tcPr>
            <w:tcW w:w="956" w:type="dxa"/>
            <w:noWrap/>
            <w:vAlign w:val="center"/>
            <w:hideMark/>
          </w:tcPr>
          <w:p w14:paraId="3D8E02C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2.03%</w:t>
            </w:r>
          </w:p>
        </w:tc>
        <w:tc>
          <w:tcPr>
            <w:tcW w:w="1076" w:type="dxa"/>
            <w:noWrap/>
            <w:vAlign w:val="center"/>
            <w:hideMark/>
          </w:tcPr>
          <w:p w14:paraId="0C0E60B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01FAF989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05E609F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6" w:type="dxa"/>
            <w:noWrap/>
            <w:vAlign w:val="center"/>
            <w:hideMark/>
          </w:tcPr>
          <w:p w14:paraId="6518705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6.84%</w:t>
            </w:r>
          </w:p>
        </w:tc>
        <w:tc>
          <w:tcPr>
            <w:tcW w:w="956" w:type="dxa"/>
            <w:noWrap/>
            <w:vAlign w:val="center"/>
            <w:hideMark/>
          </w:tcPr>
          <w:p w14:paraId="7599A06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5.61%</w:t>
            </w:r>
          </w:p>
        </w:tc>
        <w:tc>
          <w:tcPr>
            <w:tcW w:w="956" w:type="dxa"/>
            <w:noWrap/>
            <w:vAlign w:val="center"/>
            <w:hideMark/>
          </w:tcPr>
          <w:p w14:paraId="21AA719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3.52%</w:t>
            </w:r>
          </w:p>
        </w:tc>
        <w:tc>
          <w:tcPr>
            <w:tcW w:w="956" w:type="dxa"/>
            <w:noWrap/>
            <w:vAlign w:val="center"/>
            <w:hideMark/>
          </w:tcPr>
          <w:p w14:paraId="22D5A63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2.04%</w:t>
            </w:r>
          </w:p>
        </w:tc>
        <w:tc>
          <w:tcPr>
            <w:tcW w:w="956" w:type="dxa"/>
            <w:noWrap/>
            <w:vAlign w:val="center"/>
            <w:hideMark/>
          </w:tcPr>
          <w:p w14:paraId="79569AC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1.15%</w:t>
            </w:r>
          </w:p>
        </w:tc>
        <w:tc>
          <w:tcPr>
            <w:tcW w:w="1076" w:type="dxa"/>
            <w:noWrap/>
            <w:vAlign w:val="center"/>
            <w:hideMark/>
          </w:tcPr>
          <w:p w14:paraId="0A7D3F8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58BB83A2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1443A7E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6" w:type="dxa"/>
            <w:noWrap/>
            <w:vAlign w:val="center"/>
            <w:hideMark/>
          </w:tcPr>
          <w:p w14:paraId="028E20E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6.32%</w:t>
            </w:r>
          </w:p>
        </w:tc>
        <w:tc>
          <w:tcPr>
            <w:tcW w:w="956" w:type="dxa"/>
            <w:noWrap/>
            <w:vAlign w:val="center"/>
            <w:hideMark/>
          </w:tcPr>
          <w:p w14:paraId="21919E7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4.33%</w:t>
            </w:r>
          </w:p>
        </w:tc>
        <w:tc>
          <w:tcPr>
            <w:tcW w:w="956" w:type="dxa"/>
            <w:noWrap/>
            <w:vAlign w:val="center"/>
            <w:hideMark/>
          </w:tcPr>
          <w:p w14:paraId="6A79969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2.41%</w:t>
            </w:r>
          </w:p>
        </w:tc>
        <w:tc>
          <w:tcPr>
            <w:tcW w:w="956" w:type="dxa"/>
            <w:noWrap/>
            <w:vAlign w:val="center"/>
            <w:hideMark/>
          </w:tcPr>
          <w:p w14:paraId="55943C9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1.30%</w:t>
            </w:r>
          </w:p>
        </w:tc>
        <w:tc>
          <w:tcPr>
            <w:tcW w:w="956" w:type="dxa"/>
            <w:noWrap/>
            <w:vAlign w:val="center"/>
            <w:hideMark/>
          </w:tcPr>
          <w:p w14:paraId="32E6074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0.68%</w:t>
            </w:r>
          </w:p>
        </w:tc>
        <w:tc>
          <w:tcPr>
            <w:tcW w:w="1076" w:type="dxa"/>
            <w:noWrap/>
            <w:vAlign w:val="center"/>
            <w:hideMark/>
          </w:tcPr>
          <w:p w14:paraId="3DB15FF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234019D5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2CB5D63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6" w:type="dxa"/>
            <w:noWrap/>
            <w:vAlign w:val="center"/>
            <w:hideMark/>
          </w:tcPr>
          <w:p w14:paraId="56E6BE5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5.79%</w:t>
            </w:r>
          </w:p>
        </w:tc>
        <w:tc>
          <w:tcPr>
            <w:tcW w:w="956" w:type="dxa"/>
            <w:noWrap/>
            <w:vAlign w:val="center"/>
            <w:hideMark/>
          </w:tcPr>
          <w:p w14:paraId="6D20CD5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3.33%</w:t>
            </w:r>
          </w:p>
        </w:tc>
        <w:tc>
          <w:tcPr>
            <w:tcW w:w="956" w:type="dxa"/>
            <w:noWrap/>
            <w:vAlign w:val="center"/>
            <w:hideMark/>
          </w:tcPr>
          <w:p w14:paraId="1E729C9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1.71%</w:t>
            </w:r>
          </w:p>
        </w:tc>
        <w:tc>
          <w:tcPr>
            <w:tcW w:w="956" w:type="dxa"/>
            <w:noWrap/>
            <w:vAlign w:val="center"/>
            <w:hideMark/>
          </w:tcPr>
          <w:p w14:paraId="2DEDE47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0.85%</w:t>
            </w:r>
          </w:p>
        </w:tc>
        <w:tc>
          <w:tcPr>
            <w:tcW w:w="956" w:type="dxa"/>
            <w:noWrap/>
            <w:vAlign w:val="center"/>
            <w:hideMark/>
          </w:tcPr>
          <w:p w14:paraId="1A623EA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0.40%</w:t>
            </w:r>
          </w:p>
        </w:tc>
        <w:tc>
          <w:tcPr>
            <w:tcW w:w="1076" w:type="dxa"/>
            <w:noWrap/>
            <w:vAlign w:val="center"/>
            <w:hideMark/>
          </w:tcPr>
          <w:p w14:paraId="460AB14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24D13A6D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6D2BD1D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6" w:type="dxa"/>
            <w:noWrap/>
            <w:vAlign w:val="center"/>
            <w:hideMark/>
          </w:tcPr>
          <w:p w14:paraId="451D768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5.26%</w:t>
            </w:r>
          </w:p>
        </w:tc>
        <w:tc>
          <w:tcPr>
            <w:tcW w:w="956" w:type="dxa"/>
            <w:noWrap/>
            <w:vAlign w:val="center"/>
            <w:hideMark/>
          </w:tcPr>
          <w:p w14:paraId="1657E73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2.63%</w:t>
            </w:r>
          </w:p>
        </w:tc>
        <w:tc>
          <w:tcPr>
            <w:tcW w:w="956" w:type="dxa"/>
            <w:noWrap/>
            <w:vAlign w:val="center"/>
            <w:hideMark/>
          </w:tcPr>
          <w:p w14:paraId="454EE7B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1.24%</w:t>
            </w:r>
          </w:p>
        </w:tc>
        <w:tc>
          <w:tcPr>
            <w:tcW w:w="956" w:type="dxa"/>
            <w:noWrap/>
            <w:vAlign w:val="center"/>
            <w:hideMark/>
          </w:tcPr>
          <w:p w14:paraId="7F1C98D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0.54%</w:t>
            </w:r>
          </w:p>
        </w:tc>
        <w:tc>
          <w:tcPr>
            <w:tcW w:w="956" w:type="dxa"/>
            <w:noWrap/>
            <w:vAlign w:val="center"/>
            <w:hideMark/>
          </w:tcPr>
          <w:p w14:paraId="072175B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0.22%</w:t>
            </w:r>
          </w:p>
        </w:tc>
        <w:tc>
          <w:tcPr>
            <w:tcW w:w="1076" w:type="dxa"/>
            <w:noWrap/>
            <w:vAlign w:val="center"/>
            <w:hideMark/>
          </w:tcPr>
          <w:p w14:paraId="29AE752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617211D1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09BB389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6" w:type="dxa"/>
            <w:noWrap/>
            <w:vAlign w:val="center"/>
            <w:hideMark/>
          </w:tcPr>
          <w:p w14:paraId="6E77069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4.74%</w:t>
            </w:r>
          </w:p>
        </w:tc>
        <w:tc>
          <w:tcPr>
            <w:tcW w:w="956" w:type="dxa"/>
            <w:noWrap/>
            <w:vAlign w:val="center"/>
            <w:hideMark/>
          </w:tcPr>
          <w:p w14:paraId="6745CEB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2.11%</w:t>
            </w:r>
          </w:p>
        </w:tc>
        <w:tc>
          <w:tcPr>
            <w:tcW w:w="956" w:type="dxa"/>
            <w:noWrap/>
            <w:vAlign w:val="center"/>
            <w:hideMark/>
          </w:tcPr>
          <w:p w14:paraId="7C180AE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0.87%</w:t>
            </w:r>
          </w:p>
        </w:tc>
        <w:tc>
          <w:tcPr>
            <w:tcW w:w="956" w:type="dxa"/>
            <w:noWrap/>
            <w:vAlign w:val="center"/>
            <w:hideMark/>
          </w:tcPr>
          <w:p w14:paraId="4168657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0.33%</w:t>
            </w:r>
          </w:p>
        </w:tc>
        <w:tc>
          <w:tcPr>
            <w:tcW w:w="956" w:type="dxa"/>
            <w:noWrap/>
            <w:vAlign w:val="center"/>
            <w:hideMark/>
          </w:tcPr>
          <w:p w14:paraId="5D095CC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0.11%</w:t>
            </w:r>
          </w:p>
        </w:tc>
        <w:tc>
          <w:tcPr>
            <w:tcW w:w="1076" w:type="dxa"/>
            <w:noWrap/>
            <w:vAlign w:val="center"/>
            <w:hideMark/>
          </w:tcPr>
          <w:p w14:paraId="4B38E9E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431D6A02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7022630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6" w:type="dxa"/>
            <w:noWrap/>
            <w:vAlign w:val="center"/>
            <w:hideMark/>
          </w:tcPr>
          <w:p w14:paraId="723DF72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4.21%</w:t>
            </w:r>
          </w:p>
        </w:tc>
        <w:tc>
          <w:tcPr>
            <w:tcW w:w="956" w:type="dxa"/>
            <w:noWrap/>
            <w:vAlign w:val="center"/>
            <w:hideMark/>
          </w:tcPr>
          <w:p w14:paraId="4E3F9DD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1.64%</w:t>
            </w:r>
          </w:p>
        </w:tc>
        <w:tc>
          <w:tcPr>
            <w:tcW w:w="956" w:type="dxa"/>
            <w:noWrap/>
            <w:vAlign w:val="center"/>
            <w:hideMark/>
          </w:tcPr>
          <w:p w14:paraId="7997E32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0.58%</w:t>
            </w:r>
          </w:p>
        </w:tc>
        <w:tc>
          <w:tcPr>
            <w:tcW w:w="956" w:type="dxa"/>
            <w:noWrap/>
            <w:vAlign w:val="center"/>
            <w:hideMark/>
          </w:tcPr>
          <w:p w14:paraId="52F22E0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0.18%</w:t>
            </w:r>
          </w:p>
        </w:tc>
        <w:tc>
          <w:tcPr>
            <w:tcW w:w="956" w:type="dxa"/>
            <w:noWrap/>
            <w:vAlign w:val="center"/>
            <w:hideMark/>
          </w:tcPr>
          <w:p w14:paraId="2FDC9AE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0.05%</w:t>
            </w:r>
          </w:p>
        </w:tc>
        <w:tc>
          <w:tcPr>
            <w:tcW w:w="1076" w:type="dxa"/>
            <w:noWrap/>
            <w:vAlign w:val="center"/>
            <w:hideMark/>
          </w:tcPr>
          <w:p w14:paraId="3D2EAFD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3EBD80E9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5A78957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6" w:type="dxa"/>
            <w:noWrap/>
            <w:vAlign w:val="center"/>
            <w:hideMark/>
          </w:tcPr>
          <w:p w14:paraId="5F0A955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3.68%</w:t>
            </w:r>
          </w:p>
        </w:tc>
        <w:tc>
          <w:tcPr>
            <w:tcW w:w="956" w:type="dxa"/>
            <w:noWrap/>
            <w:vAlign w:val="center"/>
            <w:hideMark/>
          </w:tcPr>
          <w:p w14:paraId="340F799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1.23%</w:t>
            </w:r>
          </w:p>
        </w:tc>
        <w:tc>
          <w:tcPr>
            <w:tcW w:w="956" w:type="dxa"/>
            <w:noWrap/>
            <w:vAlign w:val="center"/>
            <w:hideMark/>
          </w:tcPr>
          <w:p w14:paraId="50B8EAB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0.36%</w:t>
            </w:r>
          </w:p>
        </w:tc>
        <w:tc>
          <w:tcPr>
            <w:tcW w:w="956" w:type="dxa"/>
            <w:noWrap/>
            <w:vAlign w:val="center"/>
            <w:hideMark/>
          </w:tcPr>
          <w:p w14:paraId="6111BCF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0.09%</w:t>
            </w:r>
          </w:p>
        </w:tc>
        <w:tc>
          <w:tcPr>
            <w:tcW w:w="956" w:type="dxa"/>
            <w:noWrap/>
            <w:vAlign w:val="center"/>
            <w:hideMark/>
          </w:tcPr>
          <w:p w14:paraId="008BDA1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0.02%</w:t>
            </w:r>
          </w:p>
        </w:tc>
        <w:tc>
          <w:tcPr>
            <w:tcW w:w="1076" w:type="dxa"/>
            <w:noWrap/>
            <w:vAlign w:val="center"/>
            <w:hideMark/>
          </w:tcPr>
          <w:p w14:paraId="103AE70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720E49D9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070744A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6" w:type="dxa"/>
            <w:noWrap/>
            <w:vAlign w:val="center"/>
            <w:hideMark/>
          </w:tcPr>
          <w:p w14:paraId="3CE24A5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3.16%</w:t>
            </w:r>
          </w:p>
        </w:tc>
        <w:tc>
          <w:tcPr>
            <w:tcW w:w="956" w:type="dxa"/>
            <w:noWrap/>
            <w:vAlign w:val="center"/>
            <w:hideMark/>
          </w:tcPr>
          <w:p w14:paraId="504B770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0.88%</w:t>
            </w:r>
          </w:p>
        </w:tc>
        <w:tc>
          <w:tcPr>
            <w:tcW w:w="956" w:type="dxa"/>
            <w:noWrap/>
            <w:vAlign w:val="center"/>
            <w:hideMark/>
          </w:tcPr>
          <w:p w14:paraId="7A22059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0.21%</w:t>
            </w:r>
          </w:p>
        </w:tc>
        <w:tc>
          <w:tcPr>
            <w:tcW w:w="956" w:type="dxa"/>
            <w:noWrap/>
            <w:vAlign w:val="center"/>
            <w:hideMark/>
          </w:tcPr>
          <w:p w14:paraId="063D0E4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0.04%</w:t>
            </w:r>
          </w:p>
        </w:tc>
        <w:tc>
          <w:tcPr>
            <w:tcW w:w="956" w:type="dxa"/>
            <w:noWrap/>
            <w:vAlign w:val="center"/>
            <w:hideMark/>
          </w:tcPr>
          <w:p w14:paraId="6F58A775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0.01%</w:t>
            </w:r>
          </w:p>
        </w:tc>
        <w:tc>
          <w:tcPr>
            <w:tcW w:w="1076" w:type="dxa"/>
            <w:noWrap/>
            <w:vAlign w:val="center"/>
            <w:hideMark/>
          </w:tcPr>
          <w:p w14:paraId="371D172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045F06D5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2933EE6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6" w:type="dxa"/>
            <w:noWrap/>
            <w:vAlign w:val="center"/>
            <w:hideMark/>
          </w:tcPr>
          <w:p w14:paraId="484D1CD0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2.63%</w:t>
            </w:r>
          </w:p>
        </w:tc>
        <w:tc>
          <w:tcPr>
            <w:tcW w:w="956" w:type="dxa"/>
            <w:noWrap/>
            <w:vAlign w:val="center"/>
            <w:hideMark/>
          </w:tcPr>
          <w:p w14:paraId="5157310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0.58%</w:t>
            </w:r>
          </w:p>
        </w:tc>
        <w:tc>
          <w:tcPr>
            <w:tcW w:w="956" w:type="dxa"/>
            <w:noWrap/>
            <w:vAlign w:val="center"/>
            <w:hideMark/>
          </w:tcPr>
          <w:p w14:paraId="1900AEBD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0.10%</w:t>
            </w:r>
          </w:p>
        </w:tc>
        <w:tc>
          <w:tcPr>
            <w:tcW w:w="956" w:type="dxa"/>
            <w:noWrap/>
            <w:vAlign w:val="center"/>
            <w:hideMark/>
          </w:tcPr>
          <w:p w14:paraId="4A3C504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0.01%</w:t>
            </w:r>
          </w:p>
        </w:tc>
        <w:tc>
          <w:tcPr>
            <w:tcW w:w="956" w:type="dxa"/>
            <w:noWrap/>
            <w:vAlign w:val="center"/>
            <w:hideMark/>
          </w:tcPr>
          <w:p w14:paraId="06E1199A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1076" w:type="dxa"/>
            <w:noWrap/>
            <w:vAlign w:val="center"/>
            <w:hideMark/>
          </w:tcPr>
          <w:p w14:paraId="049FDFF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460B9FC1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4C95CA8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6" w:type="dxa"/>
            <w:noWrap/>
            <w:vAlign w:val="center"/>
            <w:hideMark/>
          </w:tcPr>
          <w:p w14:paraId="2987A33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2.11%</w:t>
            </w:r>
          </w:p>
        </w:tc>
        <w:tc>
          <w:tcPr>
            <w:tcW w:w="956" w:type="dxa"/>
            <w:noWrap/>
            <w:vAlign w:val="center"/>
            <w:hideMark/>
          </w:tcPr>
          <w:p w14:paraId="538E413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0.35%</w:t>
            </w:r>
          </w:p>
        </w:tc>
        <w:tc>
          <w:tcPr>
            <w:tcW w:w="956" w:type="dxa"/>
            <w:noWrap/>
            <w:vAlign w:val="center"/>
            <w:hideMark/>
          </w:tcPr>
          <w:p w14:paraId="13689D9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0.04%</w:t>
            </w:r>
          </w:p>
        </w:tc>
        <w:tc>
          <w:tcPr>
            <w:tcW w:w="956" w:type="dxa"/>
            <w:noWrap/>
            <w:vAlign w:val="center"/>
            <w:hideMark/>
          </w:tcPr>
          <w:p w14:paraId="2F72960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59F355A6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1076" w:type="dxa"/>
            <w:noWrap/>
            <w:vAlign w:val="center"/>
            <w:hideMark/>
          </w:tcPr>
          <w:p w14:paraId="6729B4D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106304D0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46FC8E6C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6" w:type="dxa"/>
            <w:noWrap/>
            <w:vAlign w:val="center"/>
            <w:hideMark/>
          </w:tcPr>
          <w:p w14:paraId="61F0A0DF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1.58%</w:t>
            </w:r>
          </w:p>
        </w:tc>
        <w:tc>
          <w:tcPr>
            <w:tcW w:w="956" w:type="dxa"/>
            <w:noWrap/>
            <w:vAlign w:val="center"/>
            <w:hideMark/>
          </w:tcPr>
          <w:p w14:paraId="67586A78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0.18%</w:t>
            </w:r>
          </w:p>
        </w:tc>
        <w:tc>
          <w:tcPr>
            <w:tcW w:w="956" w:type="dxa"/>
            <w:noWrap/>
            <w:vAlign w:val="center"/>
            <w:hideMark/>
          </w:tcPr>
          <w:p w14:paraId="45F9672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0.01%</w:t>
            </w:r>
          </w:p>
        </w:tc>
        <w:tc>
          <w:tcPr>
            <w:tcW w:w="956" w:type="dxa"/>
            <w:noWrap/>
            <w:vAlign w:val="center"/>
            <w:hideMark/>
          </w:tcPr>
          <w:p w14:paraId="0BF7B3D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38BB0311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1076" w:type="dxa"/>
            <w:noWrap/>
            <w:vAlign w:val="center"/>
            <w:hideMark/>
          </w:tcPr>
          <w:p w14:paraId="7971735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22DD3A98" w14:textId="77777777" w:rsidTr="00F0523A">
        <w:trPr>
          <w:trHeight w:val="300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41BC4D3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6" w:type="dxa"/>
            <w:noWrap/>
            <w:vAlign w:val="center"/>
            <w:hideMark/>
          </w:tcPr>
          <w:p w14:paraId="6FEA426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1.05%</w:t>
            </w:r>
          </w:p>
        </w:tc>
        <w:tc>
          <w:tcPr>
            <w:tcW w:w="956" w:type="dxa"/>
            <w:noWrap/>
            <w:vAlign w:val="center"/>
            <w:hideMark/>
          </w:tcPr>
          <w:p w14:paraId="0901DE4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0.06%</w:t>
            </w:r>
          </w:p>
        </w:tc>
        <w:tc>
          <w:tcPr>
            <w:tcW w:w="956" w:type="dxa"/>
            <w:noWrap/>
            <w:vAlign w:val="center"/>
            <w:hideMark/>
          </w:tcPr>
          <w:p w14:paraId="27B83B0E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61BE60F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5F9A3473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1076" w:type="dxa"/>
            <w:noWrap/>
            <w:vAlign w:val="center"/>
            <w:hideMark/>
          </w:tcPr>
          <w:p w14:paraId="39DB0861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  <w:tr w:rsidR="00AB4519" w:rsidRPr="0088347F" w14:paraId="28AE607B" w14:textId="77777777" w:rsidTr="00F0523A">
        <w:trPr>
          <w:trHeight w:val="315"/>
        </w:trPr>
        <w:tc>
          <w:tcPr>
            <w:tcW w:w="1161" w:type="dxa"/>
            <w:shd w:val="clear" w:color="auto" w:fill="F2F2F2" w:themeFill="background1" w:themeFillShade="F2"/>
            <w:noWrap/>
            <w:vAlign w:val="center"/>
            <w:hideMark/>
          </w:tcPr>
          <w:p w14:paraId="1C1DAC64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6" w:type="dxa"/>
            <w:noWrap/>
            <w:vAlign w:val="center"/>
            <w:hideMark/>
          </w:tcPr>
          <w:p w14:paraId="396B43A2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0.53%</w:t>
            </w:r>
          </w:p>
        </w:tc>
        <w:tc>
          <w:tcPr>
            <w:tcW w:w="956" w:type="dxa"/>
            <w:noWrap/>
            <w:vAlign w:val="center"/>
            <w:hideMark/>
          </w:tcPr>
          <w:p w14:paraId="630E6661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3A7A90D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0B13A71B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956" w:type="dxa"/>
            <w:noWrap/>
            <w:vAlign w:val="center"/>
            <w:hideMark/>
          </w:tcPr>
          <w:p w14:paraId="0BFE7B39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  <w:tc>
          <w:tcPr>
            <w:tcW w:w="1076" w:type="dxa"/>
            <w:noWrap/>
            <w:vAlign w:val="center"/>
            <w:hideMark/>
          </w:tcPr>
          <w:p w14:paraId="3CC9E6F7" w14:textId="77777777" w:rsidR="00AB4519" w:rsidRPr="0088347F" w:rsidRDefault="00AB4519" w:rsidP="00F0523A">
            <w:pPr>
              <w:jc w:val="center"/>
              <w:rPr>
                <w:rFonts w:ascii="Times New Roman" w:hAnsi="Times New Roman" w:cs="Times New Roman"/>
              </w:rPr>
            </w:pPr>
            <w:r w:rsidRPr="0088347F">
              <w:rPr>
                <w:rFonts w:ascii="Times New Roman" w:hAnsi="Times New Roman" w:cs="Times New Roman"/>
              </w:rPr>
              <w:t>0.00%</w:t>
            </w:r>
          </w:p>
        </w:tc>
      </w:tr>
    </w:tbl>
    <w:p w14:paraId="28267106" w14:textId="0B5B0D1B" w:rsidR="00CD1718" w:rsidRDefault="00CD1718"/>
    <w:p w14:paraId="3F2BFAC3" w14:textId="77777777" w:rsidR="00F47F7F" w:rsidRDefault="00F47F7F"/>
    <w:p w14:paraId="4F2099CA" w14:textId="77777777" w:rsidR="00F47F7F" w:rsidRDefault="00F47F7F"/>
    <w:p w14:paraId="37687194" w14:textId="77777777" w:rsidR="00F47F7F" w:rsidRDefault="00F47F7F"/>
    <w:p w14:paraId="16EA9DC0" w14:textId="77777777" w:rsidR="00F47F7F" w:rsidRDefault="00F47F7F"/>
    <w:p w14:paraId="7751E737" w14:textId="77777777" w:rsidR="00F47F7F" w:rsidRDefault="00F47F7F"/>
    <w:p w14:paraId="170FB650" w14:textId="77777777" w:rsidR="00F47F7F" w:rsidRDefault="00F47F7F"/>
    <w:p w14:paraId="1C51F148" w14:textId="77777777" w:rsidR="00F47F7F" w:rsidRDefault="00F47F7F"/>
    <w:p w14:paraId="7ACF0B64" w14:textId="77777777" w:rsidR="00F47F7F" w:rsidRDefault="00F47F7F"/>
    <w:p w14:paraId="150CA8A4" w14:textId="77777777" w:rsidR="00F47F7F" w:rsidRDefault="00F47F7F"/>
    <w:p w14:paraId="38970CB0" w14:textId="77777777" w:rsidR="00F47F7F" w:rsidRDefault="00F47F7F"/>
    <w:p w14:paraId="303B11A4" w14:textId="77777777" w:rsidR="00F47F7F" w:rsidRDefault="00F47F7F"/>
    <w:p w14:paraId="2C07EC9E" w14:textId="77777777" w:rsidR="00F47F7F" w:rsidRDefault="00F47F7F"/>
    <w:p w14:paraId="60B72567" w14:textId="77777777" w:rsidR="00F47F7F" w:rsidRDefault="00F47F7F"/>
    <w:p w14:paraId="6A9AAD43" w14:textId="77777777" w:rsidR="00F47F7F" w:rsidRDefault="00F47F7F"/>
    <w:p w14:paraId="569A17FE" w14:textId="77777777" w:rsidR="00F47F7F" w:rsidRDefault="00F47F7F"/>
    <w:p w14:paraId="34492022" w14:textId="71869D43" w:rsidR="00F47F7F" w:rsidRPr="00F47F7F" w:rsidRDefault="00F47F7F">
      <w:pPr>
        <w:rPr>
          <w:rFonts w:ascii="Times New Roman" w:hAnsi="Times New Roman" w:cs="Times New Roman"/>
          <w:sz w:val="40"/>
          <w:szCs w:val="40"/>
        </w:rPr>
      </w:pPr>
      <w:r w:rsidRPr="00F47F7F">
        <w:rPr>
          <w:rFonts w:ascii="Times New Roman" w:hAnsi="Times New Roman" w:cs="Times New Roman"/>
          <w:sz w:val="40"/>
          <w:szCs w:val="40"/>
        </w:rPr>
        <w:t>Citations</w:t>
      </w:r>
    </w:p>
    <w:p w14:paraId="5D0363E4" w14:textId="42ADA43C" w:rsidR="00F47F7F" w:rsidRPr="00F47F7F" w:rsidRDefault="00F47F7F" w:rsidP="00F47F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47F7F">
        <w:rPr>
          <w:rFonts w:ascii="Times New Roman" w:hAnsi="Times New Roman" w:cs="Times New Roman"/>
          <w:sz w:val="40"/>
          <w:szCs w:val="40"/>
        </w:rPr>
        <w:fldChar w:fldCharType="begin"/>
      </w:r>
      <w:r w:rsidRPr="00F10A27">
        <w:rPr>
          <w:rFonts w:ascii="Times New Roman" w:hAnsi="Times New Roman" w:cs="Times New Roman"/>
          <w:sz w:val="40"/>
          <w:szCs w:val="40"/>
          <w:lang w:val="fr-CA"/>
        </w:rPr>
        <w:instrText xml:space="preserve"> ADDIN EN.REFLIST </w:instrText>
      </w:r>
      <w:r w:rsidRPr="00F47F7F">
        <w:rPr>
          <w:rFonts w:ascii="Times New Roman" w:hAnsi="Times New Roman" w:cs="Times New Roman"/>
          <w:sz w:val="40"/>
          <w:szCs w:val="40"/>
        </w:rPr>
        <w:fldChar w:fldCharType="separate"/>
      </w:r>
      <w:r w:rsidRPr="00F10A27">
        <w:rPr>
          <w:rFonts w:ascii="Times New Roman" w:hAnsi="Times New Roman" w:cs="Times New Roman"/>
          <w:lang w:val="fr-CA"/>
        </w:rPr>
        <w:t>1</w:t>
      </w:r>
      <w:r w:rsidRPr="00F10A27">
        <w:rPr>
          <w:rFonts w:ascii="Times New Roman" w:hAnsi="Times New Roman" w:cs="Times New Roman"/>
          <w:lang w:val="fr-CA"/>
        </w:rPr>
        <w:tab/>
        <w:t>Altschul, S. F.</w:t>
      </w:r>
      <w:r w:rsidRPr="00F10A27">
        <w:rPr>
          <w:rFonts w:ascii="Times New Roman" w:hAnsi="Times New Roman" w:cs="Times New Roman"/>
          <w:i/>
          <w:lang w:val="fr-CA"/>
        </w:rPr>
        <w:t xml:space="preserve"> et al.</w:t>
      </w:r>
      <w:r w:rsidRPr="00F10A27">
        <w:rPr>
          <w:rFonts w:ascii="Times New Roman" w:hAnsi="Times New Roman" w:cs="Times New Roman"/>
          <w:lang w:val="fr-CA"/>
        </w:rPr>
        <w:t xml:space="preserve"> </w:t>
      </w:r>
      <w:r w:rsidRPr="00F47F7F">
        <w:rPr>
          <w:rFonts w:ascii="Times New Roman" w:hAnsi="Times New Roman" w:cs="Times New Roman"/>
        </w:rPr>
        <w:t xml:space="preserve">Gapped BLAST and PSI-BLAST: a new generation of protein database search programs. </w:t>
      </w:r>
      <w:r w:rsidRPr="00F47F7F">
        <w:rPr>
          <w:rFonts w:ascii="Times New Roman" w:hAnsi="Times New Roman" w:cs="Times New Roman"/>
          <w:i/>
        </w:rPr>
        <w:t>Nucleic Acids Res</w:t>
      </w:r>
      <w:r w:rsidRPr="00F47F7F">
        <w:rPr>
          <w:rFonts w:ascii="Times New Roman" w:hAnsi="Times New Roman" w:cs="Times New Roman"/>
        </w:rPr>
        <w:t xml:space="preserve"> </w:t>
      </w:r>
      <w:r w:rsidRPr="00F47F7F">
        <w:rPr>
          <w:rFonts w:ascii="Times New Roman" w:hAnsi="Times New Roman" w:cs="Times New Roman"/>
          <w:b/>
        </w:rPr>
        <w:t>25</w:t>
      </w:r>
      <w:r w:rsidRPr="00F47F7F">
        <w:rPr>
          <w:rFonts w:ascii="Times New Roman" w:hAnsi="Times New Roman" w:cs="Times New Roman"/>
        </w:rPr>
        <w:t xml:space="preserve">, 3389-3402 (1997). </w:t>
      </w:r>
      <w:hyperlink r:id="rId10" w:history="1">
        <w:r w:rsidRPr="00F47F7F">
          <w:rPr>
            <w:rStyle w:val="Hyperlink"/>
            <w:rFonts w:ascii="Times New Roman" w:hAnsi="Times New Roman" w:cs="Times New Roman"/>
          </w:rPr>
          <w:t>https://doi.org:10.1093/nar/25.17.3389</w:t>
        </w:r>
      </w:hyperlink>
    </w:p>
    <w:p w14:paraId="2BC238CF" w14:textId="55A98238" w:rsidR="00F47F7F" w:rsidRPr="00F47F7F" w:rsidRDefault="00F47F7F" w:rsidP="00F47F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F47F7F">
        <w:rPr>
          <w:rFonts w:ascii="Times New Roman" w:hAnsi="Times New Roman" w:cs="Times New Roman"/>
        </w:rPr>
        <w:t>2</w:t>
      </w:r>
      <w:r w:rsidRPr="00F47F7F">
        <w:rPr>
          <w:rFonts w:ascii="Times New Roman" w:hAnsi="Times New Roman" w:cs="Times New Roman"/>
        </w:rPr>
        <w:tab/>
        <w:t>Altschul, S. F.</w:t>
      </w:r>
      <w:r w:rsidRPr="00F47F7F">
        <w:rPr>
          <w:rFonts w:ascii="Times New Roman" w:hAnsi="Times New Roman" w:cs="Times New Roman"/>
          <w:i/>
        </w:rPr>
        <w:t xml:space="preserve"> et al.</w:t>
      </w:r>
      <w:r w:rsidRPr="00F47F7F">
        <w:rPr>
          <w:rFonts w:ascii="Times New Roman" w:hAnsi="Times New Roman" w:cs="Times New Roman"/>
        </w:rPr>
        <w:t xml:space="preserve"> Protein database searches using compositionally adjusted substitution matrices. </w:t>
      </w:r>
      <w:r w:rsidRPr="00F47F7F">
        <w:rPr>
          <w:rFonts w:ascii="Times New Roman" w:hAnsi="Times New Roman" w:cs="Times New Roman"/>
          <w:i/>
        </w:rPr>
        <w:t>FEBS J</w:t>
      </w:r>
      <w:r w:rsidRPr="00F47F7F">
        <w:rPr>
          <w:rFonts w:ascii="Times New Roman" w:hAnsi="Times New Roman" w:cs="Times New Roman"/>
        </w:rPr>
        <w:t xml:space="preserve"> </w:t>
      </w:r>
      <w:r w:rsidRPr="00F47F7F">
        <w:rPr>
          <w:rFonts w:ascii="Times New Roman" w:hAnsi="Times New Roman" w:cs="Times New Roman"/>
          <w:b/>
        </w:rPr>
        <w:t>272</w:t>
      </w:r>
      <w:r w:rsidRPr="00F47F7F">
        <w:rPr>
          <w:rFonts w:ascii="Times New Roman" w:hAnsi="Times New Roman" w:cs="Times New Roman"/>
        </w:rPr>
        <w:t xml:space="preserve">, 5101-5109 (2005). </w:t>
      </w:r>
      <w:hyperlink r:id="rId11" w:history="1">
        <w:r w:rsidRPr="00F47F7F">
          <w:rPr>
            <w:rStyle w:val="Hyperlink"/>
            <w:rFonts w:ascii="Times New Roman" w:hAnsi="Times New Roman" w:cs="Times New Roman"/>
          </w:rPr>
          <w:t>https://doi.org:10.1111/j.1742-4658.2005.04945.x</w:t>
        </w:r>
      </w:hyperlink>
    </w:p>
    <w:p w14:paraId="6BDF0AF5" w14:textId="4B8B4463" w:rsidR="00F47F7F" w:rsidRPr="00F47F7F" w:rsidRDefault="00F47F7F" w:rsidP="00F47F7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F47F7F">
        <w:rPr>
          <w:rFonts w:ascii="Times New Roman" w:hAnsi="Times New Roman" w:cs="Times New Roman"/>
        </w:rPr>
        <w:t>3</w:t>
      </w:r>
      <w:r w:rsidRPr="00F47F7F">
        <w:rPr>
          <w:rFonts w:ascii="Times New Roman" w:hAnsi="Times New Roman" w:cs="Times New Roman"/>
        </w:rPr>
        <w:tab/>
        <w:t>Ma, R.</w:t>
      </w:r>
      <w:r w:rsidRPr="00F47F7F">
        <w:rPr>
          <w:rFonts w:ascii="Times New Roman" w:hAnsi="Times New Roman" w:cs="Times New Roman"/>
          <w:i/>
        </w:rPr>
        <w:t xml:space="preserve"> et al.</w:t>
      </w:r>
      <w:r w:rsidRPr="00F47F7F">
        <w:rPr>
          <w:rFonts w:ascii="Times New Roman" w:hAnsi="Times New Roman" w:cs="Times New Roman"/>
        </w:rPr>
        <w:t xml:space="preserve"> Structural basis for placental malaria mediated by Plasmodium falciparum VAR2CSA. </w:t>
      </w:r>
      <w:r w:rsidRPr="00F47F7F">
        <w:rPr>
          <w:rFonts w:ascii="Times New Roman" w:hAnsi="Times New Roman" w:cs="Times New Roman"/>
          <w:i/>
        </w:rPr>
        <w:t>Nat Microbiol</w:t>
      </w:r>
      <w:r w:rsidRPr="00F47F7F">
        <w:rPr>
          <w:rFonts w:ascii="Times New Roman" w:hAnsi="Times New Roman" w:cs="Times New Roman"/>
        </w:rPr>
        <w:t xml:space="preserve"> </w:t>
      </w:r>
      <w:r w:rsidRPr="00F47F7F">
        <w:rPr>
          <w:rFonts w:ascii="Times New Roman" w:hAnsi="Times New Roman" w:cs="Times New Roman"/>
          <w:b/>
        </w:rPr>
        <w:t>6</w:t>
      </w:r>
      <w:r w:rsidRPr="00F47F7F">
        <w:rPr>
          <w:rFonts w:ascii="Times New Roman" w:hAnsi="Times New Roman" w:cs="Times New Roman"/>
        </w:rPr>
        <w:t xml:space="preserve">, 380-391 (2021). </w:t>
      </w:r>
      <w:hyperlink r:id="rId12" w:history="1">
        <w:r w:rsidRPr="00F47F7F">
          <w:rPr>
            <w:rStyle w:val="Hyperlink"/>
            <w:rFonts w:ascii="Times New Roman" w:hAnsi="Times New Roman" w:cs="Times New Roman"/>
          </w:rPr>
          <w:t>https://doi.org:10.1038/s41564-020-00858-9</w:t>
        </w:r>
      </w:hyperlink>
    </w:p>
    <w:p w14:paraId="37AB58F6" w14:textId="04026B67" w:rsidR="00F47F7F" w:rsidRPr="00F47F7F" w:rsidRDefault="00F47F7F">
      <w:pPr>
        <w:rPr>
          <w:rFonts w:ascii="Times New Roman" w:hAnsi="Times New Roman" w:cs="Times New Roman"/>
          <w:sz w:val="40"/>
          <w:szCs w:val="40"/>
        </w:rPr>
      </w:pPr>
      <w:r w:rsidRPr="00F47F7F">
        <w:rPr>
          <w:rFonts w:ascii="Times New Roman" w:hAnsi="Times New Roman" w:cs="Times New Roman"/>
          <w:sz w:val="40"/>
          <w:szCs w:val="40"/>
        </w:rPr>
        <w:fldChar w:fldCharType="end"/>
      </w:r>
    </w:p>
    <w:sectPr w:rsidR="00F47F7F" w:rsidRPr="00F47F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dtdxwf4dwpsyezat650fzqdfxx90rs0z22&quot;&gt;Untitled Copy&lt;record-ids&gt;&lt;item&gt;62&lt;/item&gt;&lt;item&gt;327&lt;/item&gt;&lt;item&gt;328&lt;/item&gt;&lt;/record-ids&gt;&lt;/item&gt;&lt;/Libraries&gt;"/>
  </w:docVars>
  <w:rsids>
    <w:rsidRoot w:val="00C92F6C"/>
    <w:rsid w:val="00035F2B"/>
    <w:rsid w:val="000C1260"/>
    <w:rsid w:val="000E74C7"/>
    <w:rsid w:val="00107354"/>
    <w:rsid w:val="001136D5"/>
    <w:rsid w:val="001472B9"/>
    <w:rsid w:val="001A0912"/>
    <w:rsid w:val="00201B8F"/>
    <w:rsid w:val="00204E0A"/>
    <w:rsid w:val="00237C35"/>
    <w:rsid w:val="00240E00"/>
    <w:rsid w:val="002526E8"/>
    <w:rsid w:val="00274B5B"/>
    <w:rsid w:val="00275CC3"/>
    <w:rsid w:val="0028135C"/>
    <w:rsid w:val="00291AAF"/>
    <w:rsid w:val="002F277F"/>
    <w:rsid w:val="003A489A"/>
    <w:rsid w:val="003D663D"/>
    <w:rsid w:val="00464F44"/>
    <w:rsid w:val="004E04D2"/>
    <w:rsid w:val="004F0E59"/>
    <w:rsid w:val="004F6E50"/>
    <w:rsid w:val="00583D50"/>
    <w:rsid w:val="00592C33"/>
    <w:rsid w:val="0067252C"/>
    <w:rsid w:val="006965ED"/>
    <w:rsid w:val="006D085F"/>
    <w:rsid w:val="006E2F2C"/>
    <w:rsid w:val="00733A28"/>
    <w:rsid w:val="007473F9"/>
    <w:rsid w:val="007F5410"/>
    <w:rsid w:val="00917B2A"/>
    <w:rsid w:val="00980102"/>
    <w:rsid w:val="00A24E21"/>
    <w:rsid w:val="00AB4519"/>
    <w:rsid w:val="00AC6D13"/>
    <w:rsid w:val="00B64AFA"/>
    <w:rsid w:val="00BA4C4D"/>
    <w:rsid w:val="00BB13F8"/>
    <w:rsid w:val="00BF5103"/>
    <w:rsid w:val="00C24E5C"/>
    <w:rsid w:val="00C92F6C"/>
    <w:rsid w:val="00CA6F42"/>
    <w:rsid w:val="00CC3379"/>
    <w:rsid w:val="00CC727C"/>
    <w:rsid w:val="00CD1718"/>
    <w:rsid w:val="00CF5A10"/>
    <w:rsid w:val="00DB34C6"/>
    <w:rsid w:val="00DB5E91"/>
    <w:rsid w:val="00DE6494"/>
    <w:rsid w:val="00E048BD"/>
    <w:rsid w:val="00E26D4B"/>
    <w:rsid w:val="00E424E7"/>
    <w:rsid w:val="00E6770E"/>
    <w:rsid w:val="00E836AB"/>
    <w:rsid w:val="00EB12F2"/>
    <w:rsid w:val="00EC5929"/>
    <w:rsid w:val="00ED1EA4"/>
    <w:rsid w:val="00F10A27"/>
    <w:rsid w:val="00F47F7F"/>
    <w:rsid w:val="00FC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51B6C"/>
  <w15:chartTrackingRefBased/>
  <w15:docId w15:val="{A10D19B6-2F61-46B9-8426-4C0250E3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519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F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F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2F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F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F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F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F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F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F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2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F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F6C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F6C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92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F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451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B4519"/>
    <w:pPr>
      <w:spacing w:after="0" w:line="240" w:lineRule="auto"/>
    </w:pPr>
    <w:rPr>
      <w:rFonts w:ascii="Calibri" w:eastAsia="Calibri" w:hAnsi="Calibri" w:cs="Calibri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47F7F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7F7F"/>
    <w:rPr>
      <w:rFonts w:ascii="Aptos" w:hAnsi="Aptos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7F7F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7F7F"/>
    <w:rPr>
      <w:rFonts w:ascii="Aptos" w:hAnsi="Aptos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7F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F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8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735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doi.org:10.1038/s41564-020-00858-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oi.org:10.1111/j.1742-4658.2005.04945.x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doi.org:10.1093/nar/25.17.3389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sim</dc:creator>
  <cp:keywords/>
  <dc:description/>
  <cp:lastModifiedBy>Stephanie Yanow</cp:lastModifiedBy>
  <cp:revision>8</cp:revision>
  <dcterms:created xsi:type="dcterms:W3CDTF">2025-07-19T21:57:00Z</dcterms:created>
  <dcterms:modified xsi:type="dcterms:W3CDTF">2025-07-25T21:27:00Z</dcterms:modified>
</cp:coreProperties>
</file>