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67E3E" w14:textId="77777777" w:rsidR="00010ABC" w:rsidRPr="00F70A8A" w:rsidRDefault="00010ABC" w:rsidP="00010ABC">
      <w:pPr>
        <w:pStyle w:val="Paragraph"/>
        <w:spacing w:line="360" w:lineRule="auto"/>
        <w:ind w:firstLine="0"/>
        <w:jc w:val="both"/>
        <w:rPr>
          <w:b/>
        </w:rPr>
      </w:pPr>
      <w:r w:rsidRPr="00F70A8A">
        <w:rPr>
          <w:b/>
        </w:rPr>
        <w:t>Supplementary Materials</w:t>
      </w:r>
    </w:p>
    <w:p w14:paraId="7D55C51F" w14:textId="77777777" w:rsidR="00010ABC" w:rsidRDefault="00010ABC" w:rsidP="00010ABC">
      <w:pPr>
        <w:pStyle w:val="Paragraph"/>
        <w:spacing w:line="360" w:lineRule="auto"/>
        <w:ind w:firstLine="0"/>
        <w:jc w:val="both"/>
      </w:pPr>
      <w:r w:rsidRPr="00D74F87">
        <w:rPr>
          <w:b/>
        </w:rPr>
        <w:t>Fig. S1.</w:t>
      </w:r>
      <w:r>
        <w:t xml:space="preserve"> </w:t>
      </w:r>
      <w:r w:rsidRPr="007D5C8E">
        <w:rPr>
          <w:b/>
        </w:rPr>
        <w:t>50-mosquito bite infection is consistent and robust</w:t>
      </w:r>
      <w:r>
        <w:t xml:space="preserve">. Comparison of liver stage burdens across mock-treated groups from 4 independent experiments. Parasite liver stage burdens are assessed as total flux in pixels/second (p/s). Each data point is 1 mouse (n=4-5/experiment) and bars represent the mean with standard deviation. Below the graph are the numerical means along with standard deviation for each. </w:t>
      </w:r>
    </w:p>
    <w:p w14:paraId="5E7823BB" w14:textId="77777777" w:rsidR="00010ABC" w:rsidRDefault="00010ABC" w:rsidP="00010ABC">
      <w:pPr>
        <w:pStyle w:val="Paragraph"/>
        <w:spacing w:line="360" w:lineRule="auto"/>
        <w:ind w:firstLine="0"/>
        <w:jc w:val="both"/>
      </w:pPr>
      <w:r w:rsidRPr="00D74F87">
        <w:rPr>
          <w:b/>
        </w:rPr>
        <w:t>Fig. S2.</w:t>
      </w:r>
      <w:r>
        <w:t xml:space="preserve"> </w:t>
      </w:r>
      <w:r>
        <w:rPr>
          <w:b/>
          <w:i/>
        </w:rPr>
        <w:t>In vitro</w:t>
      </w:r>
      <w:r>
        <w:rPr>
          <w:b/>
        </w:rPr>
        <w:t xml:space="preserve"> inhibition of </w:t>
      </w:r>
      <w:proofErr w:type="spellStart"/>
      <w:r>
        <w:rPr>
          <w:b/>
        </w:rPr>
        <w:t>sporozoite</w:t>
      </w:r>
      <w:proofErr w:type="spellEnd"/>
      <w:r>
        <w:rPr>
          <w:b/>
        </w:rPr>
        <w:t xml:space="preserve"> traversal and invasion assay does not predict </w:t>
      </w:r>
      <w:proofErr w:type="spellStart"/>
      <w:r>
        <w:rPr>
          <w:b/>
        </w:rPr>
        <w:t>mAb</w:t>
      </w:r>
      <w:proofErr w:type="spellEnd"/>
      <w:r>
        <w:rPr>
          <w:b/>
        </w:rPr>
        <w:t xml:space="preserve"> function </w:t>
      </w:r>
      <w:r>
        <w:rPr>
          <w:b/>
          <w:i/>
        </w:rPr>
        <w:t>in vivo</w:t>
      </w:r>
      <w:r>
        <w:t xml:space="preserve">. Monoclonal antibodies were tested in an ISTI at 0.1, 1 and 10 </w:t>
      </w:r>
      <w:proofErr w:type="spellStart"/>
      <w:r>
        <w:t>μg</w:t>
      </w:r>
      <w:proofErr w:type="spellEnd"/>
      <w:r>
        <w:t>/</w:t>
      </w:r>
      <w:proofErr w:type="spellStart"/>
      <w:r>
        <w:t>mL.</w:t>
      </w:r>
      <w:proofErr w:type="spellEnd"/>
      <w:r>
        <w:t xml:space="preserve"> </w:t>
      </w:r>
      <w:proofErr w:type="spellStart"/>
      <w:r>
        <w:t>Sporozoite</w:t>
      </w:r>
      <w:proofErr w:type="spellEnd"/>
      <w:r>
        <w:t xml:space="preserve"> invasion (in </w:t>
      </w:r>
      <w:r>
        <w:rPr>
          <w:b/>
        </w:rPr>
        <w:t>A</w:t>
      </w:r>
      <w:r>
        <w:t xml:space="preserve">) and traversal (in </w:t>
      </w:r>
      <w:r>
        <w:rPr>
          <w:b/>
        </w:rPr>
        <w:t>B</w:t>
      </w:r>
      <w:r>
        <w:t xml:space="preserve">) were measured and normalized to wells containing equal concentrations of non-specific IgG. Bars represent mean of 2-3 independent experiments per </w:t>
      </w:r>
      <w:proofErr w:type="spellStart"/>
      <w:r>
        <w:t>mAb</w:t>
      </w:r>
      <w:proofErr w:type="spellEnd"/>
      <w:r>
        <w:t xml:space="preserve">. To compare differences between </w:t>
      </w:r>
      <w:proofErr w:type="spellStart"/>
      <w:r>
        <w:t>mAbs</w:t>
      </w:r>
      <w:proofErr w:type="spellEnd"/>
      <w:r>
        <w:t xml:space="preserve">, one-way ANOVA was used to compare the means within each concentration group and significant differences noted with an “*” where “*” is p&lt;0.05. In </w:t>
      </w:r>
      <w:r>
        <w:rPr>
          <w:b/>
        </w:rPr>
        <w:t>C</w:t>
      </w:r>
      <w:r>
        <w:t xml:space="preserve">, values for </w:t>
      </w:r>
      <w:proofErr w:type="spellStart"/>
      <w:r>
        <w:t>sporozoite</w:t>
      </w:r>
      <w:proofErr w:type="spellEnd"/>
      <w:r>
        <w:t xml:space="preserve"> traversal and invasion at 10μg/mL are plotted against % of mock liver stage burdens as tested in FRG </w:t>
      </w:r>
      <w:proofErr w:type="spellStart"/>
      <w:r>
        <w:t>huHep</w:t>
      </w:r>
      <w:proofErr w:type="spellEnd"/>
      <w:r>
        <w:t xml:space="preserve"> passive transfer. Test for correlation was carried out by Spearman test with associated r and p values for each measure shown in color-matched text. </w:t>
      </w:r>
    </w:p>
    <w:p w14:paraId="41FFA54F" w14:textId="77777777" w:rsidR="00010ABC" w:rsidRDefault="00010ABC" w:rsidP="00010ABC">
      <w:pPr>
        <w:pStyle w:val="Paragraph"/>
        <w:spacing w:line="360" w:lineRule="auto"/>
        <w:ind w:firstLine="0"/>
        <w:jc w:val="both"/>
      </w:pPr>
      <w:r>
        <w:rPr>
          <w:b/>
        </w:rPr>
        <w:t xml:space="preserve">Fig. S3. </w:t>
      </w:r>
      <w:r>
        <w:rPr>
          <w:b/>
          <w:i/>
        </w:rPr>
        <w:t xml:space="preserve">In vitro </w:t>
      </w:r>
      <w:r>
        <w:rPr>
          <w:b/>
        </w:rPr>
        <w:t xml:space="preserve">inhibition of </w:t>
      </w:r>
      <w:proofErr w:type="spellStart"/>
      <w:r>
        <w:rPr>
          <w:b/>
        </w:rPr>
        <w:t>sporozoite</w:t>
      </w:r>
      <w:proofErr w:type="spellEnd"/>
      <w:r>
        <w:rPr>
          <w:b/>
        </w:rPr>
        <w:t xml:space="preserve"> traversal and invasion assay does not predict function of IgG from human sera </w:t>
      </w:r>
      <w:r>
        <w:rPr>
          <w:b/>
          <w:i/>
        </w:rPr>
        <w:t>in vivo</w:t>
      </w:r>
      <w:r>
        <w:rPr>
          <w:b/>
        </w:rPr>
        <w:t xml:space="preserve">. </w:t>
      </w:r>
      <w:r>
        <w:t xml:space="preserve">Polyclonal IgG isolated from volunteers immunized with </w:t>
      </w:r>
      <w:proofErr w:type="spellStart"/>
      <w:r>
        <w:t>PfSPZ</w:t>
      </w:r>
      <w:proofErr w:type="spellEnd"/>
      <w:r>
        <w:t xml:space="preserve"> (as in </w:t>
      </w:r>
      <w:r>
        <w:rPr>
          <w:b/>
        </w:rPr>
        <w:t xml:space="preserve">Fig. </w:t>
      </w:r>
      <w:r>
        <w:t xml:space="preserve">5) was tested </w:t>
      </w:r>
      <w:r>
        <w:rPr>
          <w:i/>
        </w:rPr>
        <w:t>in vitro</w:t>
      </w:r>
      <w:r>
        <w:t xml:space="preserve"> in an ISTI based on sample availability at 1 mg/</w:t>
      </w:r>
      <w:proofErr w:type="spellStart"/>
      <w:r>
        <w:t>mL.</w:t>
      </w:r>
      <w:proofErr w:type="spellEnd"/>
      <w:r>
        <w:t xml:space="preserve"> </w:t>
      </w:r>
      <w:proofErr w:type="spellStart"/>
      <w:r>
        <w:t>Sporozoite</w:t>
      </w:r>
      <w:proofErr w:type="spellEnd"/>
      <w:r>
        <w:t xml:space="preserve"> invasion (in </w:t>
      </w:r>
      <w:r>
        <w:rPr>
          <w:b/>
        </w:rPr>
        <w:t>A</w:t>
      </w:r>
      <w:r>
        <w:t xml:space="preserve">) and traversal (in </w:t>
      </w:r>
      <w:r>
        <w:rPr>
          <w:b/>
        </w:rPr>
        <w:t>B</w:t>
      </w:r>
      <w:r>
        <w:t xml:space="preserve">) were measured and normalized to pooled pre-immunization IgG. Data points are the result of individual, independent repeat experiments (n=2-4/sample, </w:t>
      </w:r>
      <w:r w:rsidRPr="00314D4F">
        <w:t>with n=1 for 504 traversal</w:t>
      </w:r>
      <w:bookmarkStart w:id="0" w:name="_GoBack"/>
      <w:bookmarkEnd w:id="0"/>
      <w:r>
        <w:t xml:space="preserve">) with bars representing the means ± SD. A one-sample t-test to determine if means were significantly different than 100 % of mock was carried out and significant reductions are indicated by an “*” where “*” is p&lt;0.05. In </w:t>
      </w:r>
      <w:r>
        <w:rPr>
          <w:b/>
        </w:rPr>
        <w:t>C</w:t>
      </w:r>
      <w:r>
        <w:t xml:space="preserve">, values for ISTI are plotted against % of mock liver stage burdens as tested in FRG </w:t>
      </w:r>
      <w:proofErr w:type="spellStart"/>
      <w:r>
        <w:t>huHep</w:t>
      </w:r>
      <w:proofErr w:type="spellEnd"/>
      <w:r>
        <w:t xml:space="preserve"> passive transfer. Test for correlation was carried out by Spearman test with associated r and p values for each measure shown in color-matched text. </w:t>
      </w:r>
    </w:p>
    <w:p w14:paraId="0775A284" w14:textId="77777777" w:rsidR="00010ABC" w:rsidRDefault="00010ABC" w:rsidP="00010ABC">
      <w:pPr>
        <w:pStyle w:val="Paragraph"/>
        <w:spacing w:line="360" w:lineRule="auto"/>
        <w:ind w:firstLine="0"/>
        <w:jc w:val="both"/>
      </w:pPr>
      <w:r>
        <w:rPr>
          <w:b/>
        </w:rPr>
        <w:t xml:space="preserve">Fig. S4. Detection of inhibition of parasite liver stage burden in FRG </w:t>
      </w:r>
      <w:proofErr w:type="spellStart"/>
      <w:r>
        <w:rPr>
          <w:b/>
        </w:rPr>
        <w:t>huHep</w:t>
      </w:r>
      <w:proofErr w:type="spellEnd"/>
      <w:r>
        <w:rPr>
          <w:b/>
        </w:rPr>
        <w:t xml:space="preserve"> mice using polyclonal IgG is highly reproducible.</w:t>
      </w:r>
      <w:r>
        <w:t xml:space="preserve"> Passive transfer and infection of FRG </w:t>
      </w:r>
      <w:proofErr w:type="spellStart"/>
      <w:r>
        <w:t>huHep</w:t>
      </w:r>
      <w:proofErr w:type="spellEnd"/>
      <w:r>
        <w:t xml:space="preserve"> mice was carried out exactly as in </w:t>
      </w:r>
      <w:r>
        <w:rPr>
          <w:b/>
        </w:rPr>
        <w:t>Figure 5</w:t>
      </w:r>
      <w:r>
        <w:t xml:space="preserve"> with pre-immune IgG and six blinded immune IgG samples from the three protected and three non-protected individuals tested in </w:t>
      </w:r>
      <w:r>
        <w:rPr>
          <w:b/>
        </w:rPr>
        <w:t>Figure 5</w:t>
      </w:r>
      <w:r>
        <w:t xml:space="preserve">. Data from this second </w:t>
      </w:r>
      <w:r>
        <w:lastRenderedPageBreak/>
        <w:t xml:space="preserve">experiment are represented by purple stars overlaid with their corresponding samples from Experiment 1. </w:t>
      </w:r>
    </w:p>
    <w:p w14:paraId="46E85B20" w14:textId="77777777" w:rsidR="00010ABC" w:rsidRPr="0081049C" w:rsidRDefault="00010ABC" w:rsidP="00010ABC">
      <w:pPr>
        <w:pStyle w:val="Paragraph"/>
        <w:spacing w:line="360" w:lineRule="auto"/>
        <w:ind w:firstLine="0"/>
        <w:jc w:val="both"/>
      </w:pPr>
      <w:r>
        <w:rPr>
          <w:b/>
        </w:rPr>
        <w:t xml:space="preserve">Fig. S5 Comparison of PBS vs. pre-immune-treated FRG </w:t>
      </w:r>
      <w:proofErr w:type="spellStart"/>
      <w:r>
        <w:rPr>
          <w:b/>
        </w:rPr>
        <w:t>huHep</w:t>
      </w:r>
      <w:proofErr w:type="spellEnd"/>
      <w:r>
        <w:rPr>
          <w:b/>
        </w:rPr>
        <w:t xml:space="preserve"> mice and lack of correlation between </w:t>
      </w:r>
      <w:r>
        <w:rPr>
          <w:b/>
          <w:i/>
        </w:rPr>
        <w:t>in vitro</w:t>
      </w:r>
      <w:r>
        <w:rPr>
          <w:b/>
        </w:rPr>
        <w:t xml:space="preserve"> and </w:t>
      </w:r>
      <w:r>
        <w:rPr>
          <w:b/>
          <w:i/>
        </w:rPr>
        <w:t>in vivo</w:t>
      </w:r>
      <w:r>
        <w:rPr>
          <w:b/>
        </w:rPr>
        <w:t xml:space="preserve"> assays using immune IgG from human sera. </w:t>
      </w:r>
      <w:r>
        <w:t xml:space="preserve">Comparison of parasite liver burden in mice given 5 mg/mouse of pre-immune IgG or an equivalent volume of PBS prior to mosquito bite challenge as performed in </w:t>
      </w:r>
      <w:r>
        <w:rPr>
          <w:b/>
        </w:rPr>
        <w:t xml:space="preserve">Figure 6 </w:t>
      </w:r>
      <w:r>
        <w:t xml:space="preserve">with Mann-Whitney test for differences in mean (in </w:t>
      </w:r>
      <w:r>
        <w:rPr>
          <w:b/>
        </w:rPr>
        <w:t>A</w:t>
      </w:r>
      <w:r>
        <w:t xml:space="preserve">). Inhibition of parasite invasion and traversal by polyclonal IgG used in </w:t>
      </w:r>
      <w:r>
        <w:rPr>
          <w:b/>
        </w:rPr>
        <w:t xml:space="preserve">Figure 6 </w:t>
      </w:r>
      <w:r>
        <w:t xml:space="preserve">was tested in an ISTI at 1mg/mL in a single experiment (in </w:t>
      </w:r>
      <w:r>
        <w:rPr>
          <w:b/>
        </w:rPr>
        <w:t>B</w:t>
      </w:r>
      <w:r>
        <w:t>). Correlation of invasion or traversal with parasite liver burden was tested using Spearman test with associated r and p values for each measure shown in color-matched text.</w:t>
      </w:r>
    </w:p>
    <w:p w14:paraId="5AFCA4CD" w14:textId="77777777" w:rsidR="00BE4BB4" w:rsidRDefault="00BE4BB4"/>
    <w:sectPr w:rsidR="00BE4BB4" w:rsidSect="003E7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BC"/>
    <w:rsid w:val="00002B83"/>
    <w:rsid w:val="00010ABC"/>
    <w:rsid w:val="0002258B"/>
    <w:rsid w:val="0005190A"/>
    <w:rsid w:val="000550AD"/>
    <w:rsid w:val="00094229"/>
    <w:rsid w:val="00151020"/>
    <w:rsid w:val="00157359"/>
    <w:rsid w:val="001858EE"/>
    <w:rsid w:val="00190A81"/>
    <w:rsid w:val="001A1D15"/>
    <w:rsid w:val="001E00A5"/>
    <w:rsid w:val="001E14E4"/>
    <w:rsid w:val="002016B8"/>
    <w:rsid w:val="0022378B"/>
    <w:rsid w:val="00272B21"/>
    <w:rsid w:val="00272F24"/>
    <w:rsid w:val="002A7E14"/>
    <w:rsid w:val="00314D4F"/>
    <w:rsid w:val="00322C55"/>
    <w:rsid w:val="00380869"/>
    <w:rsid w:val="003C6B1F"/>
    <w:rsid w:val="003C76B0"/>
    <w:rsid w:val="003E7BB6"/>
    <w:rsid w:val="003F7D8C"/>
    <w:rsid w:val="004228AC"/>
    <w:rsid w:val="00447618"/>
    <w:rsid w:val="004544A9"/>
    <w:rsid w:val="004B2D61"/>
    <w:rsid w:val="004F15D9"/>
    <w:rsid w:val="00535383"/>
    <w:rsid w:val="00544762"/>
    <w:rsid w:val="00545086"/>
    <w:rsid w:val="00596E42"/>
    <w:rsid w:val="005A5B01"/>
    <w:rsid w:val="005B49B7"/>
    <w:rsid w:val="0062119E"/>
    <w:rsid w:val="00636E70"/>
    <w:rsid w:val="006868AB"/>
    <w:rsid w:val="006920B6"/>
    <w:rsid w:val="006941E5"/>
    <w:rsid w:val="006E735D"/>
    <w:rsid w:val="00702FAE"/>
    <w:rsid w:val="007533B0"/>
    <w:rsid w:val="007900D8"/>
    <w:rsid w:val="00794B27"/>
    <w:rsid w:val="008142F4"/>
    <w:rsid w:val="0082460F"/>
    <w:rsid w:val="008C3EC3"/>
    <w:rsid w:val="008D7AAC"/>
    <w:rsid w:val="00A64ADA"/>
    <w:rsid w:val="00A65394"/>
    <w:rsid w:val="00AF1DA6"/>
    <w:rsid w:val="00BB08C4"/>
    <w:rsid w:val="00BE4BB4"/>
    <w:rsid w:val="00CB1973"/>
    <w:rsid w:val="00DE7B9F"/>
    <w:rsid w:val="00E128A4"/>
    <w:rsid w:val="00E2106A"/>
    <w:rsid w:val="00E93BA0"/>
    <w:rsid w:val="00EE4D3D"/>
    <w:rsid w:val="00F25FCD"/>
    <w:rsid w:val="00F4296F"/>
    <w:rsid w:val="00F7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70B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10ABC"/>
    <w:pPr>
      <w:spacing w:before="120"/>
      <w:ind w:firstLine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2913</Characters>
  <Application>Microsoft Macintosh Word</Application>
  <DocSecurity>0</DocSecurity>
  <Lines>24</Lines>
  <Paragraphs>6</Paragraphs>
  <ScaleCrop>false</ScaleCrop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Sack</dc:creator>
  <cp:keywords/>
  <dc:description/>
  <cp:lastModifiedBy>Brandon Sack</cp:lastModifiedBy>
  <cp:revision>2</cp:revision>
  <dcterms:created xsi:type="dcterms:W3CDTF">2017-05-24T15:54:00Z</dcterms:created>
  <dcterms:modified xsi:type="dcterms:W3CDTF">2017-07-11T15:25:00Z</dcterms:modified>
</cp:coreProperties>
</file>