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6A78B" w14:textId="77777777" w:rsidR="00E6290C" w:rsidRDefault="00E6290C" w:rsidP="00B02CEE">
      <w:pPr>
        <w:rPr>
          <w:sz w:val="36"/>
          <w:szCs w:val="36"/>
        </w:rPr>
      </w:pPr>
    </w:p>
    <w:p w14:paraId="744662B3" w14:textId="77777777" w:rsidR="00E6290C" w:rsidRPr="003B40E6" w:rsidRDefault="00E6290C" w:rsidP="00E6290C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 w14:paraId="4B4559BF" w14:textId="77777777" w:rsidR="00E6290C" w:rsidRDefault="00E6290C" w:rsidP="00E6290C"/>
    <w:p w14:paraId="3E90E3CE" w14:textId="7CF53A57" w:rsidR="00E6290C" w:rsidRPr="007F33C1" w:rsidRDefault="00E6290C" w:rsidP="00E6290C">
      <w:pPr>
        <w:jc w:val="center"/>
        <w:rPr>
          <w:b/>
          <w:bCs/>
          <w:sz w:val="28"/>
          <w:szCs w:val="28"/>
        </w:rPr>
      </w:pPr>
      <w:r w:rsidRPr="00416304">
        <w:rPr>
          <w:b/>
          <w:bCs/>
          <w:sz w:val="28"/>
          <w:szCs w:val="28"/>
        </w:rPr>
        <w:t>Gut microbiota</w:t>
      </w:r>
      <w:r w:rsidR="00762D62">
        <w:rPr>
          <w:b/>
          <w:bCs/>
          <w:sz w:val="28"/>
          <w:szCs w:val="28"/>
        </w:rPr>
        <w:t xml:space="preserve"> </w:t>
      </w:r>
      <w:r w:rsidRPr="00416304">
        <w:rPr>
          <w:b/>
          <w:bCs/>
          <w:sz w:val="28"/>
          <w:szCs w:val="28"/>
        </w:rPr>
        <w:t>modulate immune responses to orally and parenterally administered rotavirus in mice</w:t>
      </w:r>
    </w:p>
    <w:p w14:paraId="5780337F" w14:textId="77777777" w:rsidR="00E6290C" w:rsidRPr="007108F5" w:rsidRDefault="00E6290C" w:rsidP="00E6290C">
      <w:pPr>
        <w:jc w:val="center"/>
        <w:rPr>
          <w:sz w:val="28"/>
          <w:szCs w:val="28"/>
        </w:rPr>
      </w:pPr>
    </w:p>
    <w:p w14:paraId="4EEDBA7A" w14:textId="77777777" w:rsidR="00B02CEE" w:rsidRPr="0064620F" w:rsidRDefault="00B02CEE" w:rsidP="00B02CEE">
      <w:pPr>
        <w:pStyle w:val="Body"/>
        <w:shd w:val="clear" w:color="auto" w:fill="FFFFFF"/>
        <w:spacing w:line="480" w:lineRule="auto"/>
        <w:jc w:val="center"/>
        <w:outlineLvl w:val="0"/>
        <w:rPr>
          <w:rFonts w:ascii="Times New Roman" w:eastAsia="Times New Roman" w:hAnsi="Times New Roman" w:cs="Times New Roman"/>
          <w:color w:val="auto"/>
        </w:rPr>
      </w:pPr>
      <w:r w:rsidRPr="0064620F">
        <w:rPr>
          <w:rFonts w:ascii="Times New Roman" w:hAnsi="Times New Roman" w:cs="Times New Roman"/>
          <w:color w:val="auto"/>
        </w:rPr>
        <w:t>Zhenda Shi</w:t>
      </w:r>
      <w:r w:rsidRPr="0064620F">
        <w:rPr>
          <w:rFonts w:ascii="Times New Roman" w:hAnsi="Times New Roman" w:cs="Times New Roman"/>
          <w:color w:val="auto"/>
          <w:vertAlign w:val="superscript"/>
        </w:rPr>
        <w:t>1,2,3</w:t>
      </w:r>
      <w:r w:rsidRPr="0064620F">
        <w:rPr>
          <w:rFonts w:ascii="Times New Roman" w:hAnsi="Times New Roman" w:cs="Times New Roman"/>
          <w:color w:val="auto"/>
        </w:rPr>
        <w:t>, S</w:t>
      </w:r>
      <w:r>
        <w:rPr>
          <w:rFonts w:ascii="Times New Roman" w:hAnsi="Times New Roman" w:cs="Times New Roman"/>
          <w:color w:val="auto"/>
        </w:rPr>
        <w:t>u</w:t>
      </w:r>
      <w:r w:rsidRPr="0064620F">
        <w:rPr>
          <w:rFonts w:ascii="Times New Roman" w:hAnsi="Times New Roman" w:cs="Times New Roman"/>
          <w:color w:val="auto"/>
        </w:rPr>
        <w:t>ng-</w:t>
      </w:r>
      <w:r>
        <w:rPr>
          <w:rFonts w:ascii="Times New Roman" w:hAnsi="Times New Roman" w:cs="Times New Roman"/>
          <w:color w:val="auto"/>
        </w:rPr>
        <w:t>S</w:t>
      </w:r>
      <w:r w:rsidRPr="0064620F">
        <w:rPr>
          <w:rFonts w:ascii="Times New Roman" w:hAnsi="Times New Roman" w:cs="Times New Roman"/>
          <w:color w:val="auto"/>
        </w:rPr>
        <w:t>il</w:t>
      </w:r>
      <w:r>
        <w:rPr>
          <w:rFonts w:ascii="Times New Roman" w:hAnsi="Times New Roman" w:cs="Times New Roman"/>
          <w:color w:val="auto"/>
        </w:rPr>
        <w:t xml:space="preserve"> Moon</w:t>
      </w:r>
      <w:r w:rsidRPr="0064620F">
        <w:rPr>
          <w:rFonts w:ascii="Times New Roman" w:hAnsi="Times New Roman" w:cs="Times New Roman"/>
          <w:color w:val="auto"/>
          <w:vertAlign w:val="superscript"/>
        </w:rPr>
        <w:t>1</w:t>
      </w:r>
      <w:r w:rsidRPr="0064620F">
        <w:rPr>
          <w:rFonts w:ascii="Times New Roman" w:hAnsi="Times New Roman" w:cs="Times New Roman"/>
          <w:color w:val="auto"/>
        </w:rPr>
        <w:t>, Jun Zou</w:t>
      </w:r>
      <w:r w:rsidRPr="0064620F">
        <w:rPr>
          <w:rFonts w:ascii="Times New Roman" w:hAnsi="Times New Roman" w:cs="Times New Roman"/>
          <w:color w:val="auto"/>
          <w:vertAlign w:val="superscript"/>
        </w:rPr>
        <w:t>3</w:t>
      </w:r>
      <w:r w:rsidRPr="0064620F">
        <w:rPr>
          <w:rFonts w:ascii="Times New Roman" w:hAnsi="Times New Roman" w:cs="Times New Roman"/>
          <w:color w:val="auto"/>
        </w:rPr>
        <w:t>, Yanling Wang</w:t>
      </w:r>
      <w:r w:rsidRPr="0064620F">
        <w:rPr>
          <w:rFonts w:ascii="Times New Roman" w:hAnsi="Times New Roman" w:cs="Times New Roman"/>
          <w:color w:val="auto"/>
          <w:vertAlign w:val="superscript"/>
        </w:rPr>
        <w:t>3</w:t>
      </w:r>
      <w:r>
        <w:rPr>
          <w:rFonts w:ascii="Times New Roman" w:hAnsi="Times New Roman" w:cs="Times New Roman"/>
          <w:color w:val="auto"/>
        </w:rPr>
        <w:t xml:space="preserve">, </w:t>
      </w:r>
      <w:r w:rsidRPr="00747BAA">
        <w:rPr>
          <w:rFonts w:ascii="Times New Roman" w:hAnsi="Times New Roman" w:cs="Times New Roman"/>
          <w:color w:val="auto"/>
        </w:rPr>
        <w:t>Noopur Bhatnagar</w:t>
      </w:r>
      <w:r w:rsidRPr="0064620F">
        <w:rPr>
          <w:rFonts w:ascii="Times New Roman" w:hAnsi="Times New Roman" w:cs="Times New Roman"/>
          <w:color w:val="auto"/>
          <w:vertAlign w:val="superscript"/>
        </w:rPr>
        <w:t>3</w:t>
      </w:r>
      <w:r>
        <w:rPr>
          <w:rFonts w:ascii="Times New Roman" w:hAnsi="Times New Roman" w:cs="Times New Roman"/>
          <w:color w:val="auto"/>
        </w:rPr>
        <w:t>,</w:t>
      </w:r>
      <w:r w:rsidRPr="00747BAA">
        <w:rPr>
          <w:rFonts w:ascii="Times New Roman" w:hAnsi="Times New Roman" w:cs="Times New Roman"/>
          <w:color w:val="auto"/>
        </w:rPr>
        <w:t xml:space="preserve"> </w:t>
      </w:r>
      <w:r w:rsidRPr="00F422CE">
        <w:rPr>
          <w:rFonts w:ascii="Times New Roman" w:hAnsi="Times New Roman" w:cs="Times New Roman"/>
          <w:color w:val="auto"/>
        </w:rPr>
        <w:t>Vu L</w:t>
      </w:r>
      <w:r>
        <w:rPr>
          <w:rFonts w:ascii="Times New Roman" w:hAnsi="Times New Roman" w:cs="Times New Roman"/>
          <w:color w:val="auto"/>
        </w:rPr>
        <w:t xml:space="preserve">. </w:t>
      </w:r>
      <w:r w:rsidRPr="00F422CE">
        <w:rPr>
          <w:rFonts w:ascii="Times New Roman" w:hAnsi="Times New Roman" w:cs="Times New Roman"/>
          <w:color w:val="auto"/>
        </w:rPr>
        <w:t>Ngo</w:t>
      </w:r>
      <w:r w:rsidRPr="0064620F">
        <w:rPr>
          <w:rFonts w:ascii="Times New Roman" w:hAnsi="Times New Roman" w:cs="Times New Roman"/>
          <w:color w:val="auto"/>
          <w:vertAlign w:val="superscript"/>
        </w:rPr>
        <w:t>3</w:t>
      </w:r>
      <w:r>
        <w:rPr>
          <w:rFonts w:ascii="Times New Roman" w:hAnsi="Times New Roman" w:cs="Times New Roman"/>
          <w:color w:val="auto"/>
        </w:rPr>
        <w:t>,</w:t>
      </w:r>
      <w:r w:rsidRPr="00F422CE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Xiaoqian Wang</w:t>
      </w:r>
      <w:r w:rsidRPr="007B7444">
        <w:rPr>
          <w:rFonts w:ascii="Times New Roman" w:hAnsi="Times New Roman" w:cs="Times New Roman"/>
          <w:color w:val="auto"/>
          <w:vertAlign w:val="superscript"/>
        </w:rPr>
        <w:t>1</w:t>
      </w:r>
      <w:r>
        <w:rPr>
          <w:rFonts w:ascii="Times New Roman" w:hAnsi="Times New Roman" w:cs="Times New Roman"/>
          <w:color w:val="auto"/>
          <w:vertAlign w:val="superscript"/>
        </w:rPr>
        <w:t>,</w:t>
      </w:r>
      <w:r w:rsidRPr="0064620F">
        <w:rPr>
          <w:rFonts w:ascii="Times New Roman" w:hAnsi="Times New Roman" w:cs="Times New Roman"/>
          <w:color w:val="auto"/>
          <w:vertAlign w:val="superscript"/>
        </w:rPr>
        <w:t>2</w:t>
      </w:r>
      <w:r>
        <w:rPr>
          <w:rFonts w:ascii="Times New Roman" w:hAnsi="Times New Roman" w:cs="Times New Roman"/>
          <w:color w:val="auto"/>
        </w:rPr>
        <w:t>, Houping Wang</w:t>
      </w:r>
      <w:r w:rsidRPr="007B7444">
        <w:rPr>
          <w:rFonts w:ascii="Times New Roman" w:hAnsi="Times New Roman" w:cs="Times New Roman"/>
          <w:color w:val="auto"/>
          <w:vertAlign w:val="superscript"/>
        </w:rPr>
        <w:t>1</w:t>
      </w:r>
      <w:r>
        <w:rPr>
          <w:rFonts w:ascii="Times New Roman" w:hAnsi="Times New Roman" w:cs="Times New Roman"/>
          <w:color w:val="auto"/>
        </w:rPr>
        <w:t>, Theresa K. Bessey</w:t>
      </w:r>
      <w:r w:rsidRPr="007B7444">
        <w:rPr>
          <w:rFonts w:ascii="Times New Roman" w:hAnsi="Times New Roman" w:cs="Times New Roman"/>
          <w:color w:val="auto"/>
          <w:vertAlign w:val="superscript"/>
        </w:rPr>
        <w:t>1</w:t>
      </w:r>
      <w:r>
        <w:rPr>
          <w:rFonts w:ascii="Times New Roman" w:hAnsi="Times New Roman" w:cs="Times New Roman"/>
          <w:color w:val="auto"/>
        </w:rPr>
        <w:t xml:space="preserve">, </w:t>
      </w:r>
      <w:r w:rsidRPr="0085582F">
        <w:rPr>
          <w:rFonts w:ascii="Times New Roman" w:hAnsi="Times New Roman" w:cs="Times New Roman"/>
          <w:color w:val="auto"/>
        </w:rPr>
        <w:t>Jennifer J</w:t>
      </w:r>
      <w:r>
        <w:rPr>
          <w:rFonts w:ascii="Times New Roman" w:hAnsi="Times New Roman" w:cs="Times New Roman"/>
          <w:color w:val="auto"/>
        </w:rPr>
        <w:t xml:space="preserve">. </w:t>
      </w:r>
      <w:r w:rsidRPr="0085582F">
        <w:rPr>
          <w:rFonts w:ascii="Times New Roman" w:hAnsi="Times New Roman" w:cs="Times New Roman"/>
          <w:color w:val="auto"/>
        </w:rPr>
        <w:t>Hull</w:t>
      </w:r>
      <w:r w:rsidRPr="007B7444">
        <w:rPr>
          <w:rFonts w:ascii="Times New Roman" w:hAnsi="Times New Roman" w:cs="Times New Roman"/>
          <w:color w:val="auto"/>
          <w:vertAlign w:val="superscript"/>
        </w:rPr>
        <w:t>1</w:t>
      </w:r>
      <w:r>
        <w:rPr>
          <w:rFonts w:ascii="Times New Roman" w:hAnsi="Times New Roman" w:cs="Times New Roman"/>
          <w:color w:val="auto"/>
        </w:rPr>
        <w:t>, Yuhuan Wang</w:t>
      </w:r>
      <w:r w:rsidRPr="007B7444">
        <w:rPr>
          <w:rFonts w:ascii="Times New Roman" w:hAnsi="Times New Roman" w:cs="Times New Roman"/>
          <w:color w:val="auto"/>
          <w:vertAlign w:val="superscript"/>
        </w:rPr>
        <w:t>1</w:t>
      </w:r>
      <w:r>
        <w:rPr>
          <w:rFonts w:ascii="Times New Roman" w:hAnsi="Times New Roman" w:cs="Times New Roman"/>
          <w:color w:val="auto"/>
        </w:rPr>
        <w:t>,</w:t>
      </w:r>
      <w:r w:rsidRPr="0064620F">
        <w:rPr>
          <w:rFonts w:ascii="Times New Roman" w:hAnsi="Times New Roman" w:cs="Times New Roman"/>
          <w:color w:val="auto"/>
        </w:rPr>
        <w:t xml:space="preserve"> </w:t>
      </w:r>
      <w:r w:rsidRPr="00747BAA">
        <w:rPr>
          <w:rFonts w:ascii="Times New Roman" w:hAnsi="Times New Roman" w:cs="Times New Roman"/>
          <w:color w:val="auto"/>
        </w:rPr>
        <w:t>Sang-Moo Kang</w:t>
      </w:r>
      <w:r w:rsidRPr="0064620F">
        <w:rPr>
          <w:rFonts w:ascii="Times New Roman" w:hAnsi="Times New Roman" w:cs="Times New Roman"/>
          <w:color w:val="auto"/>
          <w:vertAlign w:val="superscript"/>
        </w:rPr>
        <w:t>3</w:t>
      </w:r>
      <w:r>
        <w:rPr>
          <w:rFonts w:ascii="Times New Roman" w:hAnsi="Times New Roman" w:cs="Times New Roman"/>
          <w:color w:val="auto"/>
        </w:rPr>
        <w:t>,</w:t>
      </w:r>
      <w:r w:rsidRPr="00747BAA">
        <w:rPr>
          <w:rFonts w:ascii="Times New Roman" w:hAnsi="Times New Roman" w:cs="Times New Roman"/>
          <w:color w:val="auto"/>
        </w:rPr>
        <w:t xml:space="preserve"> </w:t>
      </w:r>
      <w:r w:rsidRPr="0064620F">
        <w:rPr>
          <w:rFonts w:ascii="Times New Roman" w:hAnsi="Times New Roman" w:cs="Times New Roman"/>
          <w:color w:val="auto"/>
        </w:rPr>
        <w:t>Andrew T. Gewirtz</w:t>
      </w:r>
      <w:r w:rsidRPr="0064620F">
        <w:rPr>
          <w:rFonts w:ascii="Times New Roman" w:hAnsi="Times New Roman" w:cs="Times New Roman"/>
          <w:color w:val="auto"/>
          <w:vertAlign w:val="superscript"/>
        </w:rPr>
        <w:t>3</w:t>
      </w:r>
      <w:r w:rsidRPr="0064620F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 xml:space="preserve">and </w:t>
      </w:r>
      <w:r w:rsidRPr="0064620F">
        <w:rPr>
          <w:rFonts w:ascii="Times New Roman" w:hAnsi="Times New Roman" w:cs="Times New Roman"/>
          <w:color w:val="auto"/>
        </w:rPr>
        <w:t>Baoming Jiang</w:t>
      </w:r>
      <w:r w:rsidRPr="0064620F">
        <w:rPr>
          <w:rFonts w:ascii="Times New Roman" w:hAnsi="Times New Roman" w:cs="Times New Roman"/>
          <w:color w:val="auto"/>
          <w:vertAlign w:val="superscript"/>
        </w:rPr>
        <w:t>1</w:t>
      </w:r>
    </w:p>
    <w:p w14:paraId="1117C7A5" w14:textId="77777777" w:rsidR="00B02CEE" w:rsidRDefault="00B02CEE" w:rsidP="00B02CEE">
      <w:pPr>
        <w:pStyle w:val="Body"/>
        <w:spacing w:line="360" w:lineRule="auto"/>
        <w:rPr>
          <w:rFonts w:ascii="Times New Roman" w:hAnsi="Times New Roman" w:cs="Times New Roman"/>
          <w:color w:val="auto"/>
          <w:vertAlign w:val="superscript"/>
        </w:rPr>
      </w:pPr>
    </w:p>
    <w:p w14:paraId="5852B8F1" w14:textId="77777777" w:rsidR="00B02CEE" w:rsidRPr="0064620F" w:rsidRDefault="00B02CEE" w:rsidP="00B02CEE">
      <w:pPr>
        <w:pStyle w:val="Body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64620F">
        <w:rPr>
          <w:rFonts w:ascii="Times New Roman" w:hAnsi="Times New Roman" w:cs="Times New Roman"/>
          <w:color w:val="auto"/>
          <w:vertAlign w:val="superscript"/>
        </w:rPr>
        <w:t xml:space="preserve">1 </w:t>
      </w:r>
      <w:r w:rsidRPr="0064620F">
        <w:rPr>
          <w:rFonts w:ascii="Times New Roman" w:hAnsi="Times New Roman" w:cs="Times New Roman"/>
          <w:color w:val="auto"/>
        </w:rPr>
        <w:t>Division of Viral Diseases, National Center for Immunization and Respiratory Diseases, Centers for Disease Control and Prevention, Atlanta, GA</w:t>
      </w:r>
      <w:r>
        <w:rPr>
          <w:rFonts w:ascii="Times New Roman" w:hAnsi="Times New Roman" w:cs="Times New Roman"/>
          <w:color w:val="auto"/>
        </w:rPr>
        <w:t>, USA</w:t>
      </w:r>
    </w:p>
    <w:p w14:paraId="788DD1A2" w14:textId="77777777" w:rsidR="00B02CEE" w:rsidRPr="0064620F" w:rsidRDefault="00B02CEE" w:rsidP="00B02CEE">
      <w:pPr>
        <w:pStyle w:val="Body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64620F">
        <w:rPr>
          <w:rFonts w:ascii="Times New Roman" w:hAnsi="Times New Roman" w:cs="Times New Roman"/>
          <w:color w:val="auto"/>
          <w:vertAlign w:val="superscript"/>
        </w:rPr>
        <w:t>2</w:t>
      </w:r>
      <w:r w:rsidRPr="0064620F">
        <w:rPr>
          <w:rFonts w:ascii="Times New Roman" w:hAnsi="Times New Roman" w:cs="Times New Roman"/>
          <w:color w:val="auto"/>
        </w:rPr>
        <w:t xml:space="preserve"> </w:t>
      </w:r>
      <w:r w:rsidRPr="00FF7359">
        <w:rPr>
          <w:rFonts w:ascii="Times New Roman" w:hAnsi="Times New Roman" w:cs="Times New Roman"/>
          <w:color w:val="auto"/>
        </w:rPr>
        <w:t>Cherokee Nation Operational Solutions</w:t>
      </w:r>
      <w:r>
        <w:rPr>
          <w:rFonts w:ascii="Times New Roman" w:hAnsi="Times New Roman" w:cs="Times New Roman"/>
          <w:color w:val="auto"/>
        </w:rPr>
        <w:t>,</w:t>
      </w:r>
      <w:r w:rsidRPr="00FF7359">
        <w:rPr>
          <w:rFonts w:ascii="Times New Roman" w:hAnsi="Times New Roman" w:cs="Times New Roman"/>
          <w:color w:val="auto"/>
        </w:rPr>
        <w:t xml:space="preserve"> </w:t>
      </w:r>
      <w:r w:rsidRPr="0064620F">
        <w:rPr>
          <w:rFonts w:ascii="Times New Roman" w:hAnsi="Times New Roman" w:cs="Times New Roman"/>
          <w:color w:val="auto"/>
        </w:rPr>
        <w:t xml:space="preserve">Cherokee Federal, Atlanta, GA </w:t>
      </w:r>
      <w:r>
        <w:rPr>
          <w:rFonts w:ascii="Times New Roman" w:hAnsi="Times New Roman" w:cs="Times New Roman"/>
          <w:color w:val="auto"/>
        </w:rPr>
        <w:t>and</w:t>
      </w:r>
      <w:r w:rsidRPr="0064620F">
        <w:rPr>
          <w:rFonts w:ascii="Times New Roman" w:hAnsi="Times New Roman" w:cs="Times New Roman"/>
          <w:color w:val="auto"/>
        </w:rPr>
        <w:t xml:space="preserve"> Tulsa, OK</w:t>
      </w:r>
      <w:r>
        <w:rPr>
          <w:rFonts w:ascii="Times New Roman" w:hAnsi="Times New Roman" w:cs="Times New Roman"/>
          <w:color w:val="auto"/>
        </w:rPr>
        <w:t>, USA</w:t>
      </w:r>
    </w:p>
    <w:p w14:paraId="73B03D1E" w14:textId="77777777" w:rsidR="00B02CEE" w:rsidRPr="0064620F" w:rsidRDefault="00B02CEE" w:rsidP="00B02CEE">
      <w:pPr>
        <w:pStyle w:val="Body"/>
        <w:spacing w:line="360" w:lineRule="auto"/>
        <w:rPr>
          <w:rFonts w:ascii="Times New Roman" w:hAnsi="Times New Roman" w:cs="Times New Roman"/>
          <w:color w:val="auto"/>
        </w:rPr>
      </w:pPr>
      <w:r w:rsidRPr="0064620F">
        <w:rPr>
          <w:rFonts w:ascii="Times New Roman" w:hAnsi="Times New Roman" w:cs="Times New Roman"/>
          <w:color w:val="auto"/>
          <w:vertAlign w:val="superscript"/>
        </w:rPr>
        <w:t xml:space="preserve">3 </w:t>
      </w:r>
      <w:r w:rsidRPr="0064620F">
        <w:rPr>
          <w:rFonts w:ascii="Times New Roman" w:hAnsi="Times New Roman" w:cs="Times New Roman"/>
          <w:color w:val="auto"/>
        </w:rPr>
        <w:t>Institute for Biomedical Sciences</w:t>
      </w:r>
      <w:r w:rsidRPr="0064620F">
        <w:rPr>
          <w:rFonts w:ascii="Times New Roman" w:eastAsia="Times New Roman" w:hAnsi="Times New Roman" w:cs="Times New Roman"/>
          <w:color w:val="auto"/>
        </w:rPr>
        <w:t xml:space="preserve">, </w:t>
      </w:r>
      <w:r w:rsidRPr="0064620F">
        <w:rPr>
          <w:rFonts w:ascii="Times New Roman" w:hAnsi="Times New Roman" w:cs="Times New Roman"/>
          <w:color w:val="auto"/>
        </w:rPr>
        <w:t>Georgia State University, Atlanta, GA</w:t>
      </w:r>
      <w:r>
        <w:rPr>
          <w:rFonts w:ascii="Times New Roman" w:hAnsi="Times New Roman" w:cs="Times New Roman"/>
          <w:color w:val="auto"/>
        </w:rPr>
        <w:t>, USA</w:t>
      </w:r>
      <w:r w:rsidRPr="0064620F">
        <w:rPr>
          <w:rFonts w:ascii="Times New Roman" w:hAnsi="Times New Roman" w:cs="Times New Roman"/>
          <w:color w:val="auto"/>
        </w:rPr>
        <w:t xml:space="preserve"> </w:t>
      </w:r>
    </w:p>
    <w:p w14:paraId="17C6CD22" w14:textId="77777777" w:rsidR="00E6290C" w:rsidRDefault="00E6290C" w:rsidP="00511B35">
      <w:pPr>
        <w:spacing w:line="360" w:lineRule="auto"/>
        <w:jc w:val="center"/>
      </w:pPr>
    </w:p>
    <w:p w14:paraId="40B84C52" w14:textId="77777777" w:rsidR="00E6290C" w:rsidRPr="00035271" w:rsidRDefault="00E6290C" w:rsidP="00511B35">
      <w:pPr>
        <w:pStyle w:val="Body"/>
        <w:spacing w:line="360" w:lineRule="auto"/>
        <w:outlineLvl w:val="0"/>
        <w:rPr>
          <w:rFonts w:ascii="Times New Roman" w:eastAsia="Times New Roman" w:hAnsi="Times New Roman" w:cs="Times New Roman"/>
          <w:color w:val="auto"/>
        </w:rPr>
      </w:pPr>
      <w:r w:rsidRPr="00A05C14">
        <w:rPr>
          <w:rFonts w:ascii="Times New Roman" w:hAnsi="Times New Roman" w:cs="Times New Roman"/>
          <w:color w:val="auto"/>
        </w:rPr>
        <w:t>*Corresponding Authors:</w:t>
      </w:r>
      <w:r w:rsidRPr="00A05C14">
        <w:rPr>
          <w:rFonts w:ascii="Times New Roman" w:eastAsia="Times New Roman" w:hAnsi="Times New Roman" w:cs="Times New Roman"/>
          <w:color w:val="auto"/>
        </w:rPr>
        <w:t xml:space="preserve"> </w:t>
      </w:r>
      <w:r w:rsidRPr="00A05C14">
        <w:rPr>
          <w:rFonts w:ascii="Times New Roman" w:hAnsi="Times New Roman" w:cs="Times New Roman"/>
          <w:color w:val="auto"/>
        </w:rPr>
        <w:t>Dr. Zhenda Shi</w:t>
      </w:r>
      <w:r>
        <w:rPr>
          <w:rFonts w:ascii="Times New Roman" w:eastAsia="Times New Roman" w:hAnsi="Times New Roman" w:cs="Times New Roman"/>
          <w:color w:val="auto"/>
        </w:rPr>
        <w:t xml:space="preserve">, </w:t>
      </w:r>
      <w:r w:rsidRPr="00035271">
        <w:rPr>
          <w:rFonts w:ascii="Times New Roman" w:hAnsi="Times New Roman" w:cs="Times New Roman"/>
          <w:color w:val="auto"/>
        </w:rPr>
        <w:t xml:space="preserve">E-mail: </w:t>
      </w:r>
      <w:r>
        <w:rPr>
          <w:rFonts w:ascii="Times New Roman" w:hAnsi="Times New Roman" w:cs="Times New Roman"/>
          <w:color w:val="auto"/>
        </w:rPr>
        <w:t>pst2@cdc.gov</w:t>
      </w:r>
    </w:p>
    <w:p w14:paraId="7954BDC0" w14:textId="77777777" w:rsidR="00E6290C" w:rsidRPr="00A05C14" w:rsidRDefault="00E6290C" w:rsidP="00511B35">
      <w:pPr>
        <w:pStyle w:val="Body"/>
        <w:spacing w:line="360" w:lineRule="auto"/>
        <w:ind w:left="2160"/>
        <w:outlineLvl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Dr. </w:t>
      </w:r>
      <w:r w:rsidRPr="0064620F">
        <w:rPr>
          <w:rFonts w:ascii="Times New Roman" w:hAnsi="Times New Roman" w:cs="Times New Roman"/>
          <w:color w:val="auto"/>
        </w:rPr>
        <w:t>Baoming Jiang</w:t>
      </w:r>
      <w:r>
        <w:rPr>
          <w:rFonts w:ascii="Times New Roman" w:hAnsi="Times New Roman" w:cs="Times New Roman"/>
          <w:color w:val="auto"/>
        </w:rPr>
        <w:t xml:space="preserve">, </w:t>
      </w:r>
      <w:r w:rsidRPr="00035271">
        <w:rPr>
          <w:rFonts w:ascii="Times New Roman" w:hAnsi="Times New Roman" w:cs="Times New Roman"/>
          <w:color w:val="auto"/>
        </w:rPr>
        <w:t>E-mail: bxj4@cdc.gov</w:t>
      </w:r>
    </w:p>
    <w:p w14:paraId="43007865" w14:textId="77777777" w:rsidR="00E6290C" w:rsidRDefault="00E6290C" w:rsidP="00511B35">
      <w:pPr>
        <w:spacing w:line="360" w:lineRule="auto"/>
      </w:pPr>
    </w:p>
    <w:p w14:paraId="04178819" w14:textId="77777777" w:rsidR="00E6290C" w:rsidRDefault="00E6290C" w:rsidP="00511B35">
      <w:pPr>
        <w:spacing w:line="360" w:lineRule="auto"/>
        <w:rPr>
          <w:b/>
        </w:rPr>
      </w:pPr>
    </w:p>
    <w:p w14:paraId="15CCCC8D" w14:textId="77777777" w:rsidR="00E6290C" w:rsidRPr="00262D72" w:rsidRDefault="00E6290C" w:rsidP="00511B35">
      <w:pPr>
        <w:spacing w:line="360" w:lineRule="auto"/>
        <w:rPr>
          <w:b/>
        </w:rPr>
      </w:pPr>
      <w:r>
        <w:rPr>
          <w:b/>
        </w:rPr>
        <w:t xml:space="preserve">The PDF file </w:t>
      </w:r>
      <w:r w:rsidRPr="00262D72">
        <w:rPr>
          <w:b/>
        </w:rPr>
        <w:t>includes:</w:t>
      </w:r>
    </w:p>
    <w:p w14:paraId="6CCFE9CD" w14:textId="77777777" w:rsidR="00E6290C" w:rsidRDefault="00E6290C" w:rsidP="00511B35">
      <w:pPr>
        <w:spacing w:line="360" w:lineRule="auto"/>
      </w:pPr>
    </w:p>
    <w:p w14:paraId="45CB0176" w14:textId="64072C15" w:rsidR="00E6290C" w:rsidRDefault="00037830" w:rsidP="00511B35">
      <w:pPr>
        <w:spacing w:line="360" w:lineRule="auto"/>
        <w:ind w:left="720"/>
      </w:pPr>
      <w:r w:rsidRPr="00037830">
        <w:t xml:space="preserve">Supplementary </w:t>
      </w:r>
      <w:r w:rsidR="00E6290C">
        <w:t>Fig</w:t>
      </w:r>
      <w:r>
        <w:t>ure</w:t>
      </w:r>
      <w:r w:rsidR="00E6290C">
        <w:t xml:space="preserve"> 1 to 7</w:t>
      </w:r>
      <w:r w:rsidR="00E6290C">
        <w:br w:type="page"/>
      </w:r>
      <w:bookmarkStart w:id="0" w:name="Tables"/>
      <w:bookmarkStart w:id="1" w:name="MaterialsMethods"/>
      <w:bookmarkEnd w:id="0"/>
      <w:bookmarkEnd w:id="1"/>
    </w:p>
    <w:p w14:paraId="7CFFA77A" w14:textId="021AF84B" w:rsidR="008B489D" w:rsidRPr="00602BAB" w:rsidRDefault="00446C9E" w:rsidP="008B489D">
      <w:pPr>
        <w:rPr>
          <w:kern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4C886C8E" wp14:editId="4C04EBDF">
            <wp:simplePos x="0" y="0"/>
            <wp:positionH relativeFrom="margin">
              <wp:align>left</wp:align>
            </wp:positionH>
            <wp:positionV relativeFrom="paragraph">
              <wp:posOffset>332941</wp:posOffset>
            </wp:positionV>
            <wp:extent cx="5898333" cy="7021319"/>
            <wp:effectExtent l="0" t="0" r="7620" b="8255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57909788-4610-7FF4-E189-FF705CD3E4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57909788-4610-7FF4-E189-FF705CD3E4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354" cy="7029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3619C4" wp14:editId="57AAC29D">
                <wp:simplePos x="0" y="0"/>
                <wp:positionH relativeFrom="column">
                  <wp:posOffset>108503</wp:posOffset>
                </wp:positionH>
                <wp:positionV relativeFrom="paragraph">
                  <wp:posOffset>-31404</wp:posOffset>
                </wp:positionV>
                <wp:extent cx="4869180" cy="348558"/>
                <wp:effectExtent l="0" t="0" r="0" b="0"/>
                <wp:wrapNone/>
                <wp:docPr id="5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861603-B6D4-612C-F6C6-0EA66F42349E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69180" cy="34855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D5EE32" w14:textId="77777777" w:rsidR="00446C9E" w:rsidRDefault="00446C9E" w:rsidP="00446C9E">
                            <w:pPr>
                              <w:spacing w:line="216" w:lineRule="auto"/>
                              <w:jc w:val="center"/>
                              <w:rPr>
                                <w:rFonts w:eastAsia="+mj-e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+mj-e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Supplementary Figure 1. Related with Figure 2. Antibiotic treatment shifted the microbiota composition of MPF mice towards that of EF mice treated with and without antibiotics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619C4" id="Title 1" o:spid="_x0000_s1026" style="position:absolute;margin-left:8.55pt;margin-top:-2.45pt;width:383.4pt;height:27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" filled="f" stroked="f">
                <o:lock v:ext="edit" grouping="t"/>
                <v:textbox>
                  <w:txbxContent>
                    <w:p w14:paraId="3ED5EE32" w14:textId="77777777" w:rsidR="00446C9E" w:rsidRDefault="00446C9E" w:rsidP="00446C9E">
                      <w:pPr>
                        <w:spacing w:line="216" w:lineRule="auto"/>
                        <w:jc w:val="center"/>
                        <w:rPr>
                          <w:rFonts w:eastAsia="+mj-ea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eastAsia="+mj-ea"/>
                          <w:color w:val="000000"/>
                          <w:kern w:val="24"/>
                          <w:sz w:val="16"/>
                          <w:szCs w:val="16"/>
                        </w:rPr>
                        <w:t>Supplementary Figure 1. Related with Figure 2. Antibiotic treatment shifted the microbiota composition of MPF mice towards that of EF mice treated with and without antibiotics</w:t>
                      </w:r>
                    </w:p>
                  </w:txbxContent>
                </v:textbox>
              </v:rect>
            </w:pict>
          </mc:Fallback>
        </mc:AlternateContent>
      </w:r>
    </w:p>
    <w:p w14:paraId="130B71D8" w14:textId="537D3FAB" w:rsidR="008B489D" w:rsidRDefault="008B489D" w:rsidP="008B489D">
      <w:pPr>
        <w:pStyle w:val="SMcaption"/>
        <w:spacing w:line="480" w:lineRule="auto"/>
        <w:rPr>
          <w:noProof/>
        </w:rPr>
      </w:pPr>
      <w:r>
        <w:rPr>
          <w:noProof/>
        </w:rPr>
        <w:br w:type="page"/>
      </w:r>
    </w:p>
    <w:p w14:paraId="2539E552" w14:textId="77777777" w:rsidR="00446C9E" w:rsidRPr="00355362" w:rsidRDefault="00446C9E" w:rsidP="00446C9E">
      <w:pPr>
        <w:pStyle w:val="SMHeading"/>
        <w:spacing w:line="480" w:lineRule="auto"/>
      </w:pPr>
      <w:r w:rsidRPr="00B323DE">
        <w:lastRenderedPageBreak/>
        <w:t xml:space="preserve">Supplementary </w:t>
      </w:r>
      <w:r w:rsidRPr="00FA2198">
        <w:t>Figure 1. Related with Figure 1. Microbiota composition influences infection and antibody response to oral RV inoculation</w:t>
      </w:r>
    </w:p>
    <w:p w14:paraId="391F396E" w14:textId="77777777" w:rsidR="00446C9E" w:rsidRDefault="00446C9E" w:rsidP="00446C9E">
      <w:pPr>
        <w:pStyle w:val="SMcaption"/>
        <w:spacing w:line="480" w:lineRule="auto"/>
      </w:pPr>
      <w:r w:rsidRPr="00FA2198">
        <w:t xml:space="preserve">EF and MPF mice were administered with or without antibiotics (Abx) cocktail in drinking water for </w:t>
      </w:r>
      <w:r>
        <w:t xml:space="preserve">one </w:t>
      </w:r>
      <w:r w:rsidRPr="00FA2198">
        <w:t xml:space="preserve">week. Fecal microbiota compositions were analyzed by using 16S-rRNA sequencing. Figure shows detailed 16s reads of different </w:t>
      </w:r>
      <w:r>
        <w:t>microbiota</w:t>
      </w:r>
      <w:r w:rsidRPr="00FA2198">
        <w:t xml:space="preserve"> population.</w:t>
      </w:r>
    </w:p>
    <w:p w14:paraId="4932697E" w14:textId="77777777" w:rsidR="00446C9E" w:rsidRDefault="00446C9E" w:rsidP="008B489D">
      <w:pPr>
        <w:rPr>
          <w:rFonts w:eastAsia="Times New Roman"/>
          <w:szCs w:val="20"/>
        </w:rPr>
      </w:pPr>
      <w:r>
        <w:rPr>
          <w:rFonts w:eastAsia="Times New Roman"/>
          <w:szCs w:val="20"/>
        </w:rPr>
        <w:br w:type="page"/>
      </w:r>
    </w:p>
    <w:p w14:paraId="391B33A0" w14:textId="74F72AD0" w:rsidR="008B489D" w:rsidRDefault="00021A13" w:rsidP="008B489D">
      <w:r>
        <w:rPr>
          <w:noProof/>
        </w:rPr>
        <w:lastRenderedPageBreak/>
        <w:drawing>
          <wp:inline distT="0" distB="0" distL="0" distR="0" wp14:anchorId="42E770DA" wp14:editId="28D8B812">
            <wp:extent cx="5952015" cy="324748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315" cy="3266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857E4" w14:textId="306806B3" w:rsidR="008B489D" w:rsidRPr="00355362" w:rsidRDefault="00B06D58" w:rsidP="008B489D">
      <w:pPr>
        <w:pStyle w:val="SMHeading"/>
        <w:spacing w:line="480" w:lineRule="auto"/>
      </w:pPr>
      <w:r w:rsidRPr="00B06D58">
        <w:t xml:space="preserve">Supplementary </w:t>
      </w:r>
      <w:r w:rsidR="008B489D" w:rsidRPr="00FA2198">
        <w:t xml:space="preserve">Figure 2. Related with Figure 2. </w:t>
      </w:r>
      <w:r w:rsidR="008B489D" w:rsidRPr="00084A33">
        <w:t>Combination treatment of Reg3β and Reg3γ inhibit</w:t>
      </w:r>
      <w:r w:rsidR="008B489D">
        <w:t>s</w:t>
      </w:r>
      <w:r w:rsidR="008B489D" w:rsidRPr="00084A33">
        <w:t xml:space="preserve"> RV infection in WT and Rag1-KO mice</w:t>
      </w:r>
    </w:p>
    <w:p w14:paraId="6670ACB4" w14:textId="77777777" w:rsidR="008B489D" w:rsidRDefault="008B489D" w:rsidP="008B489D">
      <w:pPr>
        <w:pStyle w:val="SMcaption"/>
        <w:spacing w:line="480" w:lineRule="auto"/>
      </w:pPr>
      <w:r w:rsidRPr="00D87544">
        <w:rPr>
          <w:b/>
          <w:bCs/>
        </w:rPr>
        <w:t>(A)</w:t>
      </w:r>
      <w:r w:rsidRPr="00FA2198">
        <w:t xml:space="preserve"> EF and MPF mice that were treated with or without antibiotics for 1-week, then ileum mRNA was extracted, and representative pro-inflammatory and anti-inflammatory cytokine expression levels were analyzed. Data are shown in relative mean and relative minimum to maximum expression levels. Data was analyzed by using T-TEST of MPF mice in comparison with the other 3 groups individually (n=4; *, p &lt; 0.05, **, p &lt; 0.01, ***, p &lt; 0.001, determined by T-test). </w:t>
      </w:r>
    </w:p>
    <w:p w14:paraId="7B293615" w14:textId="5B11C3C8" w:rsidR="00446C9E" w:rsidRDefault="008B489D" w:rsidP="008B489D">
      <w:pPr>
        <w:pStyle w:val="SMcaption"/>
        <w:spacing w:line="480" w:lineRule="auto"/>
      </w:pPr>
      <w:r w:rsidRPr="00D87544">
        <w:rPr>
          <w:b/>
          <w:bCs/>
        </w:rPr>
        <w:t>(B)</w:t>
      </w:r>
      <w:r w:rsidRPr="00FA2198">
        <w:t xml:space="preserve"> WT mice were intraperitoneally (IP) injected with PBS containing with or without </w:t>
      </w:r>
      <w:proofErr w:type="spellStart"/>
      <w:r w:rsidRPr="00FA2198">
        <w:t>Retnlb</w:t>
      </w:r>
      <w:proofErr w:type="spellEnd"/>
      <w:r w:rsidRPr="00FA2198">
        <w:t xml:space="preserve"> (10 µg) or SAA1 (10 µg) on the 0-dpi and 1-dpi (red arrow). The treated mice were challenged with RV orally on 0-dpi. Feces were collected daily for 10 days, and fecal RV antigen shedding was quantified by ELISA.</w:t>
      </w:r>
    </w:p>
    <w:p w14:paraId="5594221C" w14:textId="27BCF207" w:rsidR="008B489D" w:rsidRDefault="002A4EB1" w:rsidP="008B489D">
      <w:pPr>
        <w:pStyle w:val="SMHeading"/>
        <w:spacing w:line="480" w:lineRule="auto"/>
      </w:pPr>
      <w:r>
        <w:rPr>
          <w:noProof/>
        </w:rPr>
        <w:lastRenderedPageBreak/>
        <w:drawing>
          <wp:inline distT="0" distB="0" distL="0" distR="0" wp14:anchorId="05472603" wp14:editId="0F70AE5D">
            <wp:extent cx="5940795" cy="34664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595" cy="3480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ED7539" w14:textId="564336E4" w:rsidR="008B489D" w:rsidRPr="00355362" w:rsidRDefault="00B06D58" w:rsidP="008B489D">
      <w:pPr>
        <w:pStyle w:val="SMHeading"/>
        <w:spacing w:line="480" w:lineRule="auto"/>
      </w:pPr>
      <w:r w:rsidRPr="00B06D58">
        <w:t xml:space="preserve">Supplementary </w:t>
      </w:r>
      <w:r w:rsidR="008B489D" w:rsidRPr="00FA2198">
        <w:t xml:space="preserve">Figure 3. Related to Figure </w:t>
      </w:r>
      <w:r w:rsidR="008B489D">
        <w:t>4</w:t>
      </w:r>
      <w:r w:rsidR="008B489D" w:rsidRPr="00FA2198">
        <w:t xml:space="preserve">. </w:t>
      </w:r>
      <w:r w:rsidR="008B489D">
        <w:t>Host microbiota affect parenteral RV vaccination</w:t>
      </w:r>
    </w:p>
    <w:p w14:paraId="66B6D882" w14:textId="77777777" w:rsidR="008B489D" w:rsidRDefault="008B489D" w:rsidP="008B489D">
      <w:pPr>
        <w:pStyle w:val="SMcaption"/>
        <w:spacing w:line="480" w:lineRule="auto"/>
      </w:pPr>
      <w:r w:rsidRPr="00FA2198">
        <w:t xml:space="preserve">EF or MPF mice </w:t>
      </w:r>
      <w:r>
        <w:t>received</w:t>
      </w:r>
      <w:r w:rsidRPr="00FA2198">
        <w:t xml:space="preserve"> IM</w:t>
      </w:r>
      <w:r>
        <w:t xml:space="preserve"> inoculation</w:t>
      </w:r>
      <w:r w:rsidRPr="00FA2198">
        <w:t xml:space="preserve"> </w:t>
      </w:r>
      <w:r>
        <w:t>of</w:t>
      </w:r>
      <w:r w:rsidRPr="00FA2198">
        <w:t xml:space="preserve"> RV (RRV strain</w:t>
      </w:r>
      <w:r>
        <w:t xml:space="preserve"> </w:t>
      </w:r>
      <w:r w:rsidRPr="00FA2198">
        <w:t xml:space="preserve">5 </w:t>
      </w:r>
      <w:proofErr w:type="spellStart"/>
      <w:r w:rsidRPr="00FA2198">
        <w:t>μg</w:t>
      </w:r>
      <w:proofErr w:type="spellEnd"/>
      <w:r w:rsidRPr="00FA2198">
        <w:t>)</w:t>
      </w:r>
      <w:r>
        <w:t xml:space="preserve"> on 0 dpi and </w:t>
      </w:r>
      <w:r w:rsidRPr="00FA2198">
        <w:t>challenged orally with RV (EC strain) on 30</w:t>
      </w:r>
      <w:r>
        <w:t xml:space="preserve"> </w:t>
      </w:r>
      <w:r w:rsidRPr="00FA2198">
        <w:t xml:space="preserve">dpi. Fecal samples were collected </w:t>
      </w:r>
      <w:r>
        <w:t>on indicated days</w:t>
      </w:r>
      <w:r w:rsidRPr="00FA2198">
        <w:t>, and fecal RV antigen shedding was quantified using ELISA. Data shown are means ± SEM</w:t>
      </w:r>
      <w:r>
        <w:t xml:space="preserve">, </w:t>
      </w:r>
      <w:r w:rsidRPr="00FA2198">
        <w:t xml:space="preserve">MPF IM RV </w:t>
      </w:r>
      <w:r>
        <w:t>differed EF IM RV group significantly (</w:t>
      </w:r>
      <w:r w:rsidRPr="00FA2198">
        <w:t>n= 4</w:t>
      </w:r>
      <w:r>
        <w:t>,</w:t>
      </w:r>
      <w:r w:rsidRPr="00CD357A">
        <w:t xml:space="preserve"> </w:t>
      </w:r>
      <w:r>
        <w:t xml:space="preserve">p&lt; 0.0001, </w:t>
      </w:r>
      <w:r w:rsidRPr="00FA2198">
        <w:t>two-way ANOVA</w:t>
      </w:r>
      <w:r>
        <w:t>)</w:t>
      </w:r>
      <w:r>
        <w:br w:type="page"/>
      </w:r>
    </w:p>
    <w:p w14:paraId="0F9CD40A" w14:textId="38F8CFA8" w:rsidR="008B489D" w:rsidRDefault="00A10E16" w:rsidP="008B489D">
      <w:pPr>
        <w:pStyle w:val="SMHeading"/>
        <w:spacing w:line="480" w:lineRule="auto"/>
      </w:pPr>
      <w:r w:rsidRPr="00A10E16">
        <w:rPr>
          <w:rFonts w:eastAsiaTheme="majorEastAsia"/>
          <w:b w:val="0"/>
          <w:bCs w:val="0"/>
          <w:color w:val="000000" w:themeColor="text1"/>
          <w:kern w:val="24"/>
          <w:sz w:val="16"/>
          <w:szCs w:val="16"/>
        </w:rPr>
        <w:lastRenderedPageBreak/>
        <w:t xml:space="preserve"> </w:t>
      </w:r>
      <w:r w:rsidR="00B77261">
        <w:rPr>
          <w:rFonts w:eastAsiaTheme="majorEastAsia"/>
          <w:b w:val="0"/>
          <w:bCs w:val="0"/>
          <w:noProof/>
          <w:color w:val="000000" w:themeColor="text1"/>
          <w:kern w:val="24"/>
          <w:sz w:val="16"/>
          <w:szCs w:val="16"/>
        </w:rPr>
        <w:drawing>
          <wp:inline distT="0" distB="0" distL="0" distR="0" wp14:anchorId="3E9879A3" wp14:editId="474667CF">
            <wp:extent cx="5946738" cy="450785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29" cy="4519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0E16">
        <w:t xml:space="preserve">Supplementary </w:t>
      </w:r>
      <w:r w:rsidR="008B489D" w:rsidRPr="00FA2198">
        <w:t xml:space="preserve">Figure 4. Related to Figure </w:t>
      </w:r>
      <w:r w:rsidR="008B489D">
        <w:t>4</w:t>
      </w:r>
      <w:r w:rsidR="008B489D" w:rsidRPr="00FA2198">
        <w:t xml:space="preserve">. </w:t>
      </w:r>
      <w:r w:rsidR="008B489D">
        <w:t>Host microbiota affect parenteral RV vaccination</w:t>
      </w:r>
    </w:p>
    <w:p w14:paraId="0E7F2AD3" w14:textId="77777777" w:rsidR="008B489D" w:rsidRPr="002E0A98" w:rsidRDefault="008B489D" w:rsidP="008B489D">
      <w:pPr>
        <w:pStyle w:val="SMcaption"/>
        <w:spacing w:line="480" w:lineRule="auto"/>
      </w:pPr>
      <w:r w:rsidRPr="00FA2198">
        <w:t>EF and MPF mice were put on drinking water with or without antibiotics cocktail for 7 days before IM immunization of RV (</w:t>
      </w:r>
      <w:proofErr w:type="spellStart"/>
      <w:r w:rsidRPr="00FA2198">
        <w:t>Wa</w:t>
      </w:r>
      <w:proofErr w:type="spellEnd"/>
      <w:r w:rsidRPr="00FA2198">
        <w:t xml:space="preserve"> strain 5 </w:t>
      </w:r>
      <w:proofErr w:type="spellStart"/>
      <w:r w:rsidRPr="00FA2198">
        <w:t>μg</w:t>
      </w:r>
      <w:proofErr w:type="spellEnd"/>
      <w:r w:rsidRPr="00FA2198">
        <w:t>)</w:t>
      </w:r>
      <w:r>
        <w:t xml:space="preserve"> and </w:t>
      </w:r>
      <w:r w:rsidRPr="00FA2198">
        <w:t>maintained throughout the experiment. Serum was collected on 21-dpi, and RV neutralization activities were determined by microneutralization assay. The negative neutralization control differed from all the other groups significantly; no significance was found among the positive neutralization control, EF IM RV, EF IM RV Abx, MPF IM RV, and MPF IM RV Abx groups (data shown as GMT, ***, p &lt; 0.001, n=4, determined by T-test).</w:t>
      </w:r>
    </w:p>
    <w:p w14:paraId="001CC187" w14:textId="77777777" w:rsidR="00B77261" w:rsidRDefault="00B77261" w:rsidP="008B489D">
      <w:pPr>
        <w:pStyle w:val="SMHeading"/>
        <w:spacing w:line="480" w:lineRule="auto"/>
        <w:rPr>
          <w:rFonts w:eastAsiaTheme="majorEastAsia"/>
          <w:b w:val="0"/>
          <w:bCs w:val="0"/>
          <w:color w:val="000000" w:themeColor="text1"/>
          <w:kern w:val="24"/>
          <w:sz w:val="16"/>
          <w:szCs w:val="16"/>
        </w:rPr>
      </w:pPr>
      <w:r>
        <w:rPr>
          <w:rFonts w:eastAsiaTheme="majorEastAsia"/>
          <w:b w:val="0"/>
          <w:bCs w:val="0"/>
          <w:color w:val="000000" w:themeColor="text1"/>
          <w:kern w:val="24"/>
          <w:sz w:val="16"/>
          <w:szCs w:val="16"/>
        </w:rPr>
        <w:br w:type="page"/>
      </w:r>
    </w:p>
    <w:p w14:paraId="3F9A940E" w14:textId="678BFAAE" w:rsidR="008B489D" w:rsidRDefault="00B77261" w:rsidP="008B489D">
      <w:pPr>
        <w:pStyle w:val="SMHeading"/>
        <w:spacing w:line="480" w:lineRule="auto"/>
      </w:pPr>
      <w:r>
        <w:rPr>
          <w:rFonts w:eastAsiaTheme="majorEastAsia"/>
          <w:b w:val="0"/>
          <w:bCs w:val="0"/>
          <w:noProof/>
          <w:color w:val="000000" w:themeColor="text1"/>
          <w:kern w:val="24"/>
          <w:sz w:val="16"/>
          <w:szCs w:val="16"/>
        </w:rPr>
        <w:lastRenderedPageBreak/>
        <w:drawing>
          <wp:inline distT="0" distB="0" distL="0" distR="0" wp14:anchorId="76B92FD2" wp14:editId="74E8FA56">
            <wp:extent cx="5912746" cy="25184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941" cy="2529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E16" w:rsidRPr="00A10E16">
        <w:rPr>
          <w:rFonts w:eastAsiaTheme="majorEastAsia"/>
          <w:b w:val="0"/>
          <w:bCs w:val="0"/>
          <w:color w:val="000000" w:themeColor="text1"/>
          <w:kern w:val="24"/>
          <w:sz w:val="16"/>
          <w:szCs w:val="16"/>
        </w:rPr>
        <w:t xml:space="preserve"> </w:t>
      </w:r>
      <w:r w:rsidR="00A10E16" w:rsidRPr="00A10E16">
        <w:t xml:space="preserve">Supplementary </w:t>
      </w:r>
      <w:r w:rsidR="008B489D" w:rsidRPr="00FA2198">
        <w:t xml:space="preserve">Figure 5. Related to Figure </w:t>
      </w:r>
      <w:r w:rsidR="008B489D">
        <w:t>4</w:t>
      </w:r>
      <w:r w:rsidR="008B489D" w:rsidRPr="00FA2198">
        <w:t xml:space="preserve">. </w:t>
      </w:r>
      <w:r w:rsidR="008B489D">
        <w:t>Host microbiota affect parenteral RV vaccination</w:t>
      </w:r>
    </w:p>
    <w:p w14:paraId="282EA7CB" w14:textId="77777777" w:rsidR="008B489D" w:rsidRDefault="008B489D" w:rsidP="008B489D">
      <w:pPr>
        <w:pStyle w:val="SMcaption"/>
        <w:spacing w:line="480" w:lineRule="auto"/>
      </w:pPr>
      <w:r w:rsidRPr="00FA2198">
        <w:t xml:space="preserve">EF and MPF mice were put on drinking water with or without antibiotics cocktail for 7 days before IM immunization of </w:t>
      </w:r>
      <w:proofErr w:type="spellStart"/>
      <w:r w:rsidRPr="00FA2198">
        <w:t>sCal</w:t>
      </w:r>
      <w:proofErr w:type="spellEnd"/>
      <w:r w:rsidRPr="00FA2198">
        <w:t xml:space="preserve"> (split vaccine 10 </w:t>
      </w:r>
      <w:proofErr w:type="spellStart"/>
      <w:r w:rsidRPr="00FA2198">
        <w:t>μg</w:t>
      </w:r>
      <w:proofErr w:type="spellEnd"/>
      <w:r w:rsidRPr="00FA2198">
        <w:t>)</w:t>
      </w:r>
      <w:r>
        <w:t xml:space="preserve"> and </w:t>
      </w:r>
      <w:r w:rsidRPr="00FA2198">
        <w:t xml:space="preserve">maintained throughout the experiment. The mice were intranasally challenged with A/Cal (3X LD50) at 3-weeks post IM </w:t>
      </w:r>
      <w:proofErr w:type="spellStart"/>
      <w:r w:rsidRPr="00FA2198">
        <w:t>sCal</w:t>
      </w:r>
      <w:proofErr w:type="spellEnd"/>
      <w:r w:rsidRPr="00FA2198">
        <w:t xml:space="preserve"> immunization. Body weight changes were monitored for 21 days and serum </w:t>
      </w:r>
      <w:proofErr w:type="spellStart"/>
      <w:r w:rsidRPr="00FA2198">
        <w:t>sCal</w:t>
      </w:r>
      <w:proofErr w:type="spellEnd"/>
      <w:r w:rsidRPr="00FA2198">
        <w:t xml:space="preserve"> specific IgG were measured on day 21 </w:t>
      </w:r>
      <w:r>
        <w:t>dpi</w:t>
      </w:r>
      <w:r w:rsidRPr="00FA2198">
        <w:t xml:space="preserve">.  </w:t>
      </w:r>
    </w:p>
    <w:p w14:paraId="20E7CDE5" w14:textId="77777777" w:rsidR="008B489D" w:rsidRDefault="008B489D" w:rsidP="008B489D">
      <w:pPr>
        <w:pStyle w:val="SMcaption"/>
        <w:spacing w:line="480" w:lineRule="auto"/>
      </w:pPr>
      <w:r w:rsidRPr="00D87544">
        <w:rPr>
          <w:b/>
          <w:bCs/>
        </w:rPr>
        <w:t>(A)</w:t>
      </w:r>
      <w:r w:rsidRPr="00FA2198">
        <w:t xml:space="preserve"> Body weight changes post intranasal challenge of A/Cal. </w:t>
      </w:r>
      <w:r w:rsidRPr="00D87544">
        <w:rPr>
          <w:b/>
          <w:bCs/>
        </w:rPr>
        <w:t>(B)</w:t>
      </w:r>
      <w:r w:rsidRPr="00FA2198">
        <w:t xml:space="preserve"> Serum A/Cal H1N1</w:t>
      </w:r>
      <w:r>
        <w:t>-specific</w:t>
      </w:r>
      <w:r w:rsidRPr="00FA2198">
        <w:t xml:space="preserve"> IgG levels. </w:t>
      </w:r>
    </w:p>
    <w:p w14:paraId="77D2980A" w14:textId="77777777" w:rsidR="008B489D" w:rsidRDefault="008B489D" w:rsidP="008B489D">
      <w:pPr>
        <w:pStyle w:val="SMcaption"/>
        <w:spacing w:line="480" w:lineRule="auto"/>
      </w:pPr>
      <w:r w:rsidRPr="00FA2198">
        <w:t>Data shown in Fig. S5A are means ± SEM</w:t>
      </w:r>
      <w:r>
        <w:t>,</w:t>
      </w:r>
      <w:r w:rsidRPr="00FA2198">
        <w:t xml:space="preserve"> EF </w:t>
      </w:r>
      <w:proofErr w:type="spellStart"/>
      <w:r w:rsidRPr="00FA2198">
        <w:t>sCal</w:t>
      </w:r>
      <w:proofErr w:type="spellEnd"/>
      <w:r w:rsidRPr="00FA2198">
        <w:t xml:space="preserve">, EF </w:t>
      </w:r>
      <w:proofErr w:type="spellStart"/>
      <w:r w:rsidRPr="00FA2198">
        <w:t>sCal</w:t>
      </w:r>
      <w:proofErr w:type="spellEnd"/>
      <w:r w:rsidRPr="00FA2198">
        <w:t xml:space="preserve"> Abx, and MPF </w:t>
      </w:r>
      <w:proofErr w:type="spellStart"/>
      <w:r w:rsidRPr="00FA2198">
        <w:t>sCal</w:t>
      </w:r>
      <w:proofErr w:type="spellEnd"/>
      <w:r w:rsidRPr="00FA2198">
        <w:t xml:space="preserve"> Abx groups differed EF naïve, MPF naïve, and MPF </w:t>
      </w:r>
      <w:proofErr w:type="spellStart"/>
      <w:r w:rsidRPr="00FA2198">
        <w:t>sCal</w:t>
      </w:r>
      <w:proofErr w:type="spellEnd"/>
      <w:r w:rsidRPr="00FA2198">
        <w:t xml:space="preserve"> groups significantly</w:t>
      </w:r>
      <w:r>
        <w:t xml:space="preserve">, </w:t>
      </w:r>
      <w:r w:rsidRPr="00FA2198">
        <w:t xml:space="preserve">MPF </w:t>
      </w:r>
      <w:proofErr w:type="spellStart"/>
      <w:r w:rsidRPr="00FA2198">
        <w:t>sCal</w:t>
      </w:r>
      <w:proofErr w:type="spellEnd"/>
      <w:r w:rsidRPr="00FA2198">
        <w:t xml:space="preserve"> group differed all other groups significantly </w:t>
      </w:r>
      <w:r>
        <w:t>(</w:t>
      </w:r>
      <w:r w:rsidRPr="00FA2198">
        <w:t>n = 4, p &lt; 0.0001</w:t>
      </w:r>
      <w:r>
        <w:t xml:space="preserve">, </w:t>
      </w:r>
      <w:r w:rsidRPr="00FA2198">
        <w:t>two-way ANOVA</w:t>
      </w:r>
      <w:r>
        <w:t>)</w:t>
      </w:r>
      <w:r w:rsidRPr="00FA2198">
        <w:t>. Data shown in Fig. S5B are GMT</w:t>
      </w:r>
      <w:r>
        <w:t>,</w:t>
      </w:r>
      <w:r w:rsidRPr="00FA2198">
        <w:t xml:space="preserve"> </w:t>
      </w:r>
      <w:r>
        <w:t>n</w:t>
      </w:r>
      <w:r w:rsidRPr="00FA2198">
        <w:t xml:space="preserve">o significance was found among the four IM </w:t>
      </w:r>
      <w:proofErr w:type="spellStart"/>
      <w:r w:rsidRPr="00FA2198">
        <w:t>sCal</w:t>
      </w:r>
      <w:proofErr w:type="spellEnd"/>
      <w:r w:rsidRPr="00FA2198">
        <w:t xml:space="preserve"> immunized groups, but all differed the EF naïve and MPF naïve mice significantly </w:t>
      </w:r>
      <w:r>
        <w:t>(</w:t>
      </w:r>
      <w:r w:rsidRPr="00FA2198">
        <w:t>n = 4</w:t>
      </w:r>
      <w:r>
        <w:t>, * p&lt;0.05, T-test).</w:t>
      </w:r>
      <w:r w:rsidRPr="00FA2198">
        <w:t xml:space="preserve"> Each experiment was performed 2 times and yielded an identical pattern of</w:t>
      </w:r>
      <w:r>
        <w:t xml:space="preserve"> results.</w:t>
      </w:r>
      <w:r>
        <w:br w:type="page"/>
      </w:r>
    </w:p>
    <w:p w14:paraId="651FAD45" w14:textId="76329F9F" w:rsidR="008B489D" w:rsidRPr="00355362" w:rsidRDefault="00F66134" w:rsidP="008B489D">
      <w:pPr>
        <w:pStyle w:val="SMHeading"/>
        <w:spacing w:line="480" w:lineRule="auto"/>
      </w:pPr>
      <w:r>
        <w:rPr>
          <w:rFonts w:eastAsiaTheme="majorEastAsia"/>
          <w:b w:val="0"/>
          <w:bCs w:val="0"/>
          <w:noProof/>
          <w:color w:val="000000" w:themeColor="text1"/>
          <w:kern w:val="24"/>
          <w:sz w:val="16"/>
          <w:szCs w:val="16"/>
        </w:rPr>
        <w:lastRenderedPageBreak/>
        <w:drawing>
          <wp:inline distT="0" distB="0" distL="0" distR="0" wp14:anchorId="37F9986A" wp14:editId="7033F15F">
            <wp:extent cx="5954385" cy="371930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145" cy="3736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E16" w:rsidRPr="00A10E16">
        <w:rPr>
          <w:rFonts w:eastAsiaTheme="majorEastAsia"/>
          <w:b w:val="0"/>
          <w:bCs w:val="0"/>
          <w:color w:val="000000" w:themeColor="text1"/>
          <w:kern w:val="24"/>
          <w:sz w:val="16"/>
          <w:szCs w:val="16"/>
        </w:rPr>
        <w:t xml:space="preserve"> </w:t>
      </w:r>
      <w:r w:rsidR="00A10E16" w:rsidRPr="00A10E16">
        <w:t xml:space="preserve">Supplementary </w:t>
      </w:r>
      <w:r w:rsidR="008B489D" w:rsidRPr="0051596B">
        <w:t xml:space="preserve">Figure 6. Related with Figure </w:t>
      </w:r>
      <w:r w:rsidR="008B489D">
        <w:t>5</w:t>
      </w:r>
      <w:r w:rsidR="008B489D" w:rsidRPr="0051596B">
        <w:t xml:space="preserve">. </w:t>
      </w:r>
      <w:r w:rsidR="008B489D" w:rsidRPr="00661C68">
        <w:t>Serum cytokine profiles of EF and MPF mice with or without antibiotics treatment</w:t>
      </w:r>
    </w:p>
    <w:p w14:paraId="0B4710CD" w14:textId="77777777" w:rsidR="008B489D" w:rsidRPr="00A46963" w:rsidRDefault="008B489D" w:rsidP="008B489D">
      <w:pPr>
        <w:pStyle w:val="SMcaption"/>
        <w:spacing w:line="480" w:lineRule="auto"/>
      </w:pPr>
      <w:r w:rsidRPr="0051596B">
        <w:t>EF and MPF mice that were treated with or without antibiotics for 1-week, serum cytokine levels were analyzed using mice cytokine</w:t>
      </w:r>
      <w:r>
        <w:t xml:space="preserve"> bio</w:t>
      </w:r>
      <w:r w:rsidRPr="0051596B">
        <w:t xml:space="preserve"> plex assay. Cytokine levels are shown in mean and minimum to maximum levels. Data are analyzed by comparing the cytokine levels of the MPF mice with the other 3 groups individually (n=4; *, p &lt; 0.05, **, p &lt; 0.01, ***, p &lt; 0.001, determined by T-test).</w:t>
      </w:r>
      <w:r>
        <w:br w:type="page"/>
      </w:r>
    </w:p>
    <w:p w14:paraId="5D49DA7E" w14:textId="4CF11FE6" w:rsidR="00E6290C" w:rsidRPr="008B489D" w:rsidRDefault="000E1F22" w:rsidP="008B489D">
      <w:pPr>
        <w:pStyle w:val="Body"/>
        <w:spacing w:line="48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Theme="majorEastAsia" w:hAnsi="Times New Roman" w:cs="Times New Roman"/>
          <w:noProof/>
          <w:color w:val="000000" w:themeColor="text1"/>
          <w:kern w:val="24"/>
          <w:sz w:val="16"/>
          <w:szCs w:val="16"/>
        </w:rPr>
        <w:lastRenderedPageBreak/>
        <w:drawing>
          <wp:inline distT="0" distB="0" distL="0" distR="0" wp14:anchorId="790F4CF2" wp14:editId="12029C47">
            <wp:extent cx="5957625" cy="4998951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770" cy="5003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E16" w:rsidRPr="00A10E16">
        <w:rPr>
          <w:rFonts w:ascii="Times New Roman" w:eastAsiaTheme="majorEastAsia" w:hAnsi="Times New Roman" w:cs="Times New Roman"/>
          <w:color w:val="000000" w:themeColor="text1"/>
          <w:kern w:val="24"/>
          <w:sz w:val="16"/>
          <w:szCs w:val="16"/>
        </w:rPr>
        <w:t xml:space="preserve"> </w:t>
      </w:r>
      <w:r w:rsidR="00A10E16" w:rsidRPr="00A10E16">
        <w:t xml:space="preserve">Supplementary </w:t>
      </w:r>
      <w:r w:rsidR="008B489D" w:rsidRPr="00BB0541">
        <w:t>Figure 7. Primer sequences</w:t>
      </w:r>
    </w:p>
    <w:sectPr w:rsidR="00E6290C" w:rsidRPr="008B489D" w:rsidSect="00084A33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2F2F3" w14:textId="77777777" w:rsidR="00F43D45" w:rsidRDefault="00F43D45" w:rsidP="00D168DB">
      <w:pPr>
        <w:spacing w:line="240" w:lineRule="auto"/>
      </w:pPr>
      <w:r>
        <w:separator/>
      </w:r>
    </w:p>
  </w:endnote>
  <w:endnote w:type="continuationSeparator" w:id="0">
    <w:p w14:paraId="471B4074" w14:textId="77777777" w:rsidR="00F43D45" w:rsidRDefault="00F43D45" w:rsidP="00D168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+mj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36260" w14:textId="77777777" w:rsidR="00F43D45" w:rsidRDefault="00F43D45" w:rsidP="00D168DB">
      <w:pPr>
        <w:spacing w:line="240" w:lineRule="auto"/>
      </w:pPr>
      <w:r>
        <w:separator/>
      </w:r>
    </w:p>
  </w:footnote>
  <w:footnote w:type="continuationSeparator" w:id="0">
    <w:p w14:paraId="26D75D94" w14:textId="77777777" w:rsidR="00F43D45" w:rsidRDefault="00F43D45" w:rsidP="00D168D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pvw0vtkpp2vteasru5pr2fad25d5vrxsrr&quot;&gt;My EndNote Library-Converted&lt;record-ids&gt;&lt;item&gt;13&lt;/item&gt;&lt;item&gt;44&lt;/item&gt;&lt;item&gt;45&lt;/item&gt;&lt;item&gt;46&lt;/item&gt;&lt;item&gt;47&lt;/item&gt;&lt;item&gt;56&lt;/item&gt;&lt;item&gt;63&lt;/item&gt;&lt;item&gt;64&lt;/item&gt;&lt;item&gt;65&lt;/item&gt;&lt;/record-ids&gt;&lt;/item&gt;&lt;/Libraries&gt;"/>
  </w:docVars>
  <w:rsids>
    <w:rsidRoot w:val="00D168DB"/>
    <w:rsid w:val="00021A13"/>
    <w:rsid w:val="00037830"/>
    <w:rsid w:val="00084A33"/>
    <w:rsid w:val="000E1F22"/>
    <w:rsid w:val="000F0B74"/>
    <w:rsid w:val="0018261A"/>
    <w:rsid w:val="002677D1"/>
    <w:rsid w:val="002A4EB1"/>
    <w:rsid w:val="002D6757"/>
    <w:rsid w:val="002E0A98"/>
    <w:rsid w:val="00327670"/>
    <w:rsid w:val="00446C9E"/>
    <w:rsid w:val="004B792C"/>
    <w:rsid w:val="00511B35"/>
    <w:rsid w:val="00661C68"/>
    <w:rsid w:val="00762D62"/>
    <w:rsid w:val="008457C8"/>
    <w:rsid w:val="008762F3"/>
    <w:rsid w:val="008B489D"/>
    <w:rsid w:val="00910936"/>
    <w:rsid w:val="00977C50"/>
    <w:rsid w:val="00A10E16"/>
    <w:rsid w:val="00A46963"/>
    <w:rsid w:val="00AB0E3F"/>
    <w:rsid w:val="00AD7FAF"/>
    <w:rsid w:val="00AE7D58"/>
    <w:rsid w:val="00B02CEE"/>
    <w:rsid w:val="00B06D58"/>
    <w:rsid w:val="00B16BB0"/>
    <w:rsid w:val="00B323DE"/>
    <w:rsid w:val="00B77261"/>
    <w:rsid w:val="00B853D4"/>
    <w:rsid w:val="00BB63C3"/>
    <w:rsid w:val="00C94B5B"/>
    <w:rsid w:val="00D168DB"/>
    <w:rsid w:val="00D50609"/>
    <w:rsid w:val="00D72D21"/>
    <w:rsid w:val="00D8159B"/>
    <w:rsid w:val="00DB3470"/>
    <w:rsid w:val="00DC3873"/>
    <w:rsid w:val="00E6290C"/>
    <w:rsid w:val="00E718F3"/>
    <w:rsid w:val="00E82FD1"/>
    <w:rsid w:val="00F112E6"/>
    <w:rsid w:val="00F16FC7"/>
    <w:rsid w:val="00F31555"/>
    <w:rsid w:val="00F43D45"/>
    <w:rsid w:val="00F66134"/>
    <w:rsid w:val="00FB1572"/>
    <w:rsid w:val="00FE5CDD"/>
    <w:rsid w:val="00FE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9D4AC"/>
  <w15:chartTrackingRefBased/>
  <w15:docId w15:val="{6C951BB7-79BD-46A5-AC09-121D353E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D168DB"/>
    <w:pPr>
      <w:spacing w:after="0" w:line="480" w:lineRule="auto"/>
    </w:pPr>
    <w:rPr>
      <w:rFonts w:ascii="Times New Roman" w:eastAsia="SimSun" w:hAnsi="Times New Roman" w:cs="Times New Roman"/>
      <w:kern w:val="0"/>
      <w:sz w:val="24"/>
      <w:szCs w:val="24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8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D168DB"/>
    <w:pPr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u w:color="000000"/>
      <w:lang w:eastAsia="en-US"/>
      <w14:ligatures w14:val="none"/>
    </w:rPr>
  </w:style>
  <w:style w:type="paragraph" w:styleId="NormalWeb">
    <w:name w:val="Normal (Web)"/>
    <w:basedOn w:val="Normal"/>
    <w:uiPriority w:val="99"/>
    <w:unhideWhenUsed/>
    <w:rsid w:val="00D168DB"/>
    <w:rPr>
      <w:rFonts w:eastAsiaTheme="minorHAnsi"/>
    </w:rPr>
  </w:style>
  <w:style w:type="paragraph" w:customStyle="1" w:styleId="EndNoteBibliography">
    <w:name w:val="EndNote Bibliography"/>
    <w:rsid w:val="00D168DB"/>
    <w:pPr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u w:color="000000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168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8DB"/>
    <w:rPr>
      <w:rFonts w:ascii="Times New Roman" w:eastAsia="SimSun" w:hAnsi="Times New Roman" w:cs="Times New Roman"/>
      <w:kern w:val="0"/>
      <w:sz w:val="24"/>
      <w:szCs w:val="24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68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8DB"/>
    <w:rPr>
      <w:rFonts w:ascii="Times New Roman" w:eastAsia="SimSu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SMHeading">
    <w:name w:val="SM Heading"/>
    <w:basedOn w:val="Heading1"/>
    <w:qFormat/>
    <w:rsid w:val="00D168DB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68D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customStyle="1" w:styleId="SMText">
    <w:name w:val="SM Text"/>
    <w:basedOn w:val="Normal"/>
    <w:qFormat/>
    <w:rsid w:val="00E6290C"/>
    <w:pPr>
      <w:spacing w:line="240" w:lineRule="auto"/>
      <w:ind w:firstLine="480"/>
    </w:pPr>
    <w:rPr>
      <w:rFonts w:eastAsia="Times New Roman"/>
      <w:szCs w:val="20"/>
    </w:rPr>
  </w:style>
  <w:style w:type="paragraph" w:customStyle="1" w:styleId="SMcaption">
    <w:name w:val="SM caption"/>
    <w:basedOn w:val="SMText"/>
    <w:qFormat/>
    <w:rsid w:val="00E6290C"/>
    <w:pPr>
      <w:ind w:firstLine="0"/>
    </w:pPr>
  </w:style>
  <w:style w:type="paragraph" w:customStyle="1" w:styleId="Authors">
    <w:name w:val="Authors"/>
    <w:basedOn w:val="Normal"/>
    <w:rsid w:val="00E6290C"/>
    <w:pPr>
      <w:spacing w:before="120" w:after="360" w:line="240" w:lineRule="auto"/>
      <w:jc w:val="center"/>
    </w:pPr>
    <w:rPr>
      <w:rFonts w:eastAsia="Times New Roman"/>
    </w:rPr>
  </w:style>
  <w:style w:type="paragraph" w:customStyle="1" w:styleId="EndNoteBibliographyTitle">
    <w:name w:val="EndNote Bibliography Title"/>
    <w:basedOn w:val="Normal"/>
    <w:link w:val="EndNoteBibliographyTitleChar"/>
    <w:autoRedefine/>
    <w:rsid w:val="00511B35"/>
    <w:pPr>
      <w:jc w:val="center"/>
    </w:pPr>
    <w:rPr>
      <w:noProof/>
    </w:rPr>
  </w:style>
  <w:style w:type="character" w:customStyle="1" w:styleId="BodyChar">
    <w:name w:val="Body Char"/>
    <w:basedOn w:val="DefaultParagraphFont"/>
    <w:link w:val="Body"/>
    <w:rsid w:val="00511B35"/>
    <w:rPr>
      <w:rFonts w:ascii="Calibri" w:eastAsia="Calibri" w:hAnsi="Calibri" w:cs="Calibri"/>
      <w:color w:val="000000"/>
      <w:kern w:val="0"/>
      <w:sz w:val="24"/>
      <w:szCs w:val="24"/>
      <w:u w:color="000000"/>
      <w:lang w:eastAsia="en-US"/>
      <w14:ligatures w14:val="none"/>
    </w:rPr>
  </w:style>
  <w:style w:type="character" w:customStyle="1" w:styleId="EndNoteBibliographyTitleChar">
    <w:name w:val="EndNote Bibliography Title Char"/>
    <w:basedOn w:val="BodyChar"/>
    <w:link w:val="EndNoteBibliographyTitle"/>
    <w:rsid w:val="00511B35"/>
    <w:rPr>
      <w:rFonts w:ascii="Times New Roman" w:eastAsia="SimSun" w:hAnsi="Times New Roman" w:cs="Times New Roman"/>
      <w:noProof/>
      <w:color w:val="000000"/>
      <w:kern w:val="0"/>
      <w:sz w:val="24"/>
      <w:szCs w:val="24"/>
      <w:u w:color="00000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11B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B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84A33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84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Shi, Zhenda (CDC/NCIRD/DVD) (CTR)</dc:creator>
  <cp:keywords/>
  <dc:description/>
  <cp:lastModifiedBy>Shi, Zhenda (CDC/NCIRD/DVD) (CTR)</cp:lastModifiedBy>
  <cp:revision>29</cp:revision>
  <dcterms:created xsi:type="dcterms:W3CDTF">2024-06-28T18:36:00Z</dcterms:created>
  <dcterms:modified xsi:type="dcterms:W3CDTF">2024-11-26T15:32:00Z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2024-04-25T17:54:34Z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a16d5762-b9e2-4467-8fc2-54df57d43d36</vt:lpwstr>
  </property>
  <property fmtid="{D5CDD505-2E9C-101B-9397-08002B2CF9AE}" pid="8" name="MSIP_Label_7b94a7b8-f06c-4dfe-bdcc-9b548fd58c31_ContentBits">
    <vt:lpwstr>0</vt:lpwstr>
  </property>
</Properties>
</file>