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223F73" w14:textId="6C2C6F0A" w:rsidR="00DD1455" w:rsidRDefault="00DD1455" w:rsidP="00DD1455">
      <w:pPr>
        <w:spacing w:line="480" w:lineRule="auto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Supplementary Information</w:t>
      </w:r>
    </w:p>
    <w:p w14:paraId="76B0EAD4" w14:textId="77777777" w:rsidR="008F2F88" w:rsidRPr="008F2F88" w:rsidRDefault="008F2F88" w:rsidP="008F2F88">
      <w:pPr>
        <w:spacing w:after="0" w:line="480" w:lineRule="auto"/>
      </w:pPr>
      <w:r w:rsidRPr="008F2F88">
        <w:rPr>
          <w:rFonts w:eastAsia="Times New Roman"/>
        </w:rPr>
        <w:t>Safeguarding the microbial water quality from source to tap</w:t>
      </w:r>
    </w:p>
    <w:p w14:paraId="7C2DB801" w14:textId="7656D07E" w:rsidR="008F2F88" w:rsidRDefault="008F2F88" w:rsidP="008F2F88">
      <w:pPr>
        <w:spacing w:after="0" w:line="480" w:lineRule="auto"/>
        <w:rPr>
          <w:lang w:val="pt-PT"/>
        </w:rPr>
      </w:pPr>
      <w:r>
        <w:rPr>
          <w:rFonts w:eastAsia="Times New Roman"/>
          <w:lang w:val="pt-PT"/>
        </w:rPr>
        <w:t>Jorien Favere</w:t>
      </w:r>
      <w:r>
        <w:rPr>
          <w:rFonts w:eastAsia="Times New Roman"/>
          <w:vertAlign w:val="superscript"/>
          <w:lang w:val="pt-PT"/>
        </w:rPr>
        <w:t>a</w:t>
      </w:r>
      <w:r w:rsidR="00C90686">
        <w:rPr>
          <w:rFonts w:eastAsia="Times New Roman"/>
          <w:vertAlign w:val="superscript"/>
          <w:lang w:val="pt-PT"/>
        </w:rPr>
        <w:t>,d</w:t>
      </w:r>
      <w:r>
        <w:rPr>
          <w:rFonts w:eastAsia="Times New Roman"/>
          <w:vertAlign w:val="superscript"/>
          <w:lang w:val="pt-PT"/>
        </w:rPr>
        <w:t>#</w:t>
      </w:r>
      <w:r>
        <w:rPr>
          <w:rFonts w:eastAsia="Times New Roman"/>
          <w:lang w:val="pt-PT"/>
        </w:rPr>
        <w:t>, Raquel G. Barbosa</w:t>
      </w:r>
      <w:r>
        <w:rPr>
          <w:rFonts w:eastAsia="Times New Roman"/>
          <w:vertAlign w:val="superscript"/>
          <w:lang w:val="pt-PT"/>
        </w:rPr>
        <w:t>a,b#</w:t>
      </w:r>
      <w:r>
        <w:rPr>
          <w:rFonts w:eastAsia="Times New Roman"/>
          <w:lang w:val="pt-PT"/>
        </w:rPr>
        <w:t>, Tom Sleutels</w:t>
      </w:r>
      <w:r>
        <w:rPr>
          <w:rFonts w:eastAsia="Times New Roman"/>
          <w:vertAlign w:val="superscript"/>
          <w:lang w:val="pt-PT"/>
        </w:rPr>
        <w:t>b</w:t>
      </w:r>
      <w:r>
        <w:rPr>
          <w:rFonts w:eastAsia="Times New Roman"/>
          <w:lang w:val="pt-PT"/>
        </w:rPr>
        <w:t>, Willy Verstraete</w:t>
      </w:r>
      <w:r>
        <w:rPr>
          <w:rFonts w:eastAsia="Times New Roman"/>
          <w:vertAlign w:val="superscript"/>
          <w:lang w:val="pt-PT"/>
        </w:rPr>
        <w:t>a</w:t>
      </w:r>
      <w:r>
        <w:rPr>
          <w:rFonts w:eastAsia="Times New Roman"/>
          <w:lang w:val="pt-PT"/>
        </w:rPr>
        <w:t>, Bart De Gusseme</w:t>
      </w:r>
      <w:r>
        <w:rPr>
          <w:rFonts w:eastAsia="Times New Roman"/>
          <w:vertAlign w:val="superscript"/>
          <w:lang w:val="pt-PT"/>
        </w:rPr>
        <w:t>a,d</w:t>
      </w:r>
      <w:r>
        <w:rPr>
          <w:rFonts w:eastAsia="Times New Roman"/>
          <w:lang w:val="pt-PT"/>
        </w:rPr>
        <w:t>, Nico Boon</w:t>
      </w:r>
      <w:r>
        <w:rPr>
          <w:rFonts w:eastAsia="Times New Roman"/>
          <w:vertAlign w:val="superscript"/>
          <w:lang w:val="pt-PT"/>
        </w:rPr>
        <w:t>a,d*</w:t>
      </w:r>
      <w:r>
        <w:rPr>
          <w:rFonts w:eastAsia="Times New Roman"/>
          <w:lang w:val="pt-PT"/>
        </w:rPr>
        <w:t xml:space="preserve"> </w:t>
      </w:r>
    </w:p>
    <w:p w14:paraId="00F8FB46" w14:textId="77777777" w:rsidR="008F2F88" w:rsidRDefault="008F2F88" w:rsidP="008F2F88">
      <w:pPr>
        <w:spacing w:after="0" w:line="480" w:lineRule="auto"/>
      </w:pPr>
      <w:proofErr w:type="spellStart"/>
      <w:r>
        <w:rPr>
          <w:rFonts w:eastAsia="Times New Roman"/>
          <w:vertAlign w:val="superscript"/>
        </w:rPr>
        <w:t>a</w:t>
      </w:r>
      <w:r>
        <w:rPr>
          <w:rFonts w:eastAsia="Times New Roman"/>
        </w:rPr>
        <w:t>Center</w:t>
      </w:r>
      <w:proofErr w:type="spellEnd"/>
      <w:r>
        <w:rPr>
          <w:rFonts w:eastAsia="Times New Roman"/>
        </w:rPr>
        <w:t xml:space="preserve"> for Microbial Ecology and Technology (CMET), Ghent University, </w:t>
      </w:r>
      <w:proofErr w:type="spellStart"/>
      <w:r>
        <w:rPr>
          <w:rFonts w:eastAsia="Times New Roman"/>
        </w:rPr>
        <w:t>Coupure</w:t>
      </w:r>
      <w:proofErr w:type="spellEnd"/>
      <w:r>
        <w:rPr>
          <w:rFonts w:eastAsia="Times New Roman"/>
        </w:rPr>
        <w:t xml:space="preserve"> Links 653, 9000 Gent, Belgium</w:t>
      </w:r>
      <w:bookmarkStart w:id="0" w:name="_GoBack"/>
      <w:bookmarkEnd w:id="0"/>
    </w:p>
    <w:p w14:paraId="6ACC581C" w14:textId="77777777" w:rsidR="008F2F88" w:rsidRDefault="008F2F88" w:rsidP="008F2F88">
      <w:pPr>
        <w:spacing w:after="0" w:line="480" w:lineRule="auto"/>
      </w:pPr>
      <w:proofErr w:type="spellStart"/>
      <w:r>
        <w:rPr>
          <w:rFonts w:eastAsia="Times New Roman"/>
          <w:vertAlign w:val="superscript"/>
        </w:rPr>
        <w:t>b</w:t>
      </w:r>
      <w:r>
        <w:rPr>
          <w:rFonts w:eastAsia="Times New Roman"/>
        </w:rPr>
        <w:t>Wetsus</w:t>
      </w:r>
      <w:proofErr w:type="spellEnd"/>
      <w:r>
        <w:rPr>
          <w:rFonts w:eastAsia="Times New Roman"/>
        </w:rPr>
        <w:t>, European Centre of Excellence for Sustainable Water Technology, P.O. Box 1113</w:t>
      </w:r>
      <w:r>
        <w:br/>
      </w:r>
      <w:r>
        <w:rPr>
          <w:rFonts w:eastAsia="Times New Roman"/>
        </w:rPr>
        <w:t xml:space="preserve"> 8900 CC Leeuwarden, The Netherlands</w:t>
      </w:r>
    </w:p>
    <w:p w14:paraId="3C5D2668" w14:textId="77777777" w:rsidR="008F2F88" w:rsidRDefault="008F2F88" w:rsidP="008F2F88">
      <w:pPr>
        <w:spacing w:after="0" w:line="480" w:lineRule="auto"/>
        <w:rPr>
          <w:rFonts w:eastAsia="Times New Roman"/>
        </w:rPr>
      </w:pPr>
      <w:bookmarkStart w:id="1" w:name="_Hlk47003758"/>
      <w:proofErr w:type="spellStart"/>
      <w:r>
        <w:rPr>
          <w:rFonts w:eastAsia="Times New Roman"/>
          <w:vertAlign w:val="superscript"/>
        </w:rPr>
        <w:t>d</w:t>
      </w:r>
      <w:r>
        <w:rPr>
          <w:rFonts w:eastAsia="Times New Roman"/>
        </w:rPr>
        <w:t>Centre</w:t>
      </w:r>
      <w:proofErr w:type="spellEnd"/>
      <w:r>
        <w:rPr>
          <w:rFonts w:eastAsia="Times New Roman"/>
        </w:rPr>
        <w:t xml:space="preserve"> for Advanced Process Technology for Urban Resource Recovery (CAPTURE), P.O. </w:t>
      </w:r>
    </w:p>
    <w:p w14:paraId="5C9728F0" w14:textId="77777777" w:rsidR="008F2F88" w:rsidRDefault="008F2F88" w:rsidP="008F2F88">
      <w:pPr>
        <w:spacing w:after="0" w:line="480" w:lineRule="auto"/>
      </w:pPr>
      <w:r>
        <w:rPr>
          <w:rFonts w:eastAsia="Times New Roman"/>
        </w:rPr>
        <w:t xml:space="preserve">Frieda </w:t>
      </w:r>
      <w:proofErr w:type="spellStart"/>
      <w:r>
        <w:rPr>
          <w:rFonts w:eastAsia="Times New Roman"/>
        </w:rPr>
        <w:t>Saeysstraat</w:t>
      </w:r>
      <w:proofErr w:type="spellEnd"/>
      <w:r>
        <w:rPr>
          <w:rFonts w:eastAsia="Times New Roman"/>
        </w:rPr>
        <w:t xml:space="preserve"> 1, 9000 Gent, Belgium</w:t>
      </w:r>
      <w:bookmarkEnd w:id="1"/>
    </w:p>
    <w:p w14:paraId="0C5370E3" w14:textId="77777777" w:rsidR="00DD1455" w:rsidRDefault="00DD1455" w:rsidP="00DD1455">
      <w:pPr>
        <w:spacing w:after="0" w:line="480" w:lineRule="auto"/>
        <w:rPr>
          <w:rFonts w:eastAsia="Times New Roman"/>
        </w:rPr>
      </w:pPr>
    </w:p>
    <w:p w14:paraId="44BF551B" w14:textId="77777777" w:rsidR="00DD1455" w:rsidRDefault="00DD1455" w:rsidP="00DD1455">
      <w:pPr>
        <w:spacing w:after="0" w:line="480" w:lineRule="auto"/>
        <w:rPr>
          <w:rFonts w:eastAsia="Times New Roman"/>
        </w:rPr>
      </w:pPr>
    </w:p>
    <w:p w14:paraId="1A2D5560" w14:textId="77777777" w:rsidR="00DD1455" w:rsidRDefault="00DD1455" w:rsidP="00DD1455">
      <w:pPr>
        <w:spacing w:after="0" w:line="480" w:lineRule="auto"/>
        <w:rPr>
          <w:rFonts w:eastAsia="Times New Roman"/>
        </w:rPr>
      </w:pPr>
    </w:p>
    <w:p w14:paraId="6A967D78" w14:textId="77777777" w:rsidR="00DD1455" w:rsidRDefault="00DD1455" w:rsidP="00DD1455">
      <w:pPr>
        <w:spacing w:after="0" w:line="480" w:lineRule="auto"/>
        <w:rPr>
          <w:rFonts w:eastAsia="Times New Roman"/>
        </w:rPr>
      </w:pPr>
    </w:p>
    <w:p w14:paraId="16FB3304" w14:textId="77777777" w:rsidR="00DD1455" w:rsidRDefault="00DD1455" w:rsidP="00DD1455">
      <w:pPr>
        <w:spacing w:after="0" w:line="480" w:lineRule="auto"/>
        <w:rPr>
          <w:rFonts w:eastAsia="Times New Roman"/>
        </w:rPr>
      </w:pPr>
    </w:p>
    <w:p w14:paraId="764316B7" w14:textId="2E0A7221" w:rsidR="00DD1455" w:rsidRDefault="00DD1455" w:rsidP="00DD1455">
      <w:pPr>
        <w:spacing w:after="0" w:line="480" w:lineRule="auto"/>
        <w:rPr>
          <w:rFonts w:eastAsia="Times New Roman"/>
        </w:rPr>
      </w:pPr>
    </w:p>
    <w:p w14:paraId="61C927E4" w14:textId="7D0C2FBD" w:rsidR="008F2F88" w:rsidRDefault="008F2F88" w:rsidP="00DD1455">
      <w:pPr>
        <w:spacing w:after="0" w:line="480" w:lineRule="auto"/>
        <w:rPr>
          <w:rFonts w:eastAsia="Times New Roman"/>
        </w:rPr>
      </w:pPr>
    </w:p>
    <w:p w14:paraId="579064AA" w14:textId="77777777" w:rsidR="008F2F88" w:rsidRDefault="008F2F88" w:rsidP="00DD1455">
      <w:pPr>
        <w:spacing w:after="0" w:line="480" w:lineRule="auto"/>
        <w:rPr>
          <w:rFonts w:eastAsia="Times New Roman"/>
        </w:rPr>
      </w:pPr>
    </w:p>
    <w:p w14:paraId="58AE9D7F" w14:textId="77777777" w:rsidR="00DD1455" w:rsidRDefault="00DD1455" w:rsidP="00DD1455">
      <w:pPr>
        <w:spacing w:after="0" w:line="480" w:lineRule="auto"/>
        <w:rPr>
          <w:rFonts w:eastAsia="Times New Roman"/>
        </w:rPr>
      </w:pPr>
    </w:p>
    <w:p w14:paraId="43D73633" w14:textId="61B49C5B" w:rsidR="00DD1455" w:rsidRPr="00DD1455" w:rsidRDefault="00DD1455" w:rsidP="00DD1455">
      <w:pPr>
        <w:spacing w:after="0" w:line="480" w:lineRule="auto"/>
        <w:rPr>
          <w:rFonts w:eastAsia="Times New Roman"/>
        </w:rPr>
      </w:pPr>
      <w:r w:rsidRPr="00DD1455">
        <w:rPr>
          <w:rFonts w:eastAsia="Times New Roman"/>
          <w:vertAlign w:val="superscript"/>
        </w:rPr>
        <w:t>#</w:t>
      </w:r>
      <w:r w:rsidRPr="00DD1455">
        <w:rPr>
          <w:rFonts w:eastAsia="Times New Roman"/>
        </w:rPr>
        <w:t xml:space="preserve">Jorien Favere and Raquel Barbosa </w:t>
      </w:r>
      <w:r>
        <w:rPr>
          <w:rFonts w:eastAsia="Times New Roman"/>
        </w:rPr>
        <w:t>share first</w:t>
      </w:r>
      <w:r w:rsidRPr="00DD1455">
        <w:rPr>
          <w:rFonts w:eastAsia="Times New Roman"/>
        </w:rPr>
        <w:t xml:space="preserve"> authorship</w:t>
      </w:r>
    </w:p>
    <w:p w14:paraId="3247225D" w14:textId="3E500375" w:rsidR="00DD1455" w:rsidRDefault="00DD1455" w:rsidP="00DD1455">
      <w:pPr>
        <w:spacing w:before="240" w:after="0" w:line="480" w:lineRule="auto"/>
        <w:rPr>
          <w:rFonts w:eastAsia="Times New Roman"/>
        </w:rPr>
      </w:pPr>
      <w:r>
        <w:rPr>
          <w:rFonts w:eastAsia="Times New Roman"/>
        </w:rPr>
        <w:t xml:space="preserve">* Correspondence to: Nico Boon, Ghent University; Faculty of Bioscience Engineering; Center for Microbial Ecology and Technology (CMET); </w:t>
      </w:r>
      <w:proofErr w:type="spellStart"/>
      <w:r>
        <w:rPr>
          <w:rFonts w:eastAsia="Times New Roman"/>
        </w:rPr>
        <w:t>Coupure</w:t>
      </w:r>
      <w:proofErr w:type="spellEnd"/>
      <w:r>
        <w:rPr>
          <w:rFonts w:eastAsia="Times New Roman"/>
        </w:rPr>
        <w:t xml:space="preserve"> Links 653; B-9000 Gent, Belgium; phone: +32 (0)9 264 59 76; fax: +32 (0)9 264 62 48; E-mail: </w:t>
      </w:r>
      <w:hyperlink r:id="rId7" w:history="1">
        <w:r w:rsidR="00C90686" w:rsidRPr="00CF05D7">
          <w:rPr>
            <w:rStyle w:val="Hyperlink"/>
            <w:rFonts w:eastAsia="Times New Roman"/>
          </w:rPr>
          <w:t>nico.boon@ugent.be</w:t>
        </w:r>
      </w:hyperlink>
      <w:r>
        <w:rPr>
          <w:rFonts w:eastAsia="Times New Roman"/>
        </w:rPr>
        <w:t xml:space="preserve">; Webpage: </w:t>
      </w:r>
      <w:hyperlink r:id="rId8" w:history="1">
        <w:r w:rsidR="00C90686" w:rsidRPr="00CF05D7">
          <w:rPr>
            <w:rStyle w:val="Hyperlink"/>
            <w:rFonts w:eastAsia="Times New Roman"/>
          </w:rPr>
          <w:t>www.cmet.ugent.be</w:t>
        </w:r>
      </w:hyperlink>
      <w:r>
        <w:rPr>
          <w:rFonts w:eastAsia="Times New Roman"/>
        </w:rPr>
        <w:t xml:space="preserve">. </w:t>
      </w:r>
    </w:p>
    <w:p w14:paraId="50867140" w14:textId="77777777" w:rsidR="00DD1455" w:rsidRDefault="00DD1455" w:rsidP="00B3721C">
      <w:pPr>
        <w:spacing w:line="480" w:lineRule="auto"/>
        <w:ind w:firstLine="720"/>
        <w:jc w:val="both"/>
      </w:pPr>
      <w:r>
        <w:rPr>
          <w:lang w:val="en-GB"/>
        </w:rPr>
        <w:lastRenderedPageBreak/>
        <w:t xml:space="preserve">The </w:t>
      </w:r>
      <w:proofErr w:type="spellStart"/>
      <w:r>
        <w:rPr>
          <w:lang w:val="en-GB"/>
        </w:rPr>
        <w:t>Gompertz</w:t>
      </w:r>
      <w:proofErr w:type="spellEnd"/>
      <w:r>
        <w:rPr>
          <w:lang w:val="en-GB"/>
        </w:rPr>
        <w:t xml:space="preserve"> growth function is applied to different fields, for example to model the growth of tumors</w:t>
      </w:r>
      <w:r>
        <w:rPr>
          <w:vertAlign w:val="superscript"/>
          <w:lang w:val="en-GB"/>
        </w:rPr>
        <w:t>1</w:t>
      </w:r>
      <w:r>
        <w:rPr>
          <w:lang w:val="en-GB"/>
        </w:rPr>
        <w:t>, but has also shown its relevance in the field of (microbial) ecology.</w:t>
      </w:r>
      <w:r>
        <w:rPr>
          <w:vertAlign w:val="superscript"/>
          <w:lang w:val="en-GB"/>
        </w:rPr>
        <w:t>2,3</w:t>
      </w:r>
      <w:r>
        <w:rPr>
          <w:lang w:val="en-GB"/>
        </w:rPr>
        <w:t xml:space="preserve"> It is an extension of the exponential growth function, and includes the condition that a certain species cannot thrive infinitely in a certain ecosystem, but is limited by the carrying capacity of the ecosystem for that species. The </w:t>
      </w:r>
      <w:proofErr w:type="spellStart"/>
      <w:r>
        <w:rPr>
          <w:lang w:val="en-GB"/>
        </w:rPr>
        <w:t>Gompertz</w:t>
      </w:r>
      <w:proofErr w:type="spellEnd"/>
      <w:r>
        <w:rPr>
          <w:lang w:val="en-GB"/>
        </w:rPr>
        <w:t xml:space="preserve"> growth function allows the calculation of the biomass concentration X at a certain timepoint t for a given growth rate µ, initial biomass concentration X</w:t>
      </w:r>
      <w:r>
        <w:rPr>
          <w:vertAlign w:val="subscript"/>
          <w:lang w:val="en-GB"/>
        </w:rPr>
        <w:t>0</w:t>
      </w:r>
      <w:r>
        <w:rPr>
          <w:lang w:val="en-GB"/>
        </w:rPr>
        <w:t xml:space="preserve"> and taking into account a carrying capacity M (</w:t>
      </w:r>
      <w:r>
        <w:rPr>
          <w:b/>
          <w:lang w:val="en-GB"/>
        </w:rPr>
        <w:t>eq. SI.1</w:t>
      </w:r>
      <w:r>
        <w:rPr>
          <w:lang w:val="en-GB"/>
        </w:rPr>
        <w:t xml:space="preserve">). </w:t>
      </w:r>
    </w:p>
    <w:p w14:paraId="50B37985" w14:textId="2DB0F299" w:rsidR="00DD1455" w:rsidRDefault="00DD1455" w:rsidP="00C90686">
      <w:pPr>
        <w:spacing w:after="0" w:line="480" w:lineRule="auto"/>
        <w:jc w:val="right"/>
      </w:pPr>
      <m:oMath>
        <m:r>
          <w:rPr>
            <w:rFonts w:ascii="Cambria Math" w:hAnsi="Cambria Math"/>
          </w:rPr>
          <m:t>X=M</m:t>
        </m:r>
        <m:r>
          <m:rPr>
            <m:sty m:val="p"/>
          </m:rPr>
          <w:rPr>
            <w:rFonts w:ascii="Cambria Math" w:hAnsi="Cambria Math"/>
          </w:rPr>
          <m:t>*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den>
                    </m:f>
                  </m:e>
                </m:d>
              </m:e>
            </m:func>
            <m:r>
              <m:rPr>
                <m:sty m:val="p"/>
              </m:rPr>
              <w:rPr>
                <w:rFonts w:ascii="Cambria Math" w:hAnsi="Cambria Math"/>
              </w:rPr>
              <m:t>*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µ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ln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M</m:t>
                                </m:r>
                              </m:e>
                            </m:d>
                          </m:e>
                        </m:func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*</m:t>
                </m:r>
                <m:r>
                  <w:rPr>
                    <w:rFonts w:ascii="Cambria Math" w:hAnsi="Cambria Math"/>
                  </w:rPr>
                  <m:t>t</m:t>
                </m:r>
              </m:sup>
            </m:sSup>
          </m:sup>
        </m:sSup>
      </m:oMath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(</w:t>
      </w:r>
      <w:r>
        <w:rPr>
          <w:b/>
          <w:lang w:val="en-GB"/>
        </w:rPr>
        <w:t>eq. SI.1</w:t>
      </w:r>
      <w:r>
        <w:rPr>
          <w:lang w:val="en-GB"/>
        </w:rPr>
        <w:t>)</w:t>
      </w:r>
    </w:p>
    <w:p w14:paraId="1049B1EB" w14:textId="58A24FC6" w:rsidR="00DD1455" w:rsidRDefault="00DD1455" w:rsidP="00B3721C">
      <w:pPr>
        <w:spacing w:before="240" w:after="0" w:line="480" w:lineRule="auto"/>
        <w:ind w:firstLine="720"/>
        <w:jc w:val="both"/>
        <w:rPr>
          <w:lang w:val="en-GB"/>
        </w:rPr>
      </w:pPr>
      <w:r>
        <w:rPr>
          <w:lang w:val="en-GB"/>
        </w:rPr>
        <w:t xml:space="preserve">To illustrate the concept of carrying capacity, three situations were modelled using </w:t>
      </w:r>
      <w:proofErr w:type="spellStart"/>
      <w:r>
        <w:rPr>
          <w:lang w:val="en-GB"/>
        </w:rPr>
        <w:t>Matlab</w:t>
      </w:r>
      <w:proofErr w:type="spellEnd"/>
      <w:r>
        <w:rPr>
          <w:lang w:val="en-GB"/>
        </w:rPr>
        <w:t xml:space="preserve"> (v9.9) relying on the </w:t>
      </w:r>
      <w:proofErr w:type="spellStart"/>
      <w:r>
        <w:rPr>
          <w:lang w:val="en-GB"/>
        </w:rPr>
        <w:t>Gompertz</w:t>
      </w:r>
      <w:proofErr w:type="spellEnd"/>
      <w:r>
        <w:rPr>
          <w:lang w:val="en-GB"/>
        </w:rPr>
        <w:t xml:space="preserve"> growth curve (</w:t>
      </w:r>
      <w:r>
        <w:rPr>
          <w:b/>
          <w:lang w:val="en-GB"/>
        </w:rPr>
        <w:t>eq. SI.1</w:t>
      </w:r>
      <w:r>
        <w:rPr>
          <w:lang w:val="en-GB"/>
        </w:rPr>
        <w:t>). As drinking water is considered to be an open ecosystem (i.e. constant supply of nutrients), the growth rate and nutrient concentration were assumed to be constant. Parameters were set at µ = 0.165 h</w:t>
      </w:r>
      <w:r>
        <w:rPr>
          <w:vertAlign w:val="superscript"/>
          <w:lang w:val="en-GB"/>
        </w:rPr>
        <w:t>-1</w:t>
      </w:r>
      <w:r>
        <w:rPr>
          <w:lang w:val="en-GB"/>
        </w:rPr>
        <w:t xml:space="preserve"> and M = 10</w:t>
      </w:r>
      <w:r>
        <w:rPr>
          <w:vertAlign w:val="superscript"/>
          <w:lang w:val="en-GB"/>
        </w:rPr>
        <w:t>5</w:t>
      </w:r>
      <w:r>
        <w:rPr>
          <w:lang w:val="en-GB"/>
        </w:rPr>
        <w:t xml:space="preserve"> cells/mL, with initial biomass concentrations of 10</w:t>
      </w:r>
      <w:r>
        <w:rPr>
          <w:vertAlign w:val="superscript"/>
          <w:lang w:val="en-GB"/>
        </w:rPr>
        <w:t>7</w:t>
      </w:r>
      <w:r>
        <w:rPr>
          <w:lang w:val="en-GB"/>
        </w:rPr>
        <w:t>, 3*10</w:t>
      </w:r>
      <w:r>
        <w:rPr>
          <w:vertAlign w:val="superscript"/>
          <w:lang w:val="en-GB"/>
        </w:rPr>
        <w:t>4</w:t>
      </w:r>
      <w:r>
        <w:rPr>
          <w:lang w:val="en-GB"/>
        </w:rPr>
        <w:t xml:space="preserve"> and 10</w:t>
      </w:r>
      <w:r>
        <w:rPr>
          <w:vertAlign w:val="superscript"/>
          <w:lang w:val="en-GB"/>
        </w:rPr>
        <w:t>2</w:t>
      </w:r>
      <w:r>
        <w:rPr>
          <w:lang w:val="en-GB"/>
        </w:rPr>
        <w:t xml:space="preserve"> cells/mL, and the biomass concentration was calculated iteratively.</w:t>
      </w:r>
    </w:p>
    <w:p w14:paraId="65DB4D5F" w14:textId="77777777" w:rsidR="00DD1455" w:rsidRDefault="00DD1455">
      <w:pPr>
        <w:suppressAutoHyphens w:val="0"/>
        <w:autoSpaceDN/>
        <w:spacing w:line="259" w:lineRule="auto"/>
        <w:textAlignment w:val="auto"/>
        <w:rPr>
          <w:lang w:val="en-GB"/>
        </w:rPr>
      </w:pPr>
      <w:r>
        <w:rPr>
          <w:lang w:val="en-GB"/>
        </w:rPr>
        <w:br w:type="page"/>
      </w:r>
    </w:p>
    <w:p w14:paraId="5BF68DAE" w14:textId="77777777" w:rsidR="00DD1455" w:rsidRDefault="00DD1455" w:rsidP="00C90686">
      <w:pPr>
        <w:spacing w:after="0" w:line="480" w:lineRule="auto"/>
        <w:jc w:val="center"/>
      </w:pPr>
      <w:r>
        <w:rPr>
          <w:noProof/>
          <w:lang w:val="nl-BE" w:eastAsia="nl-BE"/>
        </w:rPr>
        <w:drawing>
          <wp:inline distT="0" distB="0" distL="0" distR="0" wp14:anchorId="442E1DFD" wp14:editId="3BB3A1C5">
            <wp:extent cx="3076687" cy="2388198"/>
            <wp:effectExtent l="0" t="0" r="0" b="0"/>
            <wp:docPr id="3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85048" cy="239468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CA62F0B" w14:textId="77777777" w:rsidR="00DD1455" w:rsidRDefault="00DD1455" w:rsidP="00DD1455">
      <w:pPr>
        <w:spacing w:after="0" w:line="480" w:lineRule="auto"/>
        <w:jc w:val="both"/>
      </w:pPr>
      <w:r>
        <w:rPr>
          <w:b/>
          <w:lang w:val="en-GB"/>
        </w:rPr>
        <w:t>Figure SI.1</w:t>
      </w:r>
      <w:r>
        <w:rPr>
          <w:lang w:val="en-GB"/>
        </w:rPr>
        <w:t xml:space="preserve"> Bacterial cell concentration over time modelled using the </w:t>
      </w:r>
      <w:proofErr w:type="spellStart"/>
      <w:r>
        <w:rPr>
          <w:lang w:val="en-GB"/>
        </w:rPr>
        <w:t>Gompertz</w:t>
      </w:r>
      <w:proofErr w:type="spellEnd"/>
      <w:r>
        <w:rPr>
          <w:lang w:val="en-GB"/>
        </w:rPr>
        <w:t xml:space="preserve"> growth curve in three situations as illustration of the ecological concept carrying capacity (M). Two situations of biological instability are indicated (</w:t>
      </w:r>
      <w:proofErr w:type="spellStart"/>
      <w:r>
        <w:rPr>
          <w:lang w:val="en-GB"/>
        </w:rPr>
        <w:t>cfr</w:t>
      </w:r>
      <w:proofErr w:type="spellEnd"/>
      <w:r>
        <w:rPr>
          <w:lang w:val="en-GB"/>
        </w:rPr>
        <w:t xml:space="preserve">. </w:t>
      </w:r>
      <w:r>
        <w:rPr>
          <w:b/>
          <w:lang w:val="en-GB"/>
        </w:rPr>
        <w:t>Figure 2</w:t>
      </w:r>
      <w:r>
        <w:rPr>
          <w:lang w:val="en-GB"/>
        </w:rPr>
        <w:t xml:space="preserve">). </w:t>
      </w:r>
      <w:r>
        <w:rPr>
          <w:b/>
          <w:lang w:val="en-GB"/>
        </w:rPr>
        <w:t>A (red line)</w:t>
      </w:r>
      <w:r>
        <w:rPr>
          <w:lang w:val="en-GB"/>
        </w:rPr>
        <w:t xml:space="preserve">: A bacterial density above the carrying capacity of the ecosystem will result in die-off. </w:t>
      </w:r>
      <w:r>
        <w:rPr>
          <w:b/>
          <w:lang w:val="en-GB"/>
        </w:rPr>
        <w:t>C (blue line)</w:t>
      </w:r>
      <w:r>
        <w:rPr>
          <w:lang w:val="en-GB"/>
        </w:rPr>
        <w:t xml:space="preserve">: A small amount of bacteria present and a growth-limiting factor concentration above the K/r threshold concentration will result in fast regrowth. </w:t>
      </w:r>
      <w:r>
        <w:rPr>
          <w:b/>
          <w:lang w:val="en-GB"/>
        </w:rPr>
        <w:t>Green line</w:t>
      </w:r>
      <w:r>
        <w:rPr>
          <w:lang w:val="en-GB"/>
        </w:rPr>
        <w:t>: a bacterial concentration close to the carrying capacity M avoids the occurrence of extensive regrowth, hence this situation is considered to be within the boundaries of biostability.</w:t>
      </w:r>
    </w:p>
    <w:p w14:paraId="5414A8F6" w14:textId="77777777" w:rsidR="00DD1455" w:rsidRDefault="00DD1455" w:rsidP="00DD1455">
      <w:pPr>
        <w:spacing w:before="240" w:after="0" w:line="480" w:lineRule="auto"/>
        <w:jc w:val="both"/>
        <w:rPr>
          <w:b/>
          <w:bCs/>
        </w:rPr>
      </w:pPr>
      <w:r>
        <w:rPr>
          <w:b/>
          <w:bCs/>
        </w:rPr>
        <w:t>References</w:t>
      </w:r>
    </w:p>
    <w:p w14:paraId="37A2BA30" w14:textId="7F5EED0A" w:rsidR="00DD1455" w:rsidRDefault="00DD1455" w:rsidP="00DD1455">
      <w:pPr>
        <w:widowControl w:val="0"/>
        <w:autoSpaceDE w:val="0"/>
        <w:spacing w:after="0" w:line="480" w:lineRule="auto"/>
        <w:ind w:left="640" w:hanging="640"/>
      </w:pPr>
      <w:r>
        <w:t>1.</w:t>
      </w:r>
      <w:r>
        <w:tab/>
        <w:t xml:space="preserve">Neely Atkinson, E., </w:t>
      </w:r>
      <w:proofErr w:type="spellStart"/>
      <w:r>
        <w:t>Bartoszyński</w:t>
      </w:r>
      <w:proofErr w:type="spellEnd"/>
      <w:r>
        <w:t xml:space="preserve">, R., Brown, B. W. &amp; Thompson, J. R. On estimating the growth function of tumors. </w:t>
      </w:r>
      <w:r>
        <w:rPr>
          <w:i/>
          <w:iCs/>
        </w:rPr>
        <w:t xml:space="preserve">Math </w:t>
      </w:r>
      <w:proofErr w:type="spellStart"/>
      <w:r>
        <w:rPr>
          <w:i/>
          <w:iCs/>
        </w:rPr>
        <w:t>Biosci</w:t>
      </w:r>
      <w:proofErr w:type="spellEnd"/>
      <w:r>
        <w:rPr>
          <w:i/>
          <w:iCs/>
        </w:rPr>
        <w:t xml:space="preserve">. </w:t>
      </w:r>
      <w:r>
        <w:rPr>
          <w:b/>
          <w:bCs/>
        </w:rPr>
        <w:t>67</w:t>
      </w:r>
      <w:r>
        <w:t xml:space="preserve"> (2),145-166 https://doi.org/10.1016/0025-5564(83)90097-4 (1983)</w:t>
      </w:r>
    </w:p>
    <w:p w14:paraId="78CD8E96" w14:textId="77777777" w:rsidR="00DD1455" w:rsidRDefault="00DD1455" w:rsidP="00DD1455">
      <w:pPr>
        <w:widowControl w:val="0"/>
        <w:autoSpaceDE w:val="0"/>
        <w:spacing w:after="0" w:line="480" w:lineRule="auto"/>
        <w:ind w:left="640" w:hanging="640"/>
      </w:pPr>
      <w:r>
        <w:t>2.</w:t>
      </w:r>
      <w:r>
        <w:tab/>
        <w:t xml:space="preserve">Liu, F., Guo, Y. Z. &amp; Li, Y. F. Interactions of microorganisms during natural spoilage of pork at 5 °C. </w:t>
      </w:r>
      <w:r>
        <w:rPr>
          <w:i/>
          <w:iCs/>
        </w:rPr>
        <w:t>J. Food Eng.</w:t>
      </w:r>
      <w:r>
        <w:rPr>
          <w:b/>
          <w:bCs/>
        </w:rPr>
        <w:t>72</w:t>
      </w:r>
      <w:r>
        <w:t xml:space="preserve"> (1) 24-29 https://doi.org/10.1016/j.jfoodeng.2004.11.015 (2006) </w:t>
      </w:r>
    </w:p>
    <w:p w14:paraId="00E417D1" w14:textId="77777777" w:rsidR="00DD1455" w:rsidRDefault="00DD1455" w:rsidP="00DD1455">
      <w:pPr>
        <w:widowControl w:val="0"/>
        <w:autoSpaceDE w:val="0"/>
        <w:spacing w:after="0" w:line="480" w:lineRule="auto"/>
        <w:ind w:left="640" w:hanging="640"/>
      </w:pPr>
      <w:r>
        <w:t>3.</w:t>
      </w:r>
      <w:r>
        <w:tab/>
        <w:t xml:space="preserve">Duffy, G., Whiting, R. C. &amp; Sheridan, J. J. The effect of a competitive microflora, pH and temperature on the growth kinetics of Escherichia coli O157:H7. </w:t>
      </w:r>
      <w:r>
        <w:rPr>
          <w:i/>
          <w:iCs/>
        </w:rPr>
        <w:t>Food Microbiol.</w:t>
      </w:r>
      <w:r>
        <w:t xml:space="preserve"> </w:t>
      </w:r>
      <w:r>
        <w:rPr>
          <w:b/>
          <w:bCs/>
        </w:rPr>
        <w:t>16</w:t>
      </w:r>
      <w:r>
        <w:t xml:space="preserve"> (3), 299-307 https://doi.org/10.1006/fmic.1998.0242 (1999) </w:t>
      </w:r>
    </w:p>
    <w:sectPr w:rsidR="00DD14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455"/>
    <w:rsid w:val="00030E60"/>
    <w:rsid w:val="000344B4"/>
    <w:rsid w:val="00040AC6"/>
    <w:rsid w:val="000423ED"/>
    <w:rsid w:val="00061FB1"/>
    <w:rsid w:val="000866E9"/>
    <w:rsid w:val="00086AED"/>
    <w:rsid w:val="000A62B2"/>
    <w:rsid w:val="000E5FD0"/>
    <w:rsid w:val="00127A4E"/>
    <w:rsid w:val="00154C43"/>
    <w:rsid w:val="00163863"/>
    <w:rsid w:val="001932BC"/>
    <w:rsid w:val="001A02CC"/>
    <w:rsid w:val="001A2C6C"/>
    <w:rsid w:val="001D216B"/>
    <w:rsid w:val="001D3955"/>
    <w:rsid w:val="001E2590"/>
    <w:rsid w:val="001E5DAE"/>
    <w:rsid w:val="0021108A"/>
    <w:rsid w:val="00221DA3"/>
    <w:rsid w:val="00226149"/>
    <w:rsid w:val="00232708"/>
    <w:rsid w:val="0023377C"/>
    <w:rsid w:val="00251179"/>
    <w:rsid w:val="00281945"/>
    <w:rsid w:val="002854E3"/>
    <w:rsid w:val="002933DB"/>
    <w:rsid w:val="0029438A"/>
    <w:rsid w:val="002A11B9"/>
    <w:rsid w:val="002B3565"/>
    <w:rsid w:val="002F00C3"/>
    <w:rsid w:val="0030177E"/>
    <w:rsid w:val="003034B8"/>
    <w:rsid w:val="00354334"/>
    <w:rsid w:val="00380264"/>
    <w:rsid w:val="003E0B9F"/>
    <w:rsid w:val="003E131D"/>
    <w:rsid w:val="003E181A"/>
    <w:rsid w:val="003E3EA9"/>
    <w:rsid w:val="003E4DC1"/>
    <w:rsid w:val="003F66E7"/>
    <w:rsid w:val="004075BB"/>
    <w:rsid w:val="00420026"/>
    <w:rsid w:val="004252F3"/>
    <w:rsid w:val="004475B6"/>
    <w:rsid w:val="00462FFD"/>
    <w:rsid w:val="00470AC2"/>
    <w:rsid w:val="00495544"/>
    <w:rsid w:val="004A3A81"/>
    <w:rsid w:val="004B1D49"/>
    <w:rsid w:val="004B6FA1"/>
    <w:rsid w:val="004C6AF0"/>
    <w:rsid w:val="004F511D"/>
    <w:rsid w:val="00514CB0"/>
    <w:rsid w:val="005226FA"/>
    <w:rsid w:val="0057229E"/>
    <w:rsid w:val="005A7DB6"/>
    <w:rsid w:val="005D311D"/>
    <w:rsid w:val="005E00E8"/>
    <w:rsid w:val="006552EE"/>
    <w:rsid w:val="00656B86"/>
    <w:rsid w:val="00657B01"/>
    <w:rsid w:val="0066119A"/>
    <w:rsid w:val="00672B31"/>
    <w:rsid w:val="006874A5"/>
    <w:rsid w:val="00690B55"/>
    <w:rsid w:val="00693BB9"/>
    <w:rsid w:val="006B245F"/>
    <w:rsid w:val="006C29B7"/>
    <w:rsid w:val="006C2C16"/>
    <w:rsid w:val="006D594F"/>
    <w:rsid w:val="00703BCC"/>
    <w:rsid w:val="007266E4"/>
    <w:rsid w:val="00737258"/>
    <w:rsid w:val="00741BBE"/>
    <w:rsid w:val="007426BC"/>
    <w:rsid w:val="007575AC"/>
    <w:rsid w:val="0076630D"/>
    <w:rsid w:val="0077783C"/>
    <w:rsid w:val="007811CE"/>
    <w:rsid w:val="007C10C6"/>
    <w:rsid w:val="007E21B1"/>
    <w:rsid w:val="007F7254"/>
    <w:rsid w:val="00824952"/>
    <w:rsid w:val="00827490"/>
    <w:rsid w:val="0089170A"/>
    <w:rsid w:val="00894642"/>
    <w:rsid w:val="00894B84"/>
    <w:rsid w:val="008C76CE"/>
    <w:rsid w:val="008F25E8"/>
    <w:rsid w:val="008F2F88"/>
    <w:rsid w:val="008F3C21"/>
    <w:rsid w:val="00901EDE"/>
    <w:rsid w:val="00903DB6"/>
    <w:rsid w:val="0090795D"/>
    <w:rsid w:val="009451EB"/>
    <w:rsid w:val="00945505"/>
    <w:rsid w:val="00967E6B"/>
    <w:rsid w:val="0099030D"/>
    <w:rsid w:val="00991A31"/>
    <w:rsid w:val="009A353C"/>
    <w:rsid w:val="009B7349"/>
    <w:rsid w:val="009C37C8"/>
    <w:rsid w:val="009C4183"/>
    <w:rsid w:val="00A06DAE"/>
    <w:rsid w:val="00A06E05"/>
    <w:rsid w:val="00A1031A"/>
    <w:rsid w:val="00A1672F"/>
    <w:rsid w:val="00A42A9A"/>
    <w:rsid w:val="00A467A8"/>
    <w:rsid w:val="00A73791"/>
    <w:rsid w:val="00A81E86"/>
    <w:rsid w:val="00A82176"/>
    <w:rsid w:val="00A96F47"/>
    <w:rsid w:val="00AA6A2F"/>
    <w:rsid w:val="00AC4D5E"/>
    <w:rsid w:val="00AC5450"/>
    <w:rsid w:val="00AC74D8"/>
    <w:rsid w:val="00AD7104"/>
    <w:rsid w:val="00AD7FDA"/>
    <w:rsid w:val="00AE6F25"/>
    <w:rsid w:val="00B3721C"/>
    <w:rsid w:val="00B42878"/>
    <w:rsid w:val="00B43D11"/>
    <w:rsid w:val="00B455A2"/>
    <w:rsid w:val="00B4573E"/>
    <w:rsid w:val="00B60A06"/>
    <w:rsid w:val="00B821C4"/>
    <w:rsid w:val="00BC5E3E"/>
    <w:rsid w:val="00BD5A67"/>
    <w:rsid w:val="00C068D8"/>
    <w:rsid w:val="00C24110"/>
    <w:rsid w:val="00C465B1"/>
    <w:rsid w:val="00C57D10"/>
    <w:rsid w:val="00C90686"/>
    <w:rsid w:val="00CA302D"/>
    <w:rsid w:val="00CB1530"/>
    <w:rsid w:val="00CC3556"/>
    <w:rsid w:val="00CE6C4D"/>
    <w:rsid w:val="00D05CD4"/>
    <w:rsid w:val="00D05D00"/>
    <w:rsid w:val="00D164A0"/>
    <w:rsid w:val="00D840F5"/>
    <w:rsid w:val="00D906D0"/>
    <w:rsid w:val="00D918BB"/>
    <w:rsid w:val="00D96089"/>
    <w:rsid w:val="00DA2198"/>
    <w:rsid w:val="00DA7858"/>
    <w:rsid w:val="00DB1820"/>
    <w:rsid w:val="00DB244D"/>
    <w:rsid w:val="00DD1455"/>
    <w:rsid w:val="00DD7EC3"/>
    <w:rsid w:val="00DF68CC"/>
    <w:rsid w:val="00E013CB"/>
    <w:rsid w:val="00E160C9"/>
    <w:rsid w:val="00E32CC5"/>
    <w:rsid w:val="00E43B8D"/>
    <w:rsid w:val="00E44DD7"/>
    <w:rsid w:val="00E7139C"/>
    <w:rsid w:val="00EB7D45"/>
    <w:rsid w:val="00EE7AC2"/>
    <w:rsid w:val="00F157BA"/>
    <w:rsid w:val="00F24A8E"/>
    <w:rsid w:val="00F26E55"/>
    <w:rsid w:val="00F4710D"/>
    <w:rsid w:val="00F54349"/>
    <w:rsid w:val="00F638D3"/>
    <w:rsid w:val="00F82871"/>
    <w:rsid w:val="00F832FE"/>
    <w:rsid w:val="00F91703"/>
    <w:rsid w:val="00F96F57"/>
    <w:rsid w:val="00FC3E2D"/>
    <w:rsid w:val="00FE0221"/>
    <w:rsid w:val="00FF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FE0E0"/>
  <w15:chartTrackingRefBased/>
  <w15:docId w15:val="{FC0CDCAF-D462-4DE1-8CD5-D7C1F1ECA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455"/>
    <w:pPr>
      <w:suppressAutoHyphens/>
      <w:autoSpaceDN w:val="0"/>
      <w:spacing w:line="240" w:lineRule="auto"/>
      <w:textAlignment w:val="baseline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D145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1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met.ugent.be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nico.boon@ugent.b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1679F9FC6D1749AEF602F05B3D0392" ma:contentTypeVersion="13" ma:contentTypeDescription="Een nieuw document maken." ma:contentTypeScope="" ma:versionID="56777482e5079ca9e6d9168dc6b1e207">
  <xsd:schema xmlns:xsd="http://www.w3.org/2001/XMLSchema" xmlns:xs="http://www.w3.org/2001/XMLSchema" xmlns:p="http://schemas.microsoft.com/office/2006/metadata/properties" xmlns:ns3="4de6656e-d1c8-4e54-85a4-baf12b4cbeda" xmlns:ns4="68f0d49d-47ae-4fbd-bebf-b07436624f40" targetNamespace="http://schemas.microsoft.com/office/2006/metadata/properties" ma:root="true" ma:fieldsID="59b69686560e5eb44e38197af1c3ebda" ns3:_="" ns4:_="">
    <xsd:import namespace="4de6656e-d1c8-4e54-85a4-baf12b4cbeda"/>
    <xsd:import namespace="68f0d49d-47ae-4fbd-bebf-b07436624f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6656e-d1c8-4e54-85a4-baf12b4cb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f0d49d-47ae-4fbd-bebf-b07436624f4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5A7664-8092-4D33-981E-AA154FE59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e6656e-d1c8-4e54-85a4-baf12b4cbeda"/>
    <ds:schemaRef ds:uri="68f0d49d-47ae-4fbd-bebf-b07436624f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DA48A0-6D04-48B8-8876-CF906BE04A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0FA07B-FB8F-4FE5-AB9F-513D1F4E4ED7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8f0d49d-47ae-4fbd-bebf-b07436624f40"/>
    <ds:schemaRef ds:uri="http://purl.org/dc/terms/"/>
    <ds:schemaRef ds:uri="http://schemas.openxmlformats.org/package/2006/metadata/core-properties"/>
    <ds:schemaRef ds:uri="4de6656e-d1c8-4e54-85a4-baf12b4cbed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544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barbosa</dc:creator>
  <cp:keywords/>
  <dc:description/>
  <cp:lastModifiedBy>Jorien Favere</cp:lastModifiedBy>
  <cp:revision>3</cp:revision>
  <dcterms:created xsi:type="dcterms:W3CDTF">2021-04-15T08:01:00Z</dcterms:created>
  <dcterms:modified xsi:type="dcterms:W3CDTF">2021-04-15T08:04:00Z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0x010100701679F9FC6D1749AEF602F05B3D0392</vt:lpwstr>
  </property>
</Properties>
</file>