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DD3" w:rsidRPr="00851B5B" w:rsidRDefault="001F0DD3" w:rsidP="001F0DD3">
      <w:pPr>
        <w:rPr>
          <w:rFonts w:ascii="Arial" w:eastAsia="Arial" w:hAnsi="Arial" w:cs="Arial"/>
          <w:b/>
        </w:rPr>
      </w:pPr>
      <w:r w:rsidRPr="00851B5B">
        <w:rPr>
          <w:rFonts w:ascii="Arial" w:eastAsia="Arial" w:hAnsi="Arial" w:cs="Arial"/>
          <w:b/>
        </w:rPr>
        <w:t>Supplementary material</w:t>
      </w:r>
      <w:bookmarkStart w:id="0" w:name="_GoBack"/>
      <w:bookmarkEnd w:id="0"/>
    </w:p>
    <w:p w:rsidR="001F0DD3" w:rsidRPr="008E611D" w:rsidRDefault="001F0DD3" w:rsidP="001F0DD3">
      <w:pPr>
        <w:pBdr>
          <w:top w:val="none" w:sz="0" w:space="0" w:color="auto"/>
          <w:left w:val="none" w:sz="0" w:space="0" w:color="auto"/>
          <w:bottom w:val="none" w:sz="0" w:space="0" w:color="auto"/>
          <w:right w:val="none" w:sz="0" w:space="0" w:color="auto"/>
          <w:between w:val="none" w:sz="0" w:space="0" w:color="auto"/>
        </w:pBdr>
        <w:rPr>
          <w:b/>
        </w:rPr>
      </w:pPr>
      <w:r w:rsidRPr="008E611D">
        <w:rPr>
          <w:b/>
        </w:rPr>
        <w:t>Efficient modelling a dynamic non-linear system with recurrent neural networks</w:t>
      </w:r>
    </w:p>
    <w:p w:rsidR="001F0DD3" w:rsidRDefault="001F0DD3" w:rsidP="001F0DD3">
      <w:pPr>
        <w:pBdr>
          <w:top w:val="none" w:sz="0" w:space="0" w:color="auto"/>
          <w:left w:val="none" w:sz="0" w:space="0" w:color="auto"/>
          <w:bottom w:val="none" w:sz="0" w:space="0" w:color="auto"/>
          <w:right w:val="none" w:sz="0" w:space="0" w:color="auto"/>
          <w:between w:val="none" w:sz="0" w:space="0" w:color="auto"/>
        </w:pBdr>
      </w:pPr>
      <w:r>
        <w:t>Aforementioned state-of-the-art examples of mapping sequences of driving variables (e.g. meteorological conditions) onto target variables such as CO</w:t>
      </w:r>
      <w:r w:rsidRPr="001B74D0">
        <w:rPr>
          <w:vertAlign w:val="subscript"/>
        </w:rPr>
        <w:t>2</w:t>
      </w:r>
      <w:r>
        <w:t xml:space="preserve"> fluxes from ocean or land have considered instantaneous mapping without representation of state dynamics. Dynamic effects have either been considered by directly using observed states as predictors (e.g. vegetation state represented by reflectance) or by introducing hand-designed features. The general problem is depicted in the figure below, where the input acts on an unknown, unobservable system state, while the observable is both influenced by the past state and the current input. It is not a problem of forecasting a time series a few steps ahead, because the whole output sequence has to be predicted by the model.</w:t>
      </w:r>
    </w:p>
    <w:p w:rsidR="001F0DD3" w:rsidRDefault="001F0DD3" w:rsidP="001F0DD3">
      <w:pPr>
        <w:pBdr>
          <w:top w:val="none" w:sz="0" w:space="0" w:color="auto"/>
          <w:left w:val="none" w:sz="0" w:space="0" w:color="auto"/>
          <w:bottom w:val="none" w:sz="0" w:space="0" w:color="auto"/>
          <w:right w:val="none" w:sz="0" w:space="0" w:color="auto"/>
          <w:between w:val="none" w:sz="0" w:space="0" w:color="auto"/>
        </w:pBdr>
      </w:pPr>
      <w:r>
        <w:t xml:space="preserve">As an example, in the synthetic dynamic system below (one realization in Figure Box 1) we have three forcing variables </w:t>
      </w:r>
      <w:r w:rsidRPr="00CE30EB">
        <w:rPr>
          <w:i/>
        </w:rPr>
        <w:t>x</w:t>
      </w:r>
      <w:r w:rsidRPr="00CE30EB">
        <w:rPr>
          <w:vertAlign w:val="subscript"/>
        </w:rPr>
        <w:t>1</w:t>
      </w:r>
      <w:r>
        <w:t xml:space="preserve">, </w:t>
      </w:r>
      <w:r w:rsidRPr="00CE30EB">
        <w:rPr>
          <w:i/>
        </w:rPr>
        <w:t>x</w:t>
      </w:r>
      <w:r w:rsidRPr="00CE30EB">
        <w:rPr>
          <w:vertAlign w:val="subscript"/>
        </w:rPr>
        <w:t>2</w:t>
      </w:r>
      <w:r>
        <w:t xml:space="preserve">, </w:t>
      </w:r>
      <w:r w:rsidRPr="00CE30EB">
        <w:rPr>
          <w:i/>
        </w:rPr>
        <w:t>x</w:t>
      </w:r>
      <w:r w:rsidRPr="00CE30EB">
        <w:rPr>
          <w:vertAlign w:val="subscript"/>
        </w:rPr>
        <w:t>3</w:t>
      </w:r>
      <w:r>
        <w:t xml:space="preserve"> where two of them influence one (unobserved) state </w:t>
      </w:r>
      <w:r w:rsidRPr="0097480D">
        <w:rPr>
          <w:i/>
        </w:rPr>
        <w:t>r</w:t>
      </w:r>
      <w:r>
        <w:t xml:space="preserve"> according to</w:t>
      </w:r>
    </w:p>
    <w:p w:rsidR="001F0DD3" w:rsidRPr="002638B7" w:rsidRDefault="00FA0039" w:rsidP="001F0DD3">
      <w:pPr>
        <w:pBdr>
          <w:top w:val="none" w:sz="0" w:space="0" w:color="auto"/>
          <w:left w:val="none" w:sz="0" w:space="0" w:color="auto"/>
          <w:bottom w:val="none" w:sz="0" w:space="0" w:color="auto"/>
          <w:right w:val="none" w:sz="0" w:space="0" w:color="auto"/>
          <w:between w:val="none" w:sz="0" w:space="0" w:color="auto"/>
        </w:pBdr>
        <w:jc w:val="center"/>
        <w:rPr>
          <w:rFonts w:eastAsia="MS Mincho"/>
        </w:rPr>
      </w:pPr>
      <m:oMath>
        <m:sSub>
          <m:sSubPr>
            <m:ctrlPr>
              <w:rPr>
                <w:rFonts w:ascii="Cambria Math" w:hAnsi="Cambria Math"/>
                <w:i/>
              </w:rPr>
            </m:ctrlPr>
          </m:sSubPr>
          <m:e>
            <m:r>
              <w:rPr>
                <w:rFonts w:ascii="Cambria Math" w:hAnsi="Cambria Math"/>
              </w:rPr>
              <m:t>r</m:t>
            </m:r>
          </m:e>
          <m:sub>
            <m:r>
              <w:rPr>
                <w:rFonts w:ascii="Cambria Math" w:hAnsi="Cambria Math"/>
              </w:rPr>
              <m:t>t+1</m:t>
            </m:r>
          </m:sub>
        </m:sSub>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1,t</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2,t</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t</m:t>
                </m:r>
              </m:sub>
            </m:sSub>
          </m:e>
        </m:d>
        <m:r>
          <w:rPr>
            <w:rFonts w:ascii="Cambria Math" w:hAnsi="Cambria Math"/>
          </w:rPr>
          <m:t xml:space="preserve">, </m:t>
        </m:r>
      </m:oMath>
      <w:proofErr w:type="gramStart"/>
      <w:r w:rsidR="001F0DD3" w:rsidRPr="002638B7">
        <w:rPr>
          <w:rFonts w:eastAsia="MS Mincho"/>
        </w:rPr>
        <w:t>with</w:t>
      </w:r>
      <w:proofErr w:type="gramEnd"/>
    </w:p>
    <w:p w:rsidR="001F0DD3" w:rsidRPr="002638B7" w:rsidRDefault="001F0DD3" w:rsidP="001F0DD3">
      <w:pPr>
        <w:pBdr>
          <w:top w:val="none" w:sz="0" w:space="0" w:color="auto"/>
          <w:left w:val="none" w:sz="0" w:space="0" w:color="auto"/>
          <w:bottom w:val="none" w:sz="0" w:space="0" w:color="auto"/>
          <w:right w:val="none" w:sz="0" w:space="0" w:color="auto"/>
          <w:between w:val="none" w:sz="0" w:space="0" w:color="auto"/>
        </w:pBdr>
        <w:jc w:val="center"/>
        <w:rPr>
          <w:rFonts w:eastAsia="MS Mincho"/>
        </w:rPr>
      </w:pPr>
      <m:oMath>
        <m:r>
          <w:rPr>
            <w:rFonts w:ascii="Cambria Math" w:eastAsia="MS Mincho"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1,t</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2,t</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t</m:t>
                </m:r>
              </m:sub>
            </m:sSub>
          </m:e>
        </m:d>
        <m:r>
          <w:rPr>
            <w:rFonts w:ascii="Cambria Math" w:eastAsia="MS Mincho" w:hAnsi="Cambria Math"/>
          </w:rPr>
          <m:t>=</m:t>
        </m:r>
        <m:sSub>
          <m:sSubPr>
            <m:ctrlPr>
              <w:rPr>
                <w:rFonts w:ascii="Cambria Math" w:eastAsia="MS Mincho" w:hAnsi="Cambria Math"/>
                <w:i/>
              </w:rPr>
            </m:ctrlPr>
          </m:sSubPr>
          <m:e>
            <m:r>
              <w:rPr>
                <w:rFonts w:ascii="Cambria Math" w:eastAsia="MS Mincho" w:hAnsi="Cambria Math"/>
              </w:rPr>
              <m:t>τ∙x</m:t>
            </m:r>
          </m:e>
          <m:sub>
            <m:r>
              <w:rPr>
                <w:rFonts w:ascii="Cambria Math" w:eastAsia="MS Mincho" w:hAnsi="Cambria Math"/>
              </w:rPr>
              <m:t>1,t</m:t>
            </m:r>
          </m:sub>
        </m:sSub>
        <m:r>
          <w:rPr>
            <w:rFonts w:ascii="Cambria Math" w:eastAsia="MS Mincho" w:hAnsi="Cambria Math"/>
          </w:rPr>
          <m:t>∙</m:t>
        </m:r>
        <m:sSub>
          <m:sSubPr>
            <m:ctrlPr>
              <w:rPr>
                <w:rFonts w:ascii="Cambria Math" w:eastAsia="MS Mincho" w:hAnsi="Cambria Math"/>
                <w:i/>
              </w:rPr>
            </m:ctrlPr>
          </m:sSubPr>
          <m:e>
            <m:r>
              <w:rPr>
                <w:rFonts w:ascii="Cambria Math" w:eastAsia="MS Mincho" w:hAnsi="Cambria Math"/>
              </w:rPr>
              <m:t>x</m:t>
            </m:r>
          </m:e>
          <m:sub>
            <m:r>
              <w:rPr>
                <w:rFonts w:ascii="Cambria Math" w:eastAsia="MS Mincho" w:hAnsi="Cambria Math"/>
              </w:rPr>
              <m:t>2,t</m:t>
            </m:r>
          </m:sub>
        </m:sSub>
        <m:r>
          <w:rPr>
            <w:rFonts w:ascii="Cambria Math" w:eastAsia="MS Mincho" w:hAnsi="Cambria Math"/>
          </w:rPr>
          <m:t>∙</m:t>
        </m:r>
        <m:sSup>
          <m:sSupPr>
            <m:ctrlPr>
              <w:rPr>
                <w:rFonts w:ascii="Cambria Math" w:eastAsia="MS Mincho" w:hAnsi="Cambria Math"/>
                <w:i/>
              </w:rPr>
            </m:ctrlPr>
          </m:sSupPr>
          <m:e>
            <m:r>
              <w:rPr>
                <w:rFonts w:ascii="Cambria Math" w:eastAsia="MS Mincho" w:hAnsi="Cambria Math"/>
              </w:rPr>
              <m:t>e</m:t>
            </m:r>
          </m:e>
          <m:sup>
            <m:r>
              <w:rPr>
                <w:rFonts w:ascii="Cambria Math" w:eastAsia="MS Mincho" w:hAnsi="Cambria Math"/>
              </w:rPr>
              <m:t>x1,t</m:t>
            </m:r>
          </m:sup>
        </m:sSup>
        <m:r>
          <w:rPr>
            <w:rFonts w:ascii="Cambria Math" w:eastAsia="MS Mincho" w:hAnsi="Cambria Math"/>
          </w:rPr>
          <m:t>+</m:t>
        </m:r>
        <m:sSub>
          <m:sSubPr>
            <m:ctrlPr>
              <w:rPr>
                <w:rFonts w:ascii="Cambria Math" w:eastAsia="MS Mincho" w:hAnsi="Cambria Math"/>
                <w:i/>
              </w:rPr>
            </m:ctrlPr>
          </m:sSubPr>
          <m:e>
            <m:d>
              <m:dPr>
                <m:ctrlPr>
                  <w:rPr>
                    <w:rFonts w:ascii="Cambria Math" w:eastAsia="MS Mincho" w:hAnsi="Cambria Math"/>
                    <w:i/>
                  </w:rPr>
                </m:ctrlPr>
              </m:dPr>
              <m:e>
                <m:r>
                  <w:rPr>
                    <w:rFonts w:ascii="Cambria Math" w:eastAsia="MS Mincho" w:hAnsi="Cambria Math"/>
                  </w:rPr>
                  <m:t>1-τ</m:t>
                </m:r>
              </m:e>
            </m:d>
            <m:r>
              <w:rPr>
                <w:rFonts w:ascii="Cambria Math" w:eastAsia="MS Mincho" w:hAnsi="Cambria Math"/>
              </w:rPr>
              <m:t>∙r</m:t>
            </m:r>
          </m:e>
          <m:sub>
            <m:r>
              <w:rPr>
                <w:rFonts w:ascii="Cambria Math" w:eastAsia="MS Mincho" w:hAnsi="Cambria Math"/>
              </w:rPr>
              <m:t>t</m:t>
            </m:r>
          </m:sub>
        </m:sSub>
      </m:oMath>
      <w:r w:rsidRPr="002638B7">
        <w:rPr>
          <w:rFonts w:eastAsia="MS Mincho"/>
        </w:rPr>
        <w:t>,</w:t>
      </w:r>
    </w:p>
    <w:p w:rsidR="001F0DD3" w:rsidRPr="002638B7" w:rsidRDefault="001F0DD3" w:rsidP="001F0DD3">
      <w:pPr>
        <w:pBdr>
          <w:top w:val="none" w:sz="0" w:space="0" w:color="auto"/>
          <w:left w:val="none" w:sz="0" w:space="0" w:color="auto"/>
          <w:bottom w:val="none" w:sz="0" w:space="0" w:color="auto"/>
          <w:right w:val="none" w:sz="0" w:space="0" w:color="auto"/>
          <w:between w:val="none" w:sz="0" w:space="0" w:color="auto"/>
        </w:pBdr>
        <w:rPr>
          <w:rFonts w:eastAsia="MS Mincho"/>
        </w:rPr>
      </w:pPr>
      <w:proofErr w:type="gramStart"/>
      <w:r w:rsidRPr="002638B7">
        <w:rPr>
          <w:rFonts w:eastAsia="MS Mincho"/>
        </w:rPr>
        <w:t>τ</w:t>
      </w:r>
      <w:proofErr w:type="gramEnd"/>
      <w:r w:rsidRPr="002638B7">
        <w:rPr>
          <w:rFonts w:eastAsia="MS Mincho"/>
        </w:rPr>
        <w:t xml:space="preserve"> being a parameter determining the inertia of the dynamics of </w:t>
      </w:r>
      <w:r w:rsidRPr="002638B7">
        <w:rPr>
          <w:rFonts w:eastAsia="MS Mincho"/>
          <w:i/>
        </w:rPr>
        <w:t>r</w:t>
      </w:r>
      <w:r w:rsidRPr="002638B7">
        <w:rPr>
          <w:rFonts w:eastAsia="MS Mincho"/>
        </w:rPr>
        <w:t xml:space="preserve">, here set to 0.05. A target state </w:t>
      </w:r>
      <w:r w:rsidRPr="002638B7">
        <w:rPr>
          <w:rFonts w:eastAsia="MS Mincho"/>
          <w:i/>
        </w:rPr>
        <w:t>y</w:t>
      </w:r>
      <w:r w:rsidRPr="002638B7">
        <w:rPr>
          <w:rFonts w:eastAsia="MS Mincho"/>
        </w:rPr>
        <w:t xml:space="preserve"> to be predicted evolves as a logistic map well known from ecology and chaos theory</w:t>
      </w:r>
      <w:r w:rsidRPr="002638B7">
        <w:rPr>
          <w:rFonts w:eastAsia="MS Mincho"/>
        </w:rPr>
        <w:fldChar w:fldCharType="begin"/>
      </w:r>
      <w:r w:rsidR="00C14E2D">
        <w:rPr>
          <w:rFonts w:eastAsia="MS Mincho"/>
        </w:rPr>
        <w:instrText xml:space="preserve"> ADDIN EN.CITE &lt;EndNote&gt;&lt;Cite&gt;&lt;Author&gt;May&lt;/Author&gt;&lt;Year&gt;1976&lt;/Year&gt;&lt;RecNum&gt;9293&lt;/RecNum&gt;&lt;DisplayText&gt;&lt;style face="superscript"&gt;1&lt;/style&gt;&lt;/DisplayText&gt;&lt;record&gt;&lt;rec-number&gt;9293&lt;/rec-number&gt;&lt;foreign-keys&gt;&lt;key app="EN" db-id="s92fvtd55dpwa0eserrpwvt7trpd9vapxsfd" timestamp="1515961882"&gt;9293&lt;/key&gt;&lt;/foreign-keys&gt;&lt;ref-type name="Journal Article"&gt;17&lt;/ref-type&gt;&lt;contributors&gt;&lt;authors&gt;&lt;author&gt;May, Robert M&lt;/author&gt;&lt;/authors&gt;&lt;/contributors&gt;&lt;titles&gt;&lt;title&gt;Simple mathematical models with very complicated dynamics&lt;/title&gt;&lt;secondary-title&gt;Nature&lt;/secondary-title&gt;&lt;/titles&gt;&lt;periodical&gt;&lt;full-title&gt;Nature&lt;/full-title&gt;&lt;/periodical&gt;&lt;pages&gt;459-467&lt;/pages&gt;&lt;volume&gt;261&lt;/volume&gt;&lt;number&gt;5560&lt;/number&gt;&lt;dates&gt;&lt;year&gt;1976&lt;/year&gt;&lt;/dates&gt;&lt;isbn&gt;0028-0836&lt;/isbn&gt;&lt;urls&gt;&lt;/urls&gt;&lt;/record&gt;&lt;/Cite&gt;&lt;/EndNote&gt;</w:instrText>
      </w:r>
      <w:r w:rsidRPr="002638B7">
        <w:rPr>
          <w:rFonts w:eastAsia="MS Mincho"/>
        </w:rPr>
        <w:fldChar w:fldCharType="separate"/>
      </w:r>
      <w:r w:rsidR="00C14E2D" w:rsidRPr="00C14E2D">
        <w:rPr>
          <w:rFonts w:eastAsia="MS Mincho"/>
          <w:noProof/>
          <w:vertAlign w:val="superscript"/>
        </w:rPr>
        <w:t>1</w:t>
      </w:r>
      <w:r w:rsidRPr="002638B7">
        <w:rPr>
          <w:rFonts w:eastAsia="MS Mincho"/>
        </w:rPr>
        <w:fldChar w:fldCharType="end"/>
      </w:r>
      <w:r w:rsidRPr="002638B7">
        <w:rPr>
          <w:rFonts w:eastAsia="MS Mincho"/>
        </w:rPr>
        <w:t xml:space="preserve">: </w:t>
      </w:r>
    </w:p>
    <w:p w:rsidR="001F0DD3" w:rsidRPr="002638B7" w:rsidRDefault="00FA0039" w:rsidP="001F0DD3">
      <w:pPr>
        <w:pBdr>
          <w:top w:val="none" w:sz="0" w:space="0" w:color="auto"/>
          <w:left w:val="none" w:sz="0" w:space="0" w:color="auto"/>
          <w:bottom w:val="none" w:sz="0" w:space="0" w:color="auto"/>
          <w:right w:val="none" w:sz="0" w:space="0" w:color="auto"/>
          <w:between w:val="none" w:sz="0" w:space="0" w:color="auto"/>
        </w:pBdr>
        <w:jc w:val="center"/>
        <w:rPr>
          <w:rFonts w:eastAsia="MS Mincho"/>
        </w:rPr>
      </w:pPr>
      <m:oMath>
        <m:sSub>
          <m:sSubPr>
            <m:ctrlPr>
              <w:rPr>
                <w:rFonts w:ascii="Cambria Math" w:eastAsia="MS Mincho" w:hAnsi="Cambria Math"/>
                <w:i/>
              </w:rPr>
            </m:ctrlPr>
          </m:sSubPr>
          <m:e>
            <m:r>
              <w:rPr>
                <w:rFonts w:ascii="Cambria Math" w:eastAsia="MS Mincho" w:hAnsi="Cambria Math"/>
              </w:rPr>
              <m:t>y</m:t>
            </m:r>
          </m:e>
          <m:sub>
            <m:r>
              <w:rPr>
                <w:rFonts w:ascii="Cambria Math" w:eastAsia="MS Mincho" w:hAnsi="Cambria Math"/>
              </w:rPr>
              <m:t>t+1</m:t>
            </m:r>
          </m:sub>
        </m:sSub>
        <m:r>
          <w:rPr>
            <w:rFonts w:ascii="Cambria Math" w:eastAsia="MS Mincho" w:hAnsi="Cambria Math"/>
          </w:rPr>
          <m:t>=</m:t>
        </m:r>
        <m:acc>
          <m:accPr>
            <m:chr m:val="̃"/>
            <m:ctrlPr>
              <w:rPr>
                <w:rFonts w:ascii="Cambria Math" w:eastAsia="MS Mincho" w:hAnsi="Cambria Math"/>
                <w:i/>
              </w:rPr>
            </m:ctrlPr>
          </m:accPr>
          <m:e>
            <m:sSub>
              <m:sSubPr>
                <m:ctrlPr>
                  <w:rPr>
                    <w:rFonts w:ascii="Cambria Math" w:eastAsia="MS Mincho" w:hAnsi="Cambria Math"/>
                    <w:i/>
                  </w:rPr>
                </m:ctrlPr>
              </m:sSubPr>
              <m:e>
                <m:r>
                  <w:rPr>
                    <w:rFonts w:ascii="Cambria Math" w:eastAsia="MS Mincho" w:hAnsi="Cambria Math"/>
                  </w:rPr>
                  <m:t>r</m:t>
                </m:r>
              </m:e>
              <m:sub>
                <m:r>
                  <w:rPr>
                    <w:rFonts w:ascii="Cambria Math" w:eastAsia="MS Mincho" w:hAnsi="Cambria Math"/>
                  </w:rPr>
                  <m:t>t</m:t>
                </m:r>
              </m:sub>
            </m:sSub>
          </m:e>
        </m:acc>
        <m:r>
          <w:rPr>
            <w:rFonts w:ascii="Cambria Math" w:eastAsia="MS Mincho" w:hAnsi="Cambria Math"/>
          </w:rPr>
          <m:t>∙</m:t>
        </m:r>
        <m:sSub>
          <m:sSubPr>
            <m:ctrlPr>
              <w:rPr>
                <w:rFonts w:ascii="Cambria Math" w:eastAsia="MS Mincho" w:hAnsi="Cambria Math"/>
                <w:i/>
              </w:rPr>
            </m:ctrlPr>
          </m:sSubPr>
          <m:e>
            <m:r>
              <w:rPr>
                <w:rFonts w:ascii="Cambria Math" w:eastAsia="MS Mincho" w:hAnsi="Cambria Math"/>
              </w:rPr>
              <m:t>y</m:t>
            </m:r>
          </m:e>
          <m:sub>
            <m:r>
              <w:rPr>
                <w:rFonts w:ascii="Cambria Math" w:eastAsia="MS Mincho" w:hAnsi="Cambria Math"/>
              </w:rPr>
              <m:t>t</m:t>
            </m:r>
          </m:sub>
        </m:sSub>
        <m:r>
          <w:rPr>
            <w:rFonts w:ascii="Cambria Math" w:eastAsia="MS Mincho" w:hAnsi="Cambria Math"/>
          </w:rPr>
          <m:t>∙</m:t>
        </m:r>
        <m:d>
          <m:dPr>
            <m:ctrlPr>
              <w:rPr>
                <w:rFonts w:ascii="Cambria Math" w:eastAsia="MS Mincho" w:hAnsi="Cambria Math"/>
                <w:i/>
              </w:rPr>
            </m:ctrlPr>
          </m:dPr>
          <m:e>
            <m:r>
              <w:rPr>
                <w:rFonts w:ascii="Cambria Math" w:eastAsia="MS Mincho" w:hAnsi="Cambria Math"/>
              </w:rPr>
              <m:t>1-</m:t>
            </m:r>
            <m:sSub>
              <m:sSubPr>
                <m:ctrlPr>
                  <w:rPr>
                    <w:rFonts w:ascii="Cambria Math" w:eastAsia="MS Mincho" w:hAnsi="Cambria Math"/>
                    <w:i/>
                  </w:rPr>
                </m:ctrlPr>
              </m:sSubPr>
              <m:e>
                <m:r>
                  <w:rPr>
                    <w:rFonts w:ascii="Cambria Math" w:eastAsia="MS Mincho" w:hAnsi="Cambria Math"/>
                  </w:rPr>
                  <m:t>y</m:t>
                </m:r>
              </m:e>
              <m:sub>
                <m:r>
                  <w:rPr>
                    <w:rFonts w:ascii="Cambria Math" w:eastAsia="MS Mincho" w:hAnsi="Cambria Math"/>
                  </w:rPr>
                  <m:t>t</m:t>
                </m:r>
              </m:sub>
            </m:sSub>
          </m:e>
        </m:d>
      </m:oMath>
      <w:r w:rsidR="001F0DD3" w:rsidRPr="002638B7">
        <w:rPr>
          <w:rFonts w:eastAsia="MS Mincho"/>
        </w:rPr>
        <w:t>,</w:t>
      </w:r>
    </w:p>
    <w:p w:rsidR="001F0DD3" w:rsidRPr="002638B7" w:rsidRDefault="001F0DD3" w:rsidP="001F0DD3">
      <w:pPr>
        <w:pBdr>
          <w:top w:val="none" w:sz="0" w:space="0" w:color="auto"/>
          <w:left w:val="none" w:sz="0" w:space="0" w:color="auto"/>
          <w:bottom w:val="none" w:sz="0" w:space="0" w:color="auto"/>
          <w:right w:val="none" w:sz="0" w:space="0" w:color="auto"/>
          <w:between w:val="none" w:sz="0" w:space="0" w:color="auto"/>
        </w:pBdr>
        <w:rPr>
          <w:rFonts w:eastAsia="MS Mincho"/>
        </w:rPr>
      </w:pPr>
      <w:proofErr w:type="gramStart"/>
      <w:r w:rsidRPr="002638B7">
        <w:rPr>
          <w:rFonts w:eastAsia="MS Mincho"/>
        </w:rPr>
        <w:t>where</w:t>
      </w:r>
      <w:proofErr w:type="gramEnd"/>
      <w:r w:rsidRPr="002638B7">
        <w:rPr>
          <w:rFonts w:eastAsia="MS Mincho"/>
        </w:rPr>
        <w:t xml:space="preserve"> (contrary to the standard logistic map) the parameter </w:t>
      </w:r>
      <m:oMath>
        <m:acc>
          <m:accPr>
            <m:chr m:val="̃"/>
            <m:ctrlPr>
              <w:rPr>
                <w:rFonts w:ascii="Cambria Math" w:eastAsia="MS Mincho" w:hAnsi="Cambria Math"/>
                <w:i/>
              </w:rPr>
            </m:ctrlPr>
          </m:accPr>
          <m:e>
            <m:sSub>
              <m:sSubPr>
                <m:ctrlPr>
                  <w:rPr>
                    <w:rFonts w:ascii="Cambria Math" w:eastAsia="MS Mincho" w:hAnsi="Cambria Math"/>
                    <w:i/>
                  </w:rPr>
                </m:ctrlPr>
              </m:sSubPr>
              <m:e>
                <m:r>
                  <w:rPr>
                    <w:rFonts w:ascii="Cambria Math" w:eastAsia="MS Mincho" w:hAnsi="Cambria Math"/>
                  </w:rPr>
                  <m:t>r</m:t>
                </m:r>
              </m:e>
              <m:sub>
                <m:r>
                  <w:rPr>
                    <w:rFonts w:ascii="Cambria Math" w:eastAsia="MS Mincho" w:hAnsi="Cambria Math"/>
                  </w:rPr>
                  <m:t>t</m:t>
                </m:r>
              </m:sub>
            </m:sSub>
          </m:e>
        </m:acc>
      </m:oMath>
      <w:r w:rsidRPr="002638B7">
        <w:rPr>
          <w:rFonts w:eastAsia="MS Mincho"/>
        </w:rPr>
        <w:t xml:space="preserve"> is not fixed but dynamic and dependent on </w:t>
      </w:r>
      <w:r w:rsidRPr="002638B7">
        <w:rPr>
          <w:rFonts w:eastAsia="MS Mincho"/>
          <w:i/>
        </w:rPr>
        <w:t xml:space="preserve">r </w:t>
      </w:r>
      <w:r w:rsidRPr="002638B7">
        <w:rPr>
          <w:rFonts w:eastAsia="MS Mincho"/>
        </w:rPr>
        <w:t>as</w:t>
      </w:r>
    </w:p>
    <w:p w:rsidR="001F0DD3" w:rsidRPr="002638B7" w:rsidRDefault="00FA0039" w:rsidP="001F0DD3">
      <w:pPr>
        <w:pBdr>
          <w:top w:val="none" w:sz="0" w:space="0" w:color="auto"/>
          <w:left w:val="none" w:sz="0" w:space="0" w:color="auto"/>
          <w:bottom w:val="none" w:sz="0" w:space="0" w:color="auto"/>
          <w:right w:val="none" w:sz="0" w:space="0" w:color="auto"/>
          <w:between w:val="none" w:sz="0" w:space="0" w:color="auto"/>
        </w:pBdr>
        <w:jc w:val="center"/>
        <w:rPr>
          <w:rFonts w:eastAsia="MS Mincho"/>
        </w:rPr>
      </w:pPr>
      <m:oMath>
        <m:acc>
          <m:accPr>
            <m:chr m:val="̃"/>
            <m:ctrlPr>
              <w:rPr>
                <w:rFonts w:ascii="Cambria Math" w:eastAsia="MS Mincho" w:hAnsi="Cambria Math"/>
                <w:i/>
              </w:rPr>
            </m:ctrlPr>
          </m:accPr>
          <m:e>
            <m:sSub>
              <m:sSubPr>
                <m:ctrlPr>
                  <w:rPr>
                    <w:rFonts w:ascii="Cambria Math" w:eastAsia="MS Mincho" w:hAnsi="Cambria Math"/>
                    <w:i/>
                  </w:rPr>
                </m:ctrlPr>
              </m:sSubPr>
              <m:e>
                <m:r>
                  <w:rPr>
                    <w:rFonts w:ascii="Cambria Math" w:eastAsia="MS Mincho" w:hAnsi="Cambria Math"/>
                  </w:rPr>
                  <m:t>r</m:t>
                </m:r>
              </m:e>
              <m:sub>
                <m:r>
                  <w:rPr>
                    <w:rFonts w:ascii="Cambria Math" w:eastAsia="MS Mincho" w:hAnsi="Cambria Math"/>
                  </w:rPr>
                  <m:t>t</m:t>
                </m:r>
              </m:sub>
            </m:sSub>
          </m:e>
        </m:acc>
        <m:r>
          <w:rPr>
            <w:rFonts w:ascii="Cambria Math" w:eastAsia="MS Mincho" w:hAnsi="Cambria Math"/>
          </w:rPr>
          <m:t>=</m:t>
        </m:r>
        <m:sSub>
          <m:sSubPr>
            <m:ctrlPr>
              <w:rPr>
                <w:rFonts w:ascii="Cambria Math" w:eastAsia="MS Mincho" w:hAnsi="Cambria Math"/>
                <w:i/>
              </w:rPr>
            </m:ctrlPr>
          </m:sSubPr>
          <m:e>
            <m:r>
              <w:rPr>
                <w:rFonts w:ascii="Cambria Math" w:eastAsia="MS Mincho" w:hAnsi="Cambria Math"/>
              </w:rPr>
              <m:t>g( r</m:t>
            </m:r>
          </m:e>
          <m:sub>
            <m:r>
              <w:rPr>
                <w:rFonts w:ascii="Cambria Math" w:eastAsia="MS Mincho" w:hAnsi="Cambria Math"/>
              </w:rPr>
              <m:t>t</m:t>
            </m:r>
          </m:sub>
        </m:sSub>
        <m:r>
          <w:rPr>
            <w:rFonts w:ascii="Cambria Math" w:eastAsia="MS Mincho" w:hAnsi="Cambria Math"/>
          </w:rPr>
          <m:t>+</m:t>
        </m:r>
        <m:sSub>
          <m:sSubPr>
            <m:ctrlPr>
              <w:rPr>
                <w:rFonts w:ascii="Cambria Math" w:eastAsia="MS Mincho" w:hAnsi="Cambria Math"/>
                <w:i/>
              </w:rPr>
            </m:ctrlPr>
          </m:sSubPr>
          <m:e>
            <m:r>
              <w:rPr>
                <w:rFonts w:ascii="Cambria Math" w:eastAsia="MS Mincho" w:hAnsi="Cambria Math"/>
              </w:rPr>
              <m:t>x</m:t>
            </m:r>
          </m:e>
          <m:sub>
            <m:r>
              <w:rPr>
                <w:rFonts w:ascii="Cambria Math" w:eastAsia="MS Mincho" w:hAnsi="Cambria Math"/>
              </w:rPr>
              <m:t>3,t</m:t>
            </m:r>
          </m:sub>
        </m:sSub>
        <m:r>
          <w:rPr>
            <w:rFonts w:ascii="Cambria Math" w:eastAsia="MS Mincho" w:hAnsi="Cambria Math"/>
          </w:rPr>
          <m:t>)</m:t>
        </m:r>
      </m:oMath>
      <w:r w:rsidR="001F0DD3" w:rsidRPr="002638B7">
        <w:rPr>
          <w:rFonts w:eastAsia="MS Mincho"/>
        </w:rPr>
        <w:t>,</w:t>
      </w:r>
    </w:p>
    <w:p w:rsidR="001F0DD3" w:rsidRPr="002638B7" w:rsidRDefault="001F0DD3" w:rsidP="001F0DD3">
      <w:pPr>
        <w:pBdr>
          <w:top w:val="none" w:sz="0" w:space="0" w:color="auto"/>
          <w:left w:val="none" w:sz="0" w:space="0" w:color="auto"/>
          <w:bottom w:val="none" w:sz="0" w:space="0" w:color="auto"/>
          <w:right w:val="none" w:sz="0" w:space="0" w:color="auto"/>
          <w:between w:val="none" w:sz="0" w:space="0" w:color="auto"/>
        </w:pBdr>
        <w:rPr>
          <w:rFonts w:eastAsia="MS Mincho"/>
        </w:rPr>
      </w:pPr>
      <w:r w:rsidRPr="002638B7">
        <w:rPr>
          <w:rFonts w:eastAsia="MS Mincho"/>
        </w:rPr>
        <w:t xml:space="preserve"> </w:t>
      </w:r>
      <w:proofErr w:type="gramStart"/>
      <w:r w:rsidRPr="002638B7">
        <w:rPr>
          <w:rFonts w:eastAsia="MS Mincho"/>
        </w:rPr>
        <w:t>where</w:t>
      </w:r>
      <w:proofErr w:type="gramEnd"/>
      <w:r w:rsidRPr="002638B7">
        <w:rPr>
          <w:rFonts w:eastAsia="MS Mincho"/>
        </w:rPr>
        <w:t xml:space="preserve"> </w:t>
      </w:r>
      <w:r w:rsidRPr="002638B7">
        <w:rPr>
          <w:rFonts w:eastAsia="MS Mincho"/>
          <w:i/>
        </w:rPr>
        <w:t xml:space="preserve">g </w:t>
      </w:r>
      <w:r w:rsidRPr="002638B7">
        <w:rPr>
          <w:rFonts w:eastAsia="MS Mincho"/>
        </w:rPr>
        <w:t xml:space="preserve">simply scales </w:t>
      </w:r>
      <m:oMath>
        <m:acc>
          <m:accPr>
            <m:chr m:val="̃"/>
            <m:ctrlPr>
              <w:rPr>
                <w:rFonts w:ascii="Cambria Math" w:eastAsia="MS Mincho" w:hAnsi="Cambria Math"/>
                <w:i/>
              </w:rPr>
            </m:ctrlPr>
          </m:accPr>
          <m:e>
            <m:sSub>
              <m:sSubPr>
                <m:ctrlPr>
                  <w:rPr>
                    <w:rFonts w:ascii="Cambria Math" w:eastAsia="MS Mincho" w:hAnsi="Cambria Math"/>
                    <w:i/>
                  </w:rPr>
                </m:ctrlPr>
              </m:sSubPr>
              <m:e>
                <m:r>
                  <w:rPr>
                    <w:rFonts w:ascii="Cambria Math" w:eastAsia="MS Mincho" w:hAnsi="Cambria Math"/>
                  </w:rPr>
                  <m:t>r</m:t>
                </m:r>
              </m:e>
              <m:sub>
                <m:r>
                  <w:rPr>
                    <w:rFonts w:ascii="Cambria Math" w:eastAsia="MS Mincho" w:hAnsi="Cambria Math"/>
                  </w:rPr>
                  <m:t>t</m:t>
                </m:r>
              </m:sub>
            </m:sSub>
          </m:e>
        </m:acc>
      </m:oMath>
      <w:r w:rsidRPr="002638B7">
        <w:rPr>
          <w:rFonts w:eastAsia="MS Mincho"/>
        </w:rPr>
        <w:t xml:space="preserve"> onto the interval [2.5, 4] which implies dynamics varying with time between dampened oscillations, limit cycles and chaos. In the synthetic example 500 realizations of x</w:t>
      </w:r>
      <w:r w:rsidRPr="002638B7">
        <w:rPr>
          <w:rFonts w:eastAsia="MS Mincho"/>
          <w:vertAlign w:val="subscript"/>
        </w:rPr>
        <w:t>1</w:t>
      </w:r>
      <w:r w:rsidRPr="002638B7">
        <w:rPr>
          <w:rFonts w:eastAsia="MS Mincho"/>
        </w:rPr>
        <w:t xml:space="preserve"> and x</w:t>
      </w:r>
      <w:r w:rsidRPr="002638B7">
        <w:rPr>
          <w:rFonts w:eastAsia="MS Mincho"/>
          <w:vertAlign w:val="subscript"/>
        </w:rPr>
        <w:t>2</w:t>
      </w:r>
      <w:r w:rsidRPr="002638B7">
        <w:rPr>
          <w:rFonts w:eastAsia="MS Mincho"/>
        </w:rPr>
        <w:t xml:space="preserve"> as Gaussian </w:t>
      </w:r>
      <w:proofErr w:type="spellStart"/>
      <w:r w:rsidRPr="002638B7">
        <w:rPr>
          <w:rFonts w:eastAsia="MS Mincho"/>
        </w:rPr>
        <w:t>i.i.d</w:t>
      </w:r>
      <w:proofErr w:type="spellEnd"/>
      <w:r w:rsidRPr="002638B7">
        <w:rPr>
          <w:rFonts w:eastAsia="MS Mincho"/>
        </w:rPr>
        <w:t>. variables are generated, while x</w:t>
      </w:r>
      <w:r w:rsidRPr="002638B7">
        <w:rPr>
          <w:rFonts w:eastAsia="MS Mincho"/>
          <w:vertAlign w:val="subscript"/>
        </w:rPr>
        <w:t>3</w:t>
      </w:r>
      <w:r w:rsidRPr="002638B7">
        <w:rPr>
          <w:rFonts w:eastAsia="MS Mincho"/>
        </w:rPr>
        <w:t xml:space="preserve"> is always a seasonal variable as in the Figure below. Obviously </w:t>
      </w:r>
      <w:r w:rsidRPr="002638B7">
        <w:rPr>
          <w:rFonts w:eastAsia="MS Mincho"/>
          <w:i/>
        </w:rPr>
        <w:t>x</w:t>
      </w:r>
      <w:r w:rsidRPr="002638B7">
        <w:rPr>
          <w:rFonts w:eastAsia="MS Mincho"/>
          <w:i/>
          <w:vertAlign w:val="subscript"/>
        </w:rPr>
        <w:t>1</w:t>
      </w:r>
      <w:r w:rsidRPr="002638B7">
        <w:rPr>
          <w:rFonts w:eastAsia="MS Mincho"/>
        </w:rPr>
        <w:t xml:space="preserve"> and </w:t>
      </w:r>
      <w:r w:rsidRPr="002638B7">
        <w:rPr>
          <w:rFonts w:eastAsia="MS Mincho"/>
          <w:i/>
        </w:rPr>
        <w:t>x</w:t>
      </w:r>
      <w:r w:rsidRPr="002638B7">
        <w:rPr>
          <w:rFonts w:eastAsia="MS Mincho"/>
          <w:i/>
          <w:vertAlign w:val="subscript"/>
        </w:rPr>
        <w:t>2</w:t>
      </w:r>
      <w:r w:rsidRPr="002638B7">
        <w:rPr>
          <w:rFonts w:eastAsia="MS Mincho"/>
        </w:rPr>
        <w:t xml:space="preserve"> are mimicking a stochastic forcing, whereas </w:t>
      </w:r>
      <w:r w:rsidRPr="002638B7">
        <w:rPr>
          <w:rFonts w:eastAsia="MS Mincho"/>
          <w:i/>
        </w:rPr>
        <w:t>x</w:t>
      </w:r>
      <w:r w:rsidRPr="002638B7">
        <w:rPr>
          <w:rFonts w:eastAsia="MS Mincho"/>
          <w:i/>
          <w:vertAlign w:val="subscript"/>
        </w:rPr>
        <w:t>3</w:t>
      </w:r>
      <w:r w:rsidRPr="002638B7">
        <w:rPr>
          <w:rFonts w:eastAsia="MS Mincho"/>
        </w:rPr>
        <w:t xml:space="preserve"> represents a deterministic forcing (e.g. solar radiation varying diurnally and seasonally).</w:t>
      </w:r>
    </w:p>
    <w:p w:rsidR="001F0DD3" w:rsidRPr="002638B7" w:rsidRDefault="001F0DD3" w:rsidP="001F0DD3">
      <w:pPr>
        <w:pBdr>
          <w:top w:val="none" w:sz="0" w:space="0" w:color="auto"/>
          <w:left w:val="none" w:sz="0" w:space="0" w:color="auto"/>
          <w:bottom w:val="none" w:sz="0" w:space="0" w:color="auto"/>
          <w:right w:val="none" w:sz="0" w:space="0" w:color="auto"/>
          <w:between w:val="none" w:sz="0" w:space="0" w:color="auto"/>
        </w:pBdr>
        <w:rPr>
          <w:rFonts w:eastAsia="MS Mincho"/>
        </w:rPr>
      </w:pPr>
      <w:r w:rsidRPr="002638B7">
        <w:rPr>
          <w:rFonts w:eastAsia="MS Mincho"/>
        </w:rPr>
        <w:t xml:space="preserve">The lower panel shows the performance of different approaches to model the </w:t>
      </w:r>
      <m:oMath>
        <m:sSub>
          <m:sSubPr>
            <m:ctrlPr>
              <w:rPr>
                <w:rFonts w:ascii="Cambria Math" w:hAnsi="Cambria Math"/>
                <w:i/>
              </w:rPr>
            </m:ctrlPr>
          </m:sSubPr>
          <m:e>
            <m:r>
              <w:rPr>
                <w:rFonts w:ascii="Cambria Math" w:hAnsi="Cambria Math"/>
              </w:rPr>
              <m:t>y</m:t>
            </m:r>
          </m:e>
          <m:sub>
            <m:r>
              <w:rPr>
                <w:rFonts w:ascii="Cambria Math" w:hAnsi="Cambria Math"/>
              </w:rPr>
              <m:t>t</m:t>
            </m:r>
          </m:sub>
        </m:sSub>
      </m:oMath>
      <w:r w:rsidRPr="002638B7">
        <w:rPr>
          <w:rFonts w:eastAsia="MS Mincho"/>
        </w:rPr>
        <w:t xml:space="preserve"> sequence given the sequences </w:t>
      </w:r>
      <w:proofErr w:type="gramStart"/>
      <w:r w:rsidRPr="002638B7">
        <w:rPr>
          <w:rFonts w:eastAsia="MS Mincho"/>
        </w:rPr>
        <w:t xml:space="preserve">of </w:t>
      </w:r>
      <w:proofErr w:type="gramEnd"/>
      <m:oMath>
        <m:sSub>
          <m:sSubPr>
            <m:ctrlPr>
              <w:rPr>
                <w:rFonts w:ascii="Cambria Math" w:eastAsia="MS Mincho" w:hAnsi="Cambria Math"/>
                <w:i/>
              </w:rPr>
            </m:ctrlPr>
          </m:sSubPr>
          <m:e>
            <m:r>
              <w:rPr>
                <w:rFonts w:ascii="Cambria Math" w:eastAsia="MS Mincho" w:hAnsi="Cambria Math"/>
              </w:rPr>
              <m:t>x</m:t>
            </m:r>
          </m:e>
          <m:sub>
            <m:r>
              <w:rPr>
                <w:rFonts w:ascii="Cambria Math" w:eastAsia="MS Mincho" w:hAnsi="Cambria Math"/>
              </w:rPr>
              <m:t>1</m:t>
            </m:r>
          </m:sub>
        </m:sSub>
        <m:r>
          <w:rPr>
            <w:rFonts w:ascii="Cambria Math" w:eastAsia="MS Mincho" w:hAnsi="Cambria Math"/>
          </w:rPr>
          <m:t>…</m:t>
        </m:r>
        <m:sSub>
          <m:sSubPr>
            <m:ctrlPr>
              <w:rPr>
                <w:rFonts w:ascii="Cambria Math" w:eastAsia="MS Mincho" w:hAnsi="Cambria Math"/>
                <w:i/>
              </w:rPr>
            </m:ctrlPr>
          </m:sSubPr>
          <m:e>
            <m:r>
              <w:rPr>
                <w:rFonts w:ascii="Cambria Math" w:eastAsia="MS Mincho" w:hAnsi="Cambria Math"/>
              </w:rPr>
              <m:t>x</m:t>
            </m:r>
          </m:e>
          <m:sub>
            <m:r>
              <w:rPr>
                <w:rFonts w:ascii="Cambria Math" w:eastAsia="MS Mincho" w:hAnsi="Cambria Math"/>
              </w:rPr>
              <m:t>3</m:t>
            </m:r>
          </m:sub>
        </m:sSub>
      </m:oMath>
      <w:r w:rsidRPr="002638B7">
        <w:rPr>
          <w:rFonts w:eastAsia="MS Mincho"/>
          <w:i/>
        </w:rPr>
        <w:t xml:space="preserve">. </w:t>
      </w:r>
      <w:r w:rsidRPr="002638B7">
        <w:rPr>
          <w:rFonts w:eastAsia="MS Mincho"/>
        </w:rPr>
        <w:t xml:space="preserve">With a feed-forward ANN or random forests it is hard to model the </w:t>
      </w:r>
      <w:proofErr w:type="gramStart"/>
      <w:r w:rsidRPr="002638B7">
        <w:rPr>
          <w:rFonts w:eastAsia="MS Mincho"/>
        </w:rPr>
        <w:t xml:space="preserve">sequence </w:t>
      </w:r>
      <w:proofErr w:type="gramEnd"/>
      <m:oMath>
        <m:sSub>
          <m:sSubPr>
            <m:ctrlPr>
              <w:rPr>
                <w:rFonts w:ascii="Cambria Math" w:eastAsia="MS Mincho" w:hAnsi="Cambria Math"/>
                <w:i/>
              </w:rPr>
            </m:ctrlPr>
          </m:sSubPr>
          <m:e>
            <m:r>
              <w:rPr>
                <w:rFonts w:ascii="Cambria Math" w:eastAsia="MS Mincho" w:hAnsi="Cambria Math"/>
              </w:rPr>
              <m:t>y</m:t>
            </m:r>
          </m:e>
          <m:sub>
            <m:r>
              <w:rPr>
                <w:rFonts w:ascii="Cambria Math" w:eastAsia="MS Mincho" w:hAnsi="Cambria Math"/>
              </w:rPr>
              <m:t>t</m:t>
            </m:r>
          </m:sub>
        </m:sSub>
      </m:oMath>
      <w:r w:rsidRPr="002638B7">
        <w:rPr>
          <w:rFonts w:eastAsia="MS Mincho"/>
        </w:rPr>
        <w:t>, even with including intuitive features which represent lagged or memory effects, such as lagged or cumulated x variables over the last 25 time steps. On the contrary, being turing-complete</w:t>
      </w:r>
      <w:r w:rsidRPr="002638B7">
        <w:rPr>
          <w:rFonts w:eastAsia="MS Mincho"/>
        </w:rPr>
        <w:fldChar w:fldCharType="begin"/>
      </w:r>
      <w:r w:rsidR="00C14E2D">
        <w:rPr>
          <w:rFonts w:eastAsia="MS Mincho"/>
        </w:rPr>
        <w:instrText xml:space="preserve"> ADDIN EN.CITE &lt;EndNote&gt;&lt;Cite&gt;&lt;Author&gt;Siegelmann&lt;/Author&gt;&lt;Year&gt;1995&lt;/Year&gt;&lt;RecNum&gt;9226&lt;/RecNum&gt;&lt;DisplayText&gt;&lt;style face="superscript"&gt;2&lt;/style&gt;&lt;/DisplayText&gt;&lt;record&gt;&lt;rec-number&gt;9226&lt;/rec-number&gt;&lt;foreign-keys&gt;&lt;key app="EN" db-id="s92fvtd55dpwa0eserrpwvt7trpd9vapxsfd" timestamp="1508500580"&gt;9226&lt;/key&gt;&lt;/foreign-keys&gt;&lt;ref-type name="Journal Article"&gt;17&lt;/ref-type&gt;&lt;contributors&gt;&lt;authors&gt;&lt;author&gt;Siegelmann, Hava T&lt;/author&gt;&lt;author&gt;Sontag, Eduardo D&lt;/author&gt;&lt;/authors&gt;&lt;/contributors&gt;&lt;titles&gt;&lt;title&gt;On the computational power of neural nets&lt;/title&gt;&lt;secondary-title&gt;Journal of computer and system sciences&lt;/secondary-title&gt;&lt;/titles&gt;&lt;periodical&gt;&lt;full-title&gt;Journal of computer and system sciences&lt;/full-title&gt;&lt;/periodical&gt;&lt;pages&gt;132-150&lt;/pages&gt;&lt;volume&gt;50&lt;/volume&gt;&lt;number&gt;1&lt;/number&gt;&lt;dates&gt;&lt;year&gt;1995&lt;/year&gt;&lt;/dates&gt;&lt;isbn&gt;0022-0000&lt;/isbn&gt;&lt;urls&gt;&lt;/urls&gt;&lt;/record&gt;&lt;/Cite&gt;&lt;/EndNote&gt;</w:instrText>
      </w:r>
      <w:r w:rsidRPr="002638B7">
        <w:rPr>
          <w:rFonts w:eastAsia="MS Mincho"/>
        </w:rPr>
        <w:fldChar w:fldCharType="separate"/>
      </w:r>
      <w:r w:rsidR="00C14E2D" w:rsidRPr="00C14E2D">
        <w:rPr>
          <w:rFonts w:eastAsia="MS Mincho"/>
          <w:noProof/>
          <w:vertAlign w:val="superscript"/>
        </w:rPr>
        <w:t>2</w:t>
      </w:r>
      <w:r w:rsidRPr="002638B7">
        <w:rPr>
          <w:rFonts w:eastAsia="MS Mincho"/>
        </w:rPr>
        <w:fldChar w:fldCharType="end"/>
      </w:r>
      <w:r w:rsidRPr="002638B7">
        <w:rPr>
          <w:rFonts w:eastAsia="MS Mincho"/>
        </w:rPr>
        <w:t xml:space="preserve"> a recurrent NN has the potential to describe any dynamic system, and the challenge is the parameter estimation or training. In the specific case a simple LSTM</w:t>
      </w:r>
      <w:r w:rsidRPr="002638B7">
        <w:rPr>
          <w:rFonts w:eastAsia="MS Mincho"/>
        </w:rPr>
        <w:fldChar w:fldCharType="begin"/>
      </w:r>
      <w:r w:rsidR="00C14E2D">
        <w:rPr>
          <w:rFonts w:eastAsia="MS Mincho"/>
        </w:rPr>
        <w:instrText xml:space="preserve"> ADDIN EN.CITE &lt;EndNote&gt;&lt;Cite&gt;&lt;Author&gt;Hochreiter&lt;/Author&gt;&lt;Year&gt;1997&lt;/Year&gt;&lt;RecNum&gt;9295&lt;/RecNum&gt;&lt;DisplayText&gt;&lt;style face="superscript"&gt;3&lt;/style&gt;&lt;/DisplayText&gt;&lt;record&gt;&lt;rec-number&gt;9295&lt;/rec-number&gt;&lt;foreign-keys&gt;&lt;key app="EN" db-id="s92fvtd55dpwa0eserrpwvt7trpd9vapxsfd" timestamp="1515963268"&gt;9295&lt;/key&gt;&lt;/foreign-keys&gt;&lt;ref-type name="Journal Article"&gt;17&lt;/ref-type&gt;&lt;contributors&gt;&lt;authors&gt;&lt;author&gt;Hochreiter, Sepp&lt;/author&gt;&lt;author&gt;Schmidhuber, Jürgen&lt;/author&gt;&lt;/authors&gt;&lt;/contributors&gt;&lt;titles&gt;&lt;title&gt;Long short-term memory&lt;/title&gt;&lt;secondary-title&gt;Neural computation&lt;/secondary-title&gt;&lt;/titles&gt;&lt;periodical&gt;&lt;full-title&gt;Neural computation&lt;/full-title&gt;&lt;/periodical&gt;&lt;pages&gt;1735-1780&lt;/pages&gt;&lt;volume&gt;9&lt;/volume&gt;&lt;number&gt;8&lt;/number&gt;&lt;dates&gt;&lt;year&gt;1997&lt;/year&gt;&lt;/dates&gt;&lt;urls&gt;&lt;/urls&gt;&lt;/record&gt;&lt;/Cite&gt;&lt;/EndNote&gt;</w:instrText>
      </w:r>
      <w:r w:rsidRPr="002638B7">
        <w:rPr>
          <w:rFonts w:eastAsia="MS Mincho"/>
        </w:rPr>
        <w:fldChar w:fldCharType="separate"/>
      </w:r>
      <w:r w:rsidR="00C14E2D" w:rsidRPr="00C14E2D">
        <w:rPr>
          <w:rFonts w:eastAsia="MS Mincho"/>
          <w:noProof/>
          <w:vertAlign w:val="superscript"/>
        </w:rPr>
        <w:t>3</w:t>
      </w:r>
      <w:r w:rsidRPr="002638B7">
        <w:rPr>
          <w:rFonts w:eastAsia="MS Mincho"/>
        </w:rPr>
        <w:fldChar w:fldCharType="end"/>
      </w:r>
      <w:r w:rsidRPr="002638B7">
        <w:rPr>
          <w:rFonts w:eastAsia="MS Mincho"/>
        </w:rPr>
        <w:t xml:space="preserve"> with 8 cells was trained on 80% of the realizations and the results are shown here for the test set. Certainly, other modelling approaches such as dynamic Bayesian </w:t>
      </w:r>
      <w:r w:rsidRPr="002638B7">
        <w:rPr>
          <w:rFonts w:eastAsia="MS Mincho"/>
        </w:rPr>
        <w:lastRenderedPageBreak/>
        <w:t>approaches (e.g. hidden Markov models) exist as well for state estimation, and the relation to recurrent neural networks and deep learning is under research</w:t>
      </w:r>
      <w:r w:rsidRPr="002638B7">
        <w:rPr>
          <w:rFonts w:eastAsia="MS Mincho"/>
        </w:rPr>
        <w:fldChar w:fldCharType="begin"/>
      </w:r>
      <w:r w:rsidR="00C14E2D">
        <w:rPr>
          <w:rFonts w:eastAsia="MS Mincho"/>
        </w:rPr>
        <w:instrText xml:space="preserve"> ADDIN EN.CITE &lt;EndNote&gt;&lt;Cite&gt;&lt;Author&gt;Schmidhuber&lt;/Author&gt;&lt;Year&gt;2015&lt;/Year&gt;&lt;RecNum&gt;9294&lt;/RecNum&gt;&lt;DisplayText&gt;&lt;style face="superscript"&gt;4&lt;/style&gt;&lt;/DisplayText&gt;&lt;record&gt;&lt;rec-number&gt;9294&lt;/rec-number&gt;&lt;foreign-keys&gt;&lt;key app="EN" db-id="s92fvtd55dpwa0eserrpwvt7trpd9vapxsfd" timestamp="1515962863"&gt;9294&lt;/key&gt;&lt;/foreign-keys&gt;&lt;ref-type name="Journal Article"&gt;17&lt;/ref-type&gt;&lt;contributors&gt;&lt;authors&gt;&lt;author&gt;Schmidhuber, Jürgen&lt;/author&gt;&lt;/authors&gt;&lt;/contributors&gt;&lt;titles&gt;&lt;title&gt;Deep learning in neural networks: An overview&lt;/title&gt;&lt;secondary-title&gt;Neural networks&lt;/secondary-title&gt;&lt;/titles&gt;&lt;periodical&gt;&lt;full-title&gt;Neural networks&lt;/full-title&gt;&lt;/periodical&gt;&lt;pages&gt;85-117&lt;/pages&gt;&lt;volume&gt;61&lt;/volume&gt;&lt;dates&gt;&lt;year&gt;2015&lt;/year&gt;&lt;/dates&gt;&lt;isbn&gt;0893-6080&lt;/isbn&gt;&lt;urls&gt;&lt;/urls&gt;&lt;/record&gt;&lt;/Cite&gt;&lt;/EndNote&gt;</w:instrText>
      </w:r>
      <w:r w:rsidRPr="002638B7">
        <w:rPr>
          <w:rFonts w:eastAsia="MS Mincho"/>
        </w:rPr>
        <w:fldChar w:fldCharType="separate"/>
      </w:r>
      <w:r w:rsidR="00C14E2D" w:rsidRPr="00C14E2D">
        <w:rPr>
          <w:rFonts w:eastAsia="MS Mincho"/>
          <w:noProof/>
          <w:vertAlign w:val="superscript"/>
        </w:rPr>
        <w:t>4</w:t>
      </w:r>
      <w:r w:rsidRPr="002638B7">
        <w:rPr>
          <w:rFonts w:eastAsia="MS Mincho"/>
        </w:rPr>
        <w:fldChar w:fldCharType="end"/>
      </w:r>
      <w:r w:rsidRPr="002638B7">
        <w:rPr>
          <w:rFonts w:eastAsia="MS Mincho"/>
        </w:rPr>
        <w:t>.</w:t>
      </w:r>
    </w:p>
    <w:p w:rsidR="001F0DD3" w:rsidRPr="002638B7" w:rsidRDefault="001F0DD3" w:rsidP="001F0DD3">
      <w:pPr>
        <w:pBdr>
          <w:top w:val="none" w:sz="0" w:space="0" w:color="auto"/>
          <w:left w:val="none" w:sz="0" w:space="0" w:color="auto"/>
          <w:bottom w:val="none" w:sz="0" w:space="0" w:color="auto"/>
          <w:right w:val="none" w:sz="0" w:space="0" w:color="auto"/>
          <w:between w:val="none" w:sz="0" w:space="0" w:color="auto"/>
        </w:pBdr>
        <w:rPr>
          <w:rFonts w:eastAsia="MS Mincho"/>
        </w:rPr>
      </w:pPr>
    </w:p>
    <w:p w:rsidR="001F0DD3" w:rsidRDefault="001F0DD3" w:rsidP="001F0DD3">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sz w:val="20"/>
        </w:rPr>
      </w:pPr>
      <w:r w:rsidRPr="00AB2C8F">
        <w:rPr>
          <w:noProof/>
          <w:lang w:val="en-GB" w:eastAsia="en-GB"/>
        </w:rPr>
        <w:drawing>
          <wp:inline distT="0" distB="0" distL="0" distR="0">
            <wp:extent cx="5283835" cy="289433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83835" cy="2894330"/>
                    </a:xfrm>
                    <a:prstGeom prst="rect">
                      <a:avLst/>
                    </a:prstGeom>
                    <a:noFill/>
                    <a:ln>
                      <a:noFill/>
                    </a:ln>
                  </pic:spPr>
                </pic:pic>
              </a:graphicData>
            </a:graphic>
          </wp:inline>
        </w:drawing>
      </w:r>
    </w:p>
    <w:p w:rsidR="001F0DD3" w:rsidRDefault="001F0DD3" w:rsidP="001F0DD3">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sz w:val="20"/>
        </w:rPr>
      </w:pPr>
      <w:r>
        <w:rPr>
          <w:rFonts w:ascii="Arial" w:eastAsia="Arial" w:hAnsi="Arial" w:cs="Arial"/>
          <w:sz w:val="20"/>
        </w:rPr>
        <w:t>Supplementary Figure 1: Concept of modelling a dynamic system, i.e. mapping an input sequence to an output sequence, where a (hidden) dynamic state is involved.</w:t>
      </w:r>
    </w:p>
    <w:p w:rsidR="001F0DD3" w:rsidRDefault="001F0DD3" w:rsidP="001F0DD3">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sz w:val="20"/>
        </w:rPr>
      </w:pPr>
      <w:r w:rsidRPr="002638B7">
        <w:rPr>
          <w:rFonts w:ascii="Arial" w:eastAsia="Arial" w:hAnsi="Arial" w:cs="Arial"/>
          <w:noProof/>
          <w:lang w:val="en-GB" w:eastAsia="en-GB"/>
        </w:rPr>
        <w:lastRenderedPageBreak/>
        <w:drawing>
          <wp:inline distT="0" distB="0" distL="0" distR="0">
            <wp:extent cx="4126865" cy="4957445"/>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26865" cy="4957445"/>
                    </a:xfrm>
                    <a:prstGeom prst="rect">
                      <a:avLst/>
                    </a:prstGeom>
                    <a:noFill/>
                    <a:ln>
                      <a:noFill/>
                    </a:ln>
                  </pic:spPr>
                </pic:pic>
              </a:graphicData>
            </a:graphic>
          </wp:inline>
        </w:drawing>
      </w:r>
      <w:r w:rsidRPr="002638B7">
        <w:rPr>
          <w:rFonts w:ascii="Arial" w:eastAsia="Arial" w:hAnsi="Arial" w:cs="Arial"/>
          <w:noProof/>
          <w:lang w:val="en-GB" w:eastAsia="en-GB"/>
        </w:rPr>
        <w:drawing>
          <wp:inline distT="0" distB="0" distL="0" distR="0">
            <wp:extent cx="4241800" cy="21228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9">
                      <a:extLst>
                        <a:ext uri="{28A0092B-C50C-407E-A947-70E740481C1C}">
                          <a14:useLocalDpi xmlns:a14="http://schemas.microsoft.com/office/drawing/2010/main" val="0"/>
                        </a:ext>
                      </a:extLst>
                    </a:blip>
                    <a:srcRect t="31844" b="34323"/>
                    <a:stretch>
                      <a:fillRect/>
                    </a:stretch>
                  </pic:blipFill>
                  <pic:spPr bwMode="auto">
                    <a:xfrm>
                      <a:off x="0" y="0"/>
                      <a:ext cx="4241800" cy="2122805"/>
                    </a:xfrm>
                    <a:prstGeom prst="rect">
                      <a:avLst/>
                    </a:prstGeom>
                    <a:noFill/>
                    <a:ln>
                      <a:noFill/>
                    </a:ln>
                  </pic:spPr>
                </pic:pic>
              </a:graphicData>
            </a:graphic>
          </wp:inline>
        </w:drawing>
      </w:r>
    </w:p>
    <w:p w:rsidR="001F0DD3" w:rsidRPr="009060CB" w:rsidRDefault="001F0DD3" w:rsidP="001F0DD3">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sz w:val="20"/>
        </w:rPr>
      </w:pPr>
      <w:r>
        <w:rPr>
          <w:rFonts w:ascii="Arial" w:eastAsia="Arial" w:hAnsi="Arial" w:cs="Arial"/>
          <w:sz w:val="20"/>
        </w:rPr>
        <w:t>Supplementary Figure 2</w:t>
      </w:r>
      <w:r w:rsidRPr="009060CB">
        <w:rPr>
          <w:rFonts w:ascii="Arial" w:eastAsia="Arial" w:hAnsi="Arial" w:cs="Arial"/>
          <w:sz w:val="20"/>
        </w:rPr>
        <w:t xml:space="preserve">: Data-driven modelling of a </w:t>
      </w:r>
      <w:r>
        <w:rPr>
          <w:rFonts w:ascii="Arial" w:eastAsia="Arial" w:hAnsi="Arial" w:cs="Arial"/>
          <w:sz w:val="20"/>
        </w:rPr>
        <w:t xml:space="preserve">synthetic </w:t>
      </w:r>
      <w:r w:rsidRPr="009060CB">
        <w:rPr>
          <w:rFonts w:ascii="Arial" w:eastAsia="Arial" w:hAnsi="Arial" w:cs="Arial"/>
          <w:sz w:val="20"/>
        </w:rPr>
        <w:t>geoscientific time-series depicted in (a) with dynamic effects. Shown are predictor variables x</w:t>
      </w:r>
      <w:r w:rsidRPr="009060CB">
        <w:rPr>
          <w:rFonts w:ascii="Arial" w:eastAsia="Arial" w:hAnsi="Arial" w:cs="Arial"/>
          <w:sz w:val="20"/>
          <w:vertAlign w:val="subscript"/>
        </w:rPr>
        <w:t>1</w:t>
      </w:r>
      <w:r w:rsidRPr="009060CB">
        <w:rPr>
          <w:rFonts w:ascii="Arial" w:eastAsia="Arial" w:hAnsi="Arial" w:cs="Arial"/>
          <w:sz w:val="20"/>
        </w:rPr>
        <w:t>, x</w:t>
      </w:r>
      <w:r w:rsidRPr="009060CB">
        <w:rPr>
          <w:rFonts w:ascii="Arial" w:eastAsia="Arial" w:hAnsi="Arial" w:cs="Arial"/>
          <w:sz w:val="20"/>
          <w:vertAlign w:val="subscript"/>
        </w:rPr>
        <w:t>2</w:t>
      </w:r>
      <w:r w:rsidRPr="009060CB">
        <w:rPr>
          <w:rFonts w:ascii="Arial" w:eastAsia="Arial" w:hAnsi="Arial" w:cs="Arial"/>
          <w:sz w:val="20"/>
        </w:rPr>
        <w:t>, x</w:t>
      </w:r>
      <w:r w:rsidRPr="009060CB">
        <w:rPr>
          <w:rFonts w:ascii="Arial" w:eastAsia="Arial" w:hAnsi="Arial" w:cs="Arial"/>
          <w:sz w:val="20"/>
          <w:vertAlign w:val="subscript"/>
        </w:rPr>
        <w:t>3</w:t>
      </w:r>
      <w:r w:rsidRPr="009060CB">
        <w:rPr>
          <w:rFonts w:ascii="Arial" w:eastAsia="Arial" w:hAnsi="Arial" w:cs="Arial"/>
          <w:sz w:val="20"/>
        </w:rPr>
        <w:t xml:space="preserve">, the resulting time-series of the system state (“observed” and modelled with an LSTM), and the parameter </w:t>
      </w:r>
      <m:oMath>
        <m:acc>
          <m:accPr>
            <m:chr m:val="̃"/>
            <m:ctrlPr>
              <w:rPr>
                <w:rFonts w:ascii="Cambria Math" w:eastAsia="MS Mincho" w:hAnsi="Cambria Math"/>
                <w:i/>
                <w:sz w:val="20"/>
              </w:rPr>
            </m:ctrlPr>
          </m:accPr>
          <m:e>
            <m:sSub>
              <m:sSubPr>
                <m:ctrlPr>
                  <w:rPr>
                    <w:rFonts w:ascii="Cambria Math" w:eastAsia="MS Mincho" w:hAnsi="Cambria Math"/>
                    <w:i/>
                    <w:sz w:val="20"/>
                  </w:rPr>
                </m:ctrlPr>
              </m:sSubPr>
              <m:e>
                <m:r>
                  <w:rPr>
                    <w:rFonts w:ascii="Cambria Math" w:eastAsia="MS Mincho" w:hAnsi="Cambria Math"/>
                    <w:sz w:val="20"/>
                  </w:rPr>
                  <m:t>r</m:t>
                </m:r>
              </m:e>
              <m:sub>
                <m:r>
                  <w:rPr>
                    <w:rFonts w:ascii="Cambria Math" w:eastAsia="MS Mincho" w:hAnsi="Cambria Math"/>
                    <w:sz w:val="20"/>
                  </w:rPr>
                  <m:t>t</m:t>
                </m:r>
              </m:sub>
            </m:sSub>
          </m:e>
        </m:acc>
      </m:oMath>
      <w:r w:rsidRPr="009060CB">
        <w:rPr>
          <w:rFonts w:ascii="Arial" w:eastAsia="Arial" w:hAnsi="Arial" w:cs="Arial"/>
          <w:sz w:val="20"/>
        </w:rPr>
        <w:t xml:space="preserve"> of the logistic map. (b) While classical approaches including typical fea</w:t>
      </w:r>
      <w:proofErr w:type="spellStart"/>
      <w:r>
        <w:rPr>
          <w:rFonts w:ascii="Arial" w:eastAsia="Arial" w:hAnsi="Arial" w:cs="Arial"/>
          <w:sz w:val="20"/>
        </w:rPr>
        <w:t>ture</w:t>
      </w:r>
      <w:proofErr w:type="spellEnd"/>
      <w:r>
        <w:rPr>
          <w:rFonts w:ascii="Arial" w:eastAsia="Arial" w:hAnsi="Arial" w:cs="Arial"/>
          <w:sz w:val="20"/>
        </w:rPr>
        <w:t xml:space="preserve"> design </w:t>
      </w:r>
      <w:r w:rsidRPr="009060CB">
        <w:rPr>
          <w:rFonts w:ascii="Arial" w:eastAsia="Arial" w:hAnsi="Arial" w:cs="Arial"/>
          <w:sz w:val="20"/>
        </w:rPr>
        <w:t>fail to explain the dynamics (grey bars</w:t>
      </w:r>
      <w:r>
        <w:rPr>
          <w:rFonts w:ascii="Arial" w:eastAsia="Arial" w:hAnsi="Arial" w:cs="Arial"/>
          <w:sz w:val="20"/>
        </w:rPr>
        <w:t>, RF = Random Forest, ANN = feedforward ANN</w:t>
      </w:r>
      <w:r w:rsidRPr="009060CB">
        <w:rPr>
          <w:rFonts w:ascii="Arial" w:eastAsia="Arial" w:hAnsi="Arial" w:cs="Arial"/>
          <w:sz w:val="20"/>
        </w:rPr>
        <w:t>), a deep learning approach, long-short-term-memory neural network (LSTM) is able to explain almost all variance (red), without designing any features.</w:t>
      </w:r>
    </w:p>
    <w:p w:rsidR="001F0DD3" w:rsidRDefault="001F0DD3" w:rsidP="001F0DD3">
      <w:pPr>
        <w:rPr>
          <w:rFonts w:ascii="Arial" w:eastAsia="Arial" w:hAnsi="Arial" w:cs="Arial"/>
        </w:rPr>
      </w:pPr>
    </w:p>
    <w:p w:rsidR="001F0DD3" w:rsidRDefault="001F0DD3" w:rsidP="001F0DD3">
      <w:pPr>
        <w:rPr>
          <w:rFonts w:ascii="Arial" w:eastAsia="Arial" w:hAnsi="Arial" w:cs="Arial"/>
        </w:rPr>
      </w:pPr>
      <w:r w:rsidRPr="00AB2C8F">
        <w:rPr>
          <w:noProof/>
          <w:lang w:val="en-GB" w:eastAsia="en-GB"/>
        </w:rPr>
        <w:drawing>
          <wp:inline distT="0" distB="0" distL="0" distR="0">
            <wp:extent cx="5943600" cy="33235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323590"/>
                    </a:xfrm>
                    <a:prstGeom prst="rect">
                      <a:avLst/>
                    </a:prstGeom>
                    <a:noFill/>
                    <a:ln>
                      <a:noFill/>
                    </a:ln>
                  </pic:spPr>
                </pic:pic>
              </a:graphicData>
            </a:graphic>
          </wp:inline>
        </w:drawing>
      </w:r>
    </w:p>
    <w:p w:rsidR="001F0DD3" w:rsidRDefault="001F0DD3" w:rsidP="001F0DD3">
      <w:pPr>
        <w:rPr>
          <w:rFonts w:ascii="Arial" w:eastAsia="Arial" w:hAnsi="Arial" w:cs="Arial"/>
        </w:rPr>
      </w:pPr>
      <w:r>
        <w:rPr>
          <w:rFonts w:ascii="Arial" w:eastAsia="Arial" w:hAnsi="Arial" w:cs="Arial"/>
        </w:rPr>
        <w:t xml:space="preserve">Supplementary Figure 3: Cycle of hypothesis generation and testing in complex systems involving process-based models and extraction of patterns from observations. Such patterns are only a surprise, and constitute </w:t>
      </w:r>
      <w:proofErr w:type="gramStart"/>
      <w:r>
        <w:rPr>
          <w:rFonts w:ascii="Arial" w:eastAsia="Arial" w:hAnsi="Arial" w:cs="Arial"/>
        </w:rPr>
        <w:t>an</w:t>
      </w:r>
      <w:proofErr w:type="gramEnd"/>
      <w:r>
        <w:rPr>
          <w:rFonts w:ascii="Arial" w:eastAsia="Arial" w:hAnsi="Arial" w:cs="Arial"/>
        </w:rPr>
        <w:t xml:space="preserve"> puzzle, if state-of-the-art theory and models do not predict them. Machine learning allows </w:t>
      </w:r>
      <w:proofErr w:type="gramStart"/>
      <w:r>
        <w:rPr>
          <w:rFonts w:ascii="Arial" w:eastAsia="Arial" w:hAnsi="Arial" w:cs="Arial"/>
        </w:rPr>
        <w:t>to extract</w:t>
      </w:r>
      <w:proofErr w:type="gramEnd"/>
      <w:r>
        <w:rPr>
          <w:rFonts w:ascii="Arial" w:eastAsia="Arial" w:hAnsi="Arial" w:cs="Arial"/>
        </w:rPr>
        <w:t xml:space="preserve"> hidden and complex patterns, which should be confronted with modelled patterns.</w:t>
      </w:r>
    </w:p>
    <w:p w:rsidR="00C14E2D" w:rsidRDefault="00C14E2D" w:rsidP="001F0DD3">
      <w:pPr>
        <w:rPr>
          <w:b/>
          <w:sz w:val="28"/>
        </w:rPr>
      </w:pPr>
    </w:p>
    <w:p w:rsidR="00C14E2D" w:rsidRDefault="00C14E2D" w:rsidP="001F0DD3">
      <w:pPr>
        <w:rPr>
          <w:b/>
          <w:sz w:val="28"/>
        </w:rPr>
      </w:pPr>
      <w:r>
        <w:rPr>
          <w:b/>
          <w:sz w:val="28"/>
        </w:rPr>
        <w:t>References</w:t>
      </w:r>
    </w:p>
    <w:p w:rsidR="00C14E2D" w:rsidRPr="00C14E2D" w:rsidRDefault="00C14E2D" w:rsidP="00C14E2D">
      <w:pPr>
        <w:pStyle w:val="EndNoteBibliography"/>
        <w:spacing w:after="0"/>
        <w:ind w:left="720" w:hanging="720"/>
      </w:pPr>
      <w:r>
        <w:rPr>
          <w:b/>
          <w:sz w:val="28"/>
        </w:rPr>
        <w:fldChar w:fldCharType="begin"/>
      </w:r>
      <w:r>
        <w:rPr>
          <w:b/>
          <w:sz w:val="28"/>
        </w:rPr>
        <w:instrText xml:space="preserve"> ADDIN EN.REFLIST </w:instrText>
      </w:r>
      <w:r>
        <w:rPr>
          <w:b/>
          <w:sz w:val="28"/>
        </w:rPr>
        <w:fldChar w:fldCharType="separate"/>
      </w:r>
      <w:r w:rsidRPr="00C14E2D">
        <w:t>1</w:t>
      </w:r>
      <w:r w:rsidRPr="00C14E2D">
        <w:tab/>
        <w:t xml:space="preserve">May, R. M. Simple mathematical models with very complicated dynamics. </w:t>
      </w:r>
      <w:r w:rsidRPr="00C14E2D">
        <w:rPr>
          <w:i/>
        </w:rPr>
        <w:t>Nature</w:t>
      </w:r>
      <w:r w:rsidRPr="00C14E2D">
        <w:t xml:space="preserve"> </w:t>
      </w:r>
      <w:r w:rsidRPr="00C14E2D">
        <w:rPr>
          <w:b/>
        </w:rPr>
        <w:t>261</w:t>
      </w:r>
      <w:r w:rsidRPr="00C14E2D">
        <w:t>, 459-467 (1976).</w:t>
      </w:r>
    </w:p>
    <w:p w:rsidR="00C14E2D" w:rsidRPr="00C14E2D" w:rsidRDefault="00C14E2D" w:rsidP="00C14E2D">
      <w:pPr>
        <w:pStyle w:val="EndNoteBibliography"/>
        <w:spacing w:after="0"/>
        <w:ind w:left="720" w:hanging="720"/>
      </w:pPr>
      <w:r w:rsidRPr="00C14E2D">
        <w:t>2</w:t>
      </w:r>
      <w:r w:rsidRPr="00C14E2D">
        <w:tab/>
        <w:t xml:space="preserve">Siegelmann, H. T. &amp; Sontag, E. D. On the computational power of neural nets. </w:t>
      </w:r>
      <w:r w:rsidRPr="00C14E2D">
        <w:rPr>
          <w:i/>
        </w:rPr>
        <w:t>Journal of computer and system sciences</w:t>
      </w:r>
      <w:r w:rsidRPr="00C14E2D">
        <w:t xml:space="preserve"> </w:t>
      </w:r>
      <w:r w:rsidRPr="00C14E2D">
        <w:rPr>
          <w:b/>
        </w:rPr>
        <w:t>50</w:t>
      </w:r>
      <w:r w:rsidRPr="00C14E2D">
        <w:t>, 132-150 (1995).</w:t>
      </w:r>
    </w:p>
    <w:p w:rsidR="00C14E2D" w:rsidRPr="00C14E2D" w:rsidRDefault="00C14E2D" w:rsidP="00C14E2D">
      <w:pPr>
        <w:pStyle w:val="EndNoteBibliography"/>
        <w:spacing w:after="0"/>
        <w:ind w:left="720" w:hanging="720"/>
      </w:pPr>
      <w:r w:rsidRPr="00C14E2D">
        <w:t>3</w:t>
      </w:r>
      <w:r w:rsidRPr="00C14E2D">
        <w:tab/>
        <w:t xml:space="preserve">Hochreiter, S. &amp; Schmidhuber, J. Long short-term memory. </w:t>
      </w:r>
      <w:r w:rsidRPr="00C14E2D">
        <w:rPr>
          <w:i/>
        </w:rPr>
        <w:t>Neural computation</w:t>
      </w:r>
      <w:r w:rsidRPr="00C14E2D">
        <w:t xml:space="preserve"> </w:t>
      </w:r>
      <w:r w:rsidRPr="00C14E2D">
        <w:rPr>
          <w:b/>
        </w:rPr>
        <w:t>9</w:t>
      </w:r>
      <w:r w:rsidRPr="00C14E2D">
        <w:t>, 1735-1780 (1997).</w:t>
      </w:r>
    </w:p>
    <w:p w:rsidR="00C14E2D" w:rsidRPr="00C14E2D" w:rsidRDefault="00C14E2D" w:rsidP="00C14E2D">
      <w:pPr>
        <w:pStyle w:val="EndNoteBibliography"/>
        <w:ind w:left="720" w:hanging="720"/>
      </w:pPr>
      <w:r w:rsidRPr="00C14E2D">
        <w:t>4</w:t>
      </w:r>
      <w:r w:rsidRPr="00C14E2D">
        <w:tab/>
        <w:t xml:space="preserve">Schmidhuber, J. Deep learning in neural networks: An overview. </w:t>
      </w:r>
      <w:r w:rsidRPr="00C14E2D">
        <w:rPr>
          <w:i/>
        </w:rPr>
        <w:t>Neural networks</w:t>
      </w:r>
      <w:r w:rsidRPr="00C14E2D">
        <w:t xml:space="preserve"> </w:t>
      </w:r>
      <w:r w:rsidRPr="00C14E2D">
        <w:rPr>
          <w:b/>
        </w:rPr>
        <w:t>61</w:t>
      </w:r>
      <w:r w:rsidRPr="00C14E2D">
        <w:t>, 85-117 (2015).</w:t>
      </w:r>
    </w:p>
    <w:p w:rsidR="001F0DD3" w:rsidRDefault="00C14E2D" w:rsidP="001F0DD3">
      <w:pPr>
        <w:rPr>
          <w:b/>
          <w:sz w:val="28"/>
        </w:rPr>
      </w:pPr>
      <w:r>
        <w:rPr>
          <w:b/>
          <w:sz w:val="28"/>
        </w:rPr>
        <w:fldChar w:fldCharType="end"/>
      </w:r>
    </w:p>
    <w:sectPr w:rsidR="001F0DD3" w:rsidSect="009060CB">
      <w:headerReference w:type="default" r:id="rId11"/>
      <w:footerReference w:type="default" r:id="rId12"/>
      <w:pgSz w:w="12240" w:h="15840"/>
      <w:pgMar w:top="1440" w:right="1440" w:bottom="1440" w:left="1440" w:header="360" w:footer="720" w:gutter="0"/>
      <w:lnNumType w:countBy="1" w:restart="continuous"/>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659D" w:rsidRDefault="00EC659D">
      <w:pPr>
        <w:spacing w:after="0" w:line="240" w:lineRule="auto"/>
      </w:pPr>
      <w:r>
        <w:separator/>
      </w:r>
    </w:p>
  </w:endnote>
  <w:endnote w:type="continuationSeparator" w:id="0">
    <w:p w:rsidR="00EC659D" w:rsidRDefault="00EC6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iberation Serif">
    <w:altName w:val="Times New Roman"/>
    <w:charset w:val="01"/>
    <w:family w:val="swiss"/>
    <w:pitch w:val="variable"/>
  </w:font>
  <w:font w:name="Droid Sans Fallback">
    <w:charset w:val="00"/>
    <w:family w:val="auto"/>
    <w:pitch w:val="variable"/>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E98" w:rsidRDefault="001F0DD3">
    <w:pPr>
      <w:tabs>
        <w:tab w:val="center" w:pos="4680"/>
        <w:tab w:val="right" w:pos="9360"/>
      </w:tabs>
      <w:spacing w:after="0" w:line="240" w:lineRule="auto"/>
      <w:jc w:val="center"/>
    </w:pPr>
    <w:r>
      <w:fldChar w:fldCharType="begin"/>
    </w:r>
    <w:r>
      <w:instrText>PAGE</w:instrText>
    </w:r>
    <w:r>
      <w:fldChar w:fldCharType="separate"/>
    </w:r>
    <w:r w:rsidR="00FA0039">
      <w:rPr>
        <w:noProof/>
      </w:rPr>
      <w:t>1</w:t>
    </w:r>
    <w:r>
      <w:fldChar w:fldCharType="end"/>
    </w:r>
  </w:p>
  <w:p w:rsidR="009A1E98" w:rsidRDefault="00FA0039">
    <w:pPr>
      <w:tabs>
        <w:tab w:val="center" w:pos="4680"/>
        <w:tab w:val="right" w:pos="9360"/>
      </w:tabs>
      <w:spacing w:after="720"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659D" w:rsidRDefault="00EC659D">
      <w:pPr>
        <w:spacing w:after="0" w:line="240" w:lineRule="auto"/>
      </w:pPr>
      <w:r>
        <w:separator/>
      </w:r>
    </w:p>
  </w:footnote>
  <w:footnote w:type="continuationSeparator" w:id="0">
    <w:p w:rsidR="00EC659D" w:rsidRDefault="00EC65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E98" w:rsidRDefault="001F0DD3">
    <w:pPr>
      <w:tabs>
        <w:tab w:val="center" w:pos="4680"/>
        <w:tab w:val="right" w:pos="9360"/>
      </w:tabs>
      <w:spacing w:before="720" w:after="0" w:line="240" w:lineRule="auto"/>
      <w:rPr>
        <w:i/>
      </w:rPr>
    </w:pPr>
    <w:r>
      <w:rPr>
        <w:i/>
      </w:rPr>
      <w:t>Reichstein et al., Deep learning and process-understanding for data-driven Earth System science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Nature_edit&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92fvtd55dpwa0eserrpwvt7trpd9vapxsfd&quot;&gt;MRnew-Converted&lt;record-ids&gt;&lt;item&gt;9226&lt;/item&gt;&lt;item&gt;9293&lt;/item&gt;&lt;item&gt;9294&lt;/item&gt;&lt;item&gt;9295&lt;/item&gt;&lt;/record-ids&gt;&lt;/item&gt;&lt;/Libraries&gt;"/>
  </w:docVars>
  <w:rsids>
    <w:rsidRoot w:val="001F0DD3"/>
    <w:rsid w:val="001F0DD3"/>
    <w:rsid w:val="0033089F"/>
    <w:rsid w:val="00862FF8"/>
    <w:rsid w:val="00C14E2D"/>
    <w:rsid w:val="00E31B94"/>
    <w:rsid w:val="00EC659D"/>
    <w:rsid w:val="00FA00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F0DD3"/>
    <w:pPr>
      <w:pBdr>
        <w:top w:val="nil"/>
        <w:left w:val="nil"/>
        <w:bottom w:val="nil"/>
        <w:right w:val="nil"/>
        <w:between w:val="nil"/>
      </w:pBdr>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rongEmphasis">
    <w:name w:val="Strong Emphasis"/>
    <w:qFormat/>
    <w:rsid w:val="001F0DD3"/>
    <w:rPr>
      <w:b/>
      <w:bCs/>
    </w:rPr>
  </w:style>
  <w:style w:type="character" w:customStyle="1" w:styleId="InternetLink">
    <w:name w:val="Internet Link"/>
    <w:rsid w:val="001F0DD3"/>
    <w:rPr>
      <w:color w:val="000080"/>
      <w:u w:val="single"/>
    </w:rPr>
  </w:style>
  <w:style w:type="paragraph" w:customStyle="1" w:styleId="Standard">
    <w:name w:val="Standard"/>
    <w:qFormat/>
    <w:rsid w:val="001F0DD3"/>
    <w:pPr>
      <w:spacing w:after="0" w:line="240" w:lineRule="auto"/>
    </w:pPr>
    <w:rPr>
      <w:rFonts w:ascii="Liberation Serif" w:eastAsia="Droid Sans Fallback" w:hAnsi="Liberation Serif" w:cs="FreeSans"/>
      <w:kern w:val="2"/>
      <w:sz w:val="24"/>
      <w:szCs w:val="24"/>
      <w:lang w:eastAsia="zh-CN" w:bidi="hi-IN"/>
    </w:rPr>
  </w:style>
  <w:style w:type="paragraph" w:customStyle="1" w:styleId="Textbody">
    <w:name w:val="Text body"/>
    <w:basedOn w:val="Standard"/>
    <w:qFormat/>
    <w:rsid w:val="001F0DD3"/>
    <w:pPr>
      <w:spacing w:after="140" w:line="288" w:lineRule="auto"/>
    </w:pPr>
  </w:style>
  <w:style w:type="paragraph" w:customStyle="1" w:styleId="TableContents">
    <w:name w:val="Table Contents"/>
    <w:basedOn w:val="Standard"/>
    <w:qFormat/>
    <w:rsid w:val="001F0DD3"/>
    <w:pPr>
      <w:suppressLineNumbers/>
    </w:pPr>
  </w:style>
  <w:style w:type="paragraph" w:customStyle="1" w:styleId="Cuerpodetexto">
    <w:name w:val="Cuerpo de texto"/>
    <w:basedOn w:val="Standard"/>
    <w:qFormat/>
    <w:rsid w:val="001F0DD3"/>
    <w:pPr>
      <w:spacing w:after="140" w:line="288" w:lineRule="auto"/>
    </w:pPr>
    <w:rPr>
      <w:rFonts w:ascii="Times New Roman" w:eastAsia="Times New Roman" w:hAnsi="Times New Roman" w:cs="Times New Roman"/>
    </w:rPr>
  </w:style>
  <w:style w:type="character" w:styleId="LineNumber">
    <w:name w:val="line number"/>
    <w:basedOn w:val="DefaultParagraphFont"/>
    <w:uiPriority w:val="99"/>
    <w:semiHidden/>
    <w:unhideWhenUsed/>
    <w:rsid w:val="001F0DD3"/>
  </w:style>
  <w:style w:type="paragraph" w:customStyle="1" w:styleId="EndNoteBibliographyTitle">
    <w:name w:val="EndNote Bibliography Title"/>
    <w:basedOn w:val="Normal"/>
    <w:link w:val="EndNoteBibliographyTitleChar"/>
    <w:rsid w:val="00C14E2D"/>
    <w:pPr>
      <w:spacing w:after="0"/>
      <w:jc w:val="center"/>
    </w:pPr>
    <w:rPr>
      <w:noProof/>
    </w:rPr>
  </w:style>
  <w:style w:type="character" w:customStyle="1" w:styleId="EndNoteBibliographyTitleChar">
    <w:name w:val="EndNote Bibliography Title Char"/>
    <w:basedOn w:val="DefaultParagraphFont"/>
    <w:link w:val="EndNoteBibliographyTitle"/>
    <w:rsid w:val="00C14E2D"/>
    <w:rPr>
      <w:rFonts w:ascii="Calibri" w:eastAsia="Calibri" w:hAnsi="Calibri" w:cs="Calibri"/>
      <w:noProof/>
      <w:color w:val="000000"/>
    </w:rPr>
  </w:style>
  <w:style w:type="paragraph" w:customStyle="1" w:styleId="EndNoteBibliography">
    <w:name w:val="EndNote Bibliography"/>
    <w:basedOn w:val="Normal"/>
    <w:link w:val="EndNoteBibliographyChar"/>
    <w:rsid w:val="00C14E2D"/>
    <w:pPr>
      <w:spacing w:line="240" w:lineRule="auto"/>
    </w:pPr>
    <w:rPr>
      <w:noProof/>
    </w:rPr>
  </w:style>
  <w:style w:type="character" w:customStyle="1" w:styleId="EndNoteBibliographyChar">
    <w:name w:val="EndNote Bibliography Char"/>
    <w:basedOn w:val="DefaultParagraphFont"/>
    <w:link w:val="EndNoteBibliography"/>
    <w:rsid w:val="00C14E2D"/>
    <w:rPr>
      <w:rFonts w:ascii="Calibri" w:eastAsia="Calibri" w:hAnsi="Calibri" w:cs="Calibri"/>
      <w:noProof/>
      <w:color w:val="000000"/>
    </w:rPr>
  </w:style>
  <w:style w:type="paragraph" w:styleId="BalloonText">
    <w:name w:val="Balloon Text"/>
    <w:basedOn w:val="Normal"/>
    <w:link w:val="BalloonTextChar"/>
    <w:uiPriority w:val="99"/>
    <w:semiHidden/>
    <w:unhideWhenUsed/>
    <w:rsid w:val="00FA00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0039"/>
    <w:rPr>
      <w:rFonts w:ascii="Tahoma" w:eastAsia="Calibri"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F0DD3"/>
    <w:pPr>
      <w:pBdr>
        <w:top w:val="nil"/>
        <w:left w:val="nil"/>
        <w:bottom w:val="nil"/>
        <w:right w:val="nil"/>
        <w:between w:val="nil"/>
      </w:pBdr>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rongEmphasis">
    <w:name w:val="Strong Emphasis"/>
    <w:qFormat/>
    <w:rsid w:val="001F0DD3"/>
    <w:rPr>
      <w:b/>
      <w:bCs/>
    </w:rPr>
  </w:style>
  <w:style w:type="character" w:customStyle="1" w:styleId="InternetLink">
    <w:name w:val="Internet Link"/>
    <w:rsid w:val="001F0DD3"/>
    <w:rPr>
      <w:color w:val="000080"/>
      <w:u w:val="single"/>
    </w:rPr>
  </w:style>
  <w:style w:type="paragraph" w:customStyle="1" w:styleId="Standard">
    <w:name w:val="Standard"/>
    <w:qFormat/>
    <w:rsid w:val="001F0DD3"/>
    <w:pPr>
      <w:spacing w:after="0" w:line="240" w:lineRule="auto"/>
    </w:pPr>
    <w:rPr>
      <w:rFonts w:ascii="Liberation Serif" w:eastAsia="Droid Sans Fallback" w:hAnsi="Liberation Serif" w:cs="FreeSans"/>
      <w:kern w:val="2"/>
      <w:sz w:val="24"/>
      <w:szCs w:val="24"/>
      <w:lang w:eastAsia="zh-CN" w:bidi="hi-IN"/>
    </w:rPr>
  </w:style>
  <w:style w:type="paragraph" w:customStyle="1" w:styleId="Textbody">
    <w:name w:val="Text body"/>
    <w:basedOn w:val="Standard"/>
    <w:qFormat/>
    <w:rsid w:val="001F0DD3"/>
    <w:pPr>
      <w:spacing w:after="140" w:line="288" w:lineRule="auto"/>
    </w:pPr>
  </w:style>
  <w:style w:type="paragraph" w:customStyle="1" w:styleId="TableContents">
    <w:name w:val="Table Contents"/>
    <w:basedOn w:val="Standard"/>
    <w:qFormat/>
    <w:rsid w:val="001F0DD3"/>
    <w:pPr>
      <w:suppressLineNumbers/>
    </w:pPr>
  </w:style>
  <w:style w:type="paragraph" w:customStyle="1" w:styleId="Cuerpodetexto">
    <w:name w:val="Cuerpo de texto"/>
    <w:basedOn w:val="Standard"/>
    <w:qFormat/>
    <w:rsid w:val="001F0DD3"/>
    <w:pPr>
      <w:spacing w:after="140" w:line="288" w:lineRule="auto"/>
    </w:pPr>
    <w:rPr>
      <w:rFonts w:ascii="Times New Roman" w:eastAsia="Times New Roman" w:hAnsi="Times New Roman" w:cs="Times New Roman"/>
    </w:rPr>
  </w:style>
  <w:style w:type="character" w:styleId="LineNumber">
    <w:name w:val="line number"/>
    <w:basedOn w:val="DefaultParagraphFont"/>
    <w:uiPriority w:val="99"/>
    <w:semiHidden/>
    <w:unhideWhenUsed/>
    <w:rsid w:val="001F0DD3"/>
  </w:style>
  <w:style w:type="paragraph" w:customStyle="1" w:styleId="EndNoteBibliographyTitle">
    <w:name w:val="EndNote Bibliography Title"/>
    <w:basedOn w:val="Normal"/>
    <w:link w:val="EndNoteBibliographyTitleChar"/>
    <w:rsid w:val="00C14E2D"/>
    <w:pPr>
      <w:spacing w:after="0"/>
      <w:jc w:val="center"/>
    </w:pPr>
    <w:rPr>
      <w:noProof/>
    </w:rPr>
  </w:style>
  <w:style w:type="character" w:customStyle="1" w:styleId="EndNoteBibliographyTitleChar">
    <w:name w:val="EndNote Bibliography Title Char"/>
    <w:basedOn w:val="DefaultParagraphFont"/>
    <w:link w:val="EndNoteBibliographyTitle"/>
    <w:rsid w:val="00C14E2D"/>
    <w:rPr>
      <w:rFonts w:ascii="Calibri" w:eastAsia="Calibri" w:hAnsi="Calibri" w:cs="Calibri"/>
      <w:noProof/>
      <w:color w:val="000000"/>
    </w:rPr>
  </w:style>
  <w:style w:type="paragraph" w:customStyle="1" w:styleId="EndNoteBibliography">
    <w:name w:val="EndNote Bibliography"/>
    <w:basedOn w:val="Normal"/>
    <w:link w:val="EndNoteBibliographyChar"/>
    <w:rsid w:val="00C14E2D"/>
    <w:pPr>
      <w:spacing w:line="240" w:lineRule="auto"/>
    </w:pPr>
    <w:rPr>
      <w:noProof/>
    </w:rPr>
  </w:style>
  <w:style w:type="character" w:customStyle="1" w:styleId="EndNoteBibliographyChar">
    <w:name w:val="EndNote Bibliography Char"/>
    <w:basedOn w:val="DefaultParagraphFont"/>
    <w:link w:val="EndNoteBibliography"/>
    <w:rsid w:val="00C14E2D"/>
    <w:rPr>
      <w:rFonts w:ascii="Calibri" w:eastAsia="Calibri" w:hAnsi="Calibri" w:cs="Calibri"/>
      <w:noProof/>
      <w:color w:val="000000"/>
    </w:rPr>
  </w:style>
  <w:style w:type="paragraph" w:styleId="BalloonText">
    <w:name w:val="Balloon Text"/>
    <w:basedOn w:val="Normal"/>
    <w:link w:val="BalloonTextChar"/>
    <w:uiPriority w:val="99"/>
    <w:semiHidden/>
    <w:unhideWhenUsed/>
    <w:rsid w:val="00FA00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0039"/>
    <w:rPr>
      <w:rFonts w:ascii="Tahoma" w:eastAsia="Calibr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1163</Words>
  <Characters>6630</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7778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 Reichstein</dc:creator>
  <cp:lastModifiedBy>Rouki, Chariklia</cp:lastModifiedBy>
  <cp:revision>2</cp:revision>
  <dcterms:created xsi:type="dcterms:W3CDTF">2019-01-31T09:03:00Z</dcterms:created>
  <dcterms:modified xsi:type="dcterms:W3CDTF">2019-01-31T09:03:00Z</dcterms:modified>
</cp:coreProperties>
</file>