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EE" w:rsidRPr="002C36CA" w:rsidRDefault="001638EE" w:rsidP="001638EE">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u w:val="single"/>
        </w:rPr>
      </w:pPr>
      <w:bookmarkStart w:id="0" w:name="_GoBack"/>
      <w:bookmarkEnd w:id="0"/>
      <w:r>
        <w:rPr>
          <w:rFonts w:ascii="Times New Roman" w:hAnsi="Times New Roman" w:cs="Times New Roman"/>
          <w:b/>
          <w:bCs/>
          <w:sz w:val="24"/>
          <w:szCs w:val="24"/>
          <w:u w:val="single"/>
        </w:rPr>
        <w:t>Supplementary Notes</w:t>
      </w:r>
    </w:p>
    <w:p w:rsidR="001638EE" w:rsidRPr="00103E11" w:rsidRDefault="001638EE" w:rsidP="001638EE">
      <w:pPr>
        <w:spacing w:after="160" w:line="259" w:lineRule="auto"/>
        <w:rPr>
          <w:rFonts w:asciiTheme="majorBidi" w:hAnsiTheme="majorBidi" w:cstheme="majorBidi"/>
          <w:b/>
          <w:bCs/>
          <w:color w:val="auto"/>
          <w:sz w:val="24"/>
          <w:szCs w:val="24"/>
        </w:rPr>
      </w:pPr>
      <w:r w:rsidRPr="00103E11">
        <w:rPr>
          <w:rFonts w:asciiTheme="majorBidi" w:hAnsiTheme="majorBidi" w:cstheme="majorBidi"/>
          <w:b/>
          <w:bCs/>
          <w:color w:val="auto"/>
          <w:sz w:val="24"/>
          <w:szCs w:val="24"/>
        </w:rPr>
        <w:t>Supplementary Note 1: Aneuploidy in cancer</w:t>
      </w:r>
    </w:p>
    <w:p w:rsidR="001638EE" w:rsidRDefault="001638EE" w:rsidP="001638EE">
      <w:pPr>
        <w:spacing w:after="160"/>
        <w:jc w:val="both"/>
        <w:rPr>
          <w:rFonts w:asciiTheme="majorBidi" w:hAnsiTheme="majorBidi" w:cstheme="majorBidi"/>
          <w:color w:val="222222"/>
          <w:sz w:val="24"/>
          <w:szCs w:val="24"/>
          <w:shd w:val="clear" w:color="auto" w:fill="FFFFFF"/>
        </w:rPr>
      </w:pPr>
      <w:r w:rsidRPr="0035030F">
        <w:rPr>
          <w:rFonts w:asciiTheme="majorBidi" w:hAnsiTheme="majorBidi" w:cstheme="majorBidi"/>
          <w:sz w:val="24"/>
          <w:szCs w:val="24"/>
        </w:rPr>
        <w:t>~90% of the solid tumors and ~75% of the hematologic malignancies are aneuploid</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{"citationItems":[{"id":"ITEM-1","itemData":{"DOI":"10.1016/j.ccr.2008.11.011","ISSN":"15356108","abstract":"Aneuploidy, an abnormal chromosome number, is a frequent characteristic of malignant cells, leading to the suggestion that aneuploidy drives tumorigenesis. In a recent issue of Science, Williams et al. identified a paradoxical relationship between aneuploidy and its linkage to tumorigenesis: chromosome gains in nontransformed cells are antiproliferative, despite frequently occurring in human tumors. © 2008 Elsevier Inc. All rights reserved.","author":[{"dropping-particle":"","family":"Weaver","given":"Beth A.","non-dropping-particle":"","parse-names":false,"suffix":""},{"dropping-particle":"","family":"Cleveland","given":"Don W.","non-dropping-particle":"","parse-names":false,"suffix":""}],"container-title":"Cancer Cell","id":"ITEM-1","issued":{"date-parts":[["2008"]]},"title":"The Aneuploidy Paradox in Cell Growth and Tumorigenesis","type":"article"},"uris":["http://www.mendeley.com/documents/?uuid=50ed1712-91d9-4cad-b896-ec7a4566ca99"]}],"mendeley":{"formattedCitation":"&lt;sup&gt;76&lt;/sup&gt;","plainTextFormattedCitation":"76","previouslyFormattedCitation":"&lt;sup&gt;77&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76</w:t>
      </w:r>
      <w:r>
        <w:rPr>
          <w:rFonts w:asciiTheme="majorBidi" w:hAnsiTheme="majorBidi" w:cstheme="majorBidi"/>
          <w:sz w:val="24"/>
          <w:szCs w:val="24"/>
        </w:rPr>
        <w:fldChar w:fldCharType="end"/>
      </w:r>
      <w:r w:rsidRPr="0035030F">
        <w:rPr>
          <w:rFonts w:asciiTheme="majorBidi" w:hAnsiTheme="majorBidi" w:cstheme="majorBidi"/>
          <w:sz w:val="24"/>
          <w:szCs w:val="24"/>
        </w:rPr>
        <w:t>, and &gt;25% of the tumor genome is affected, on average, by aneuploidy</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{"citationItems":[{"id":"ITEM-1","itemData":{"DOI":"10.1038/ng.2760","ISBN":"1546-1718 (Electronic)\r1061-4036 (Linking)","PMID":"24071852","abstract":"Determining how somatic copy number alterations (SCNAs) promote cancer is an important goal. We characterized SCNA patterns in 4,934 cancers from The Cancer Genome Atlas Pan-Cancer data set. Whole-genome doubling, observed in 37% of cancers, was associated with higher rates of every other type of SCNA, TP53 mutations, CCNE1 amplifications and alterations of the PPP2R complex. SCNAs that were internal to chromosomes tended to be shorter than telomere-bounded SCNAs, suggesting different mechanisms underlying their generation. Significantly recurrent focal SCNAs were observed in 140 regions, including 102 without known oncogene or tumor suppressor gene targets and 50 with significantly mutated genes. Amplified regions without known oncogenes were enriched for genes involved in epigenetic regulation. When levels of genomic disruption were accounted for, 7% of region pairs were anticorrelated, and these regions tended to encompass genes whose proteins physically interact, suggesting related functions. These results provide insights into mechanisms of generation and functional consequences of cancer-related SCNAs.","author":[{"dropping-particle":"","family":"Zack","given":"T I","non-dropping-particle":"","parse-names":false,"suffix":""},{"dropping-particle":"","family":"Schumacher","given":"S E","non-dropping-particle":"","parse-names":false,"suffix":""},{"dropping-particle":"","family":"Carter","given":"S L","non-dropping-particle":"","parse-names":false,"suffix":""},{"dropping-particle":"","family":"Cherniack","given":"A D","non-dropping-particle":"","parse-names":false,"suffix":""},{"dropping-particle":"","family":"Saksena","given":"G","non-dropping-particle":"","parse-names":false,"suffix":""},{"dropping-particle":"","family":"Tabak","given":"B","non-dropping-particle":"","parse-names":false,"suffix":""},{"dropping-particle":"","family":"Lawrence","given":"M S","non-dropping-particle":"","parse-names":false,"suffix":""},{"dropping-particle":"","family":"Zhsng","given":"C Z","non-dropping-particle":"","parse-names":false,"suffix":""},{"dropping-particle":"","family":"Wala","given":"J","non-dropping-particle":"","parse-names":false,"suffix":""},{"dropping-particle":"","family":"Mermel","given":"C H","non-dropping-particle":"","parse-names":false,"suffix":""},{"dropping-particle":"","family":"Sougnez","given":"C","non-dropping-particle":"","parse-names":false,"suffix":""},{"dropping-particle":"","family":"Gabriel","given":"S B","non-dropping-particle":"","parse-names":false,"suffix":""},{"dropping-particle":"","family":"Hernandez","given":"B","non-dropping-particle":"","parse-names":false,"suffix":""},{"dropping-particle":"","family":"Shen","given":"H","non-dropping-particle":"","parse-names":false,"suffix":""},{"dropping-particle":"","family":"Laird","given":"P W","non-dropping-particle":"","parse-names":false,"suffix":""},{"dropping-particle":"","family":"Getz","given":"G","non-dropping-particle":"","parse-names":false,"suffix":""},{"dropping-particle":"","family":"Meyerson","given":"M","non-dropping-particle":"","parse-names":false,"suffix":""},{"dropping-particle":"","family":"Beroukhim","given":"R","non-dropping-particle":"","parse-names":false,"suffix":""}],"container-title":"Nat Genet","id":"ITEM-1","issue":"10","issued":{"date-parts":[["2013"]]},"note":"Zack, Travis I\nSchumacher, Stephen E\nCarter, Scott L\nCherniack, Andre D\nSaksena, Gordon\nTabak, Barbara\nLawrence, Michael S\nZhsng, Cheng-Zhong\nWala, Jeremiah\nMermel, Craig H\nSougnez, Carrie\nGabriel, Stacey B\nHernandez, Bryan\nShen, Hui\nLaird, Peter W\nGetz, Gad\nMeyerson, Matthew\nBeroukhim, Rameen\neng\nU24 CA143882/CA/NCI NIH HHS/\nU54 CA143798/CA/NCI NIH HHS/\nU54 HG003067/HG/NHGRI NIH HHS/\nU24CA143882/CA/NCI NIH HHS/\nU54HG003067/HG/NHGRI NIH HHS/\nU24 CA143845/CA/NCI NIH HHS/\nT32 HG002295/HG/NHGRI NIH HHS/\nT32 GM007753/GM/NIGMS NIH HHS/\nU24CA143867/CA/NCI NIH HHS/\nU24CA143845/CA/NCI NIH HHS/\nU24 CA143867/CA/NCI NIH HHS/\nU54CA143798/CA/NCI NIH HHS/\nResearch Support, N.I.H., Extramural\nResearch Support, Non-U.S. Gov't\n2013/09/28 06:00\nNat Genet. 2013 Oct;45(10):1134-40. doi: 10.1038/ng.2760.","page":"1134-1140","title":"Pan-cancer patterns of somatic copy number alteration","type":"article-journal","volume":"45"},"uris":["http://www.mendeley.com/documents/?uuid=96411f7e-55ad-4d00-a43a-895350c0b32a"]},{"id":"ITEM-2","itemData":{"DOI":"10.1016/j.ccell.2018.03.007","ISBN":"1878-3686 (Electronic)\r1535-6108 (Linking)","PMID":"29622463","abstract":"Aneuploidy, whole chromosome or chromosome arm imbalance, is a near-universal characteristic of human cancers. In 10,522 cancer genomes from The Cancer Genome Atlas, aneuploidy was correlated with TP53 mutation, somatic mutation rate, and expression of proliferation genes. Aneuploidy was anti-correlated with expression of immune signaling genes, due to decreased leukocyte infiltrates in high-aneuploidy samples. Chromosome arm-level alterations show cancer-specific patterns, including loss of chromosome arm 3p in squamous cancers. We applied genome engineering to delete 3p in lung cells, causing decreased proliferation rescued in part by chromosome 3 duplication. This study defines genomic and phenotypic correlates of cancer aneuploidy and provides an experimental approach to study chromosome arm aneuploidy.","author":[{"dropping-particle":"","family":"Taylor","given":"A M","non-dropping-particle":"","parse-names":false,"suffix":""},{"dropping-particle":"","family":"Shih","given":"J","non-dropping-particle":"","parse-names":false,"suffix":""},{"dropping-particle":"","family":"Ha","given":"G","non-dropping-particle":"","parse-names":false,"suffix":""},{"dropping-particle":"","family":"Gao","given":"G F","non-dropping-particle":"","parse-names":false,"suffix":""},{"dropping-particle":"","family":"Zhang","given":"X","non-dropping-particle":"","parse-names":false,"suffix":""},{"dropping-particle":"","family":"Berger","given":"A C","non-dropping-particle":"","parse-names":false,"suffix":""},{"dropping-particle":"","family":"Schumacher","given":"S E","non-dropping-particle":"","parse-names":false,"suffix":""},{"dropping-particle":"","family":"Wang","given":"C","non-dropping-particle":"","parse-names":false,"suffix":""},{"dropping-particle":"","family":"Hu","given":"H","non-dropping-particle":"","parse-names":false,"suffix":""},{"dropping-particle":"","family":"Liu","given":"J","non-dropping-particle":"","parse-names":false,"suffix":""},{"dropping-particle":"","family":"Lazar","given":"A J","non-dropping-particle":"","parse-names":false,"suffix":""},{"dropping-particle":"","family":"Cancer Genome Atlas Research","given":"Network","non-dropping-particle":"","parse-names":false,"suffix":""},{"dropping-particle":"","family":"Cherniack","given":"A D","non-dropping-particle":"","parse-names":false,"suffix":""},{"dropping-particle":"","family":"Beroukhim","given":"R","non-dropping-particle":"","parse-names":false,"suffix":""},{"dropping-particle":"","family":"Meyerson","given":"M","non-dropping-particle":"","parse-names":false,"suffix":""}],"container-title":"Cancer Cell","id":"ITEM-2","issue":"4","issued":{"date-parts":[["2018"]]},"note":"Taylor, Alison M\nShih, Juliann\nHa, Gavin\nGao, Galen F\nZhang, Xiaoyang\nBerger, Ashton C\nSchumacher, Steven E\nWang, Chen\nHu, Hai\nLiu, Jianfang\nLazar, Alexander J\nCherniack, Andrew D\nBeroukhim, Rameen\nMeyerson, Matthew\neng\nP30 CA016672/CA/NCI NIH HHS/\nU24 CA210950/CA/NCI NIH HHS/\nU24 CA210957/CA/NCI NIH HHS/\nR35 CA197568/CA/NCI NIH HHS/\nU24 CA210949/CA/NCI NIH HHS/\nR01 CA163722/CA/NCI NIH HHS/\nU24 CA210990/CA/NCI NIH HHS/\n2018/04/07 06:00\nCancer Cell. 2018 Apr 9;33(4):676-689.e3. doi: 10.1016/j.ccell.2018.03.007. Epub 2018 Apr 2.","page":"676-689 e3","title":"Genomic and Functional Approaches to Understanding Cancer Aneuploidy","type":"article-journal","volume":"33"},"uris":["http://www.mendeley.com/documents/?uuid=ba851c5f-4019-419f-b6bd-6e34341ce45d"]}],"mendeley":{"formattedCitation":"&lt;sup&gt;11,12&lt;/sup&gt;","plainTextFormattedCitation":"11,12","previouslyFormattedCitation":"&lt;sup&gt;11,12&lt;/sup&gt;"},"properties":{"noteIndex":0},"schema":"https://github.com/citation-style-language/schema/raw/master/csl-citation.json"}</w:instrText>
      </w:r>
      <w:r>
        <w:rPr>
          <w:rFonts w:asciiTheme="majorBidi" w:hAnsiTheme="majorBidi" w:cstheme="majorBidi"/>
          <w:sz w:val="24"/>
          <w:szCs w:val="24"/>
        </w:rPr>
        <w:fldChar w:fldCharType="separate"/>
      </w:r>
      <w:r w:rsidRPr="00C6603B">
        <w:rPr>
          <w:rFonts w:asciiTheme="majorBidi" w:hAnsiTheme="majorBidi" w:cstheme="majorBidi"/>
          <w:noProof/>
          <w:sz w:val="24"/>
          <w:szCs w:val="24"/>
          <w:vertAlign w:val="superscript"/>
        </w:rPr>
        <w:t>11,12</w:t>
      </w:r>
      <w:r>
        <w:rPr>
          <w:rFonts w:asciiTheme="majorBidi" w:hAnsiTheme="majorBidi" w:cstheme="majorBidi"/>
          <w:sz w:val="24"/>
          <w:szCs w:val="24"/>
        </w:rPr>
        <w:fldChar w:fldCharType="end"/>
      </w:r>
      <w:r w:rsidRPr="0035030F">
        <w:rPr>
          <w:rFonts w:asciiTheme="majorBidi" w:hAnsiTheme="majorBidi" w:cstheme="majorBidi"/>
          <w:sz w:val="24"/>
          <w:szCs w:val="24"/>
        </w:rPr>
        <w:t xml:space="preserve">. </w:t>
      </w:r>
      <w:r>
        <w:rPr>
          <w:rFonts w:asciiTheme="majorBidi" w:hAnsiTheme="majorBidi" w:cstheme="majorBidi"/>
          <w:sz w:val="24"/>
          <w:szCs w:val="24"/>
        </w:rPr>
        <w:t xml:space="preserve">The process that gives rise to aneuploidy is chromosomal instability (CIN), characterized by a high prevalence of chromosome </w:t>
      </w:r>
      <w:proofErr w:type="spellStart"/>
      <w:r>
        <w:rPr>
          <w:rFonts w:asciiTheme="majorBidi" w:hAnsiTheme="majorBidi" w:cstheme="majorBidi"/>
          <w:sz w:val="24"/>
          <w:szCs w:val="24"/>
        </w:rPr>
        <w:t>mis</w:t>
      </w:r>
      <w:proofErr w:type="spellEnd"/>
      <w:r>
        <w:rPr>
          <w:rFonts w:asciiTheme="majorBidi" w:hAnsiTheme="majorBidi" w:cstheme="majorBidi"/>
          <w:sz w:val="24"/>
          <w:szCs w:val="24"/>
        </w:rPr>
        <w:t>-segregation and other mitotic aberrations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{"citationItems":[{"id":"ITEM-1","itemData":{"DOI":"10.1038/s41576-019-0171-x","ISBN":"1471-0064 (Electronic)\r1471-0056 (Linking)","PMID":"31548659","abstract":"Cancer is driven by multiple types of genetic alterations, which range in size from point mutations to whole-chromosome gains and losses, known as aneuploidy. Chromosome instability, the process that gives rise to aneuploidy, can promote tumorigenesis by increasing genetic heterogeneity and promoting tumour evolution. However, much less is known about how aneuploidy itself contributes to tumour formation and progression. Unlike some pan-cancer oncogenes and tumour suppressor genes that drive transformation in virtually all cell types and cellular contexts, aneuploidy is not a universal promoter of tumorigenesis. Instead, recent studies suggest that aneuploidy is a context-dependent, cancer-type-specific oncogenic event that may have clinical relevance as a prognostic marker and as a potential therapeutic target.","author":[{"dropping-particle":"","family":"Ben-David","given":"U","non-dropping-particle":"","parse-names":false,"suffix":""},{"dropping-particle":"","family":"Amon","given":"A","non-dropping-particle":"","parse-names":false,"suffix":""}],"container-title":"Nat Rev Genet","edition":"2019/09/25","id":"ITEM-1","issued":{"date-parts":[["2019"]]},"note":"Ben-David, Uri\nAmon, Angelika\neng\nReview\nEngland\nNat Rev Genet. 2019 Sep 23. pii: 10.1038/s41576-019-0171-x. doi: 10.1038/s41576-019-0171-x.","title":"Context is everything: aneuploidy in cancer","type":"article-journal"},"uris":["http://www.mendeley.com/documents/?uuid=e08a0835-55ce-4c2b-b69a-498a21d1e663"]}],"mendeley":{"formattedCitation":"&lt;sup&gt;1&lt;/sup&gt;","plainTextFormattedCitation":"1","previouslyFormattedCitation":"&lt;sup&gt;1&lt;/sup&gt;"},"properties":{"noteIndex":0},"schema":"https://github.com/citation-style-language/schema/raw/master/csl-citation.json"}</w:instrText>
      </w:r>
      <w:r>
        <w:rPr>
          <w:rFonts w:asciiTheme="majorBidi" w:hAnsiTheme="majorBidi" w:cstheme="majorBidi"/>
          <w:sz w:val="24"/>
          <w:szCs w:val="24"/>
        </w:rPr>
        <w:fldChar w:fldCharType="separate"/>
      </w:r>
      <w:r w:rsidRPr="00724A2E">
        <w:rPr>
          <w:rFonts w:asciiTheme="majorBidi" w:hAnsiTheme="majorBidi" w:cstheme="majorBidi"/>
          <w:noProof/>
          <w:sz w:val="24"/>
          <w:szCs w:val="24"/>
          <w:vertAlign w:val="superscript"/>
        </w:rPr>
        <w:t>1</w:t>
      </w:r>
      <w:r>
        <w:rPr>
          <w:rFonts w:asciiTheme="majorBidi" w:hAnsiTheme="majorBidi" w:cstheme="majorBidi"/>
          <w:sz w:val="24"/>
          <w:szCs w:val="24"/>
        </w:rPr>
        <w:fldChar w:fldCharType="end"/>
      </w:r>
      <w:r>
        <w:rPr>
          <w:rFonts w:asciiTheme="majorBidi" w:hAnsiTheme="majorBidi" w:cstheme="majorBidi"/>
          <w:sz w:val="24"/>
          <w:szCs w:val="24"/>
        </w:rPr>
        <w:t>. Aneuploidy and CIN are associated</w:t>
      </w:r>
      <w:r w:rsidRPr="00FE71E6">
        <w:rPr>
          <w:rFonts w:asciiTheme="majorBidi" w:hAnsiTheme="majorBidi" w:cstheme="majorBidi"/>
          <w:sz w:val="24"/>
          <w:szCs w:val="24"/>
        </w:rPr>
        <w:t xml:space="preserve"> </w:t>
      </w:r>
      <w:r>
        <w:rPr>
          <w:rFonts w:asciiTheme="majorBidi" w:hAnsiTheme="majorBidi" w:cstheme="majorBidi"/>
          <w:sz w:val="24"/>
          <w:szCs w:val="24"/>
        </w:rPr>
        <w:t xml:space="preserve">with clinical features, such as </w:t>
      </w:r>
      <w:r w:rsidRPr="00FE71E6">
        <w:rPr>
          <w:rFonts w:asciiTheme="majorBidi" w:hAnsiTheme="majorBidi" w:cstheme="majorBidi"/>
          <w:sz w:val="24"/>
          <w:szCs w:val="24"/>
        </w:rPr>
        <w:t>tumor stage</w:t>
      </w:r>
      <w:r>
        <w:rPr>
          <w:rFonts w:asciiTheme="majorBidi" w:hAnsiTheme="majorBidi" w:cstheme="majorBidi"/>
          <w:sz w:val="24"/>
          <w:szCs w:val="24"/>
        </w:rPr>
        <w:t>, differentiation</w:t>
      </w:r>
      <w:r w:rsidRPr="00FE71E6">
        <w:rPr>
          <w:rFonts w:asciiTheme="majorBidi" w:hAnsiTheme="majorBidi" w:cstheme="majorBidi"/>
          <w:sz w:val="24"/>
          <w:szCs w:val="24"/>
        </w:rPr>
        <w:t xml:space="preserve"> </w:t>
      </w:r>
      <w:r>
        <w:rPr>
          <w:rFonts w:asciiTheme="majorBidi" w:hAnsiTheme="majorBidi" w:cstheme="majorBidi"/>
          <w:sz w:val="24"/>
          <w:szCs w:val="24"/>
        </w:rPr>
        <w:t xml:space="preserve">status, </w:t>
      </w:r>
      <w:r w:rsidRPr="00FE71E6">
        <w:rPr>
          <w:rFonts w:asciiTheme="majorBidi" w:hAnsiTheme="majorBidi" w:cstheme="majorBidi"/>
          <w:sz w:val="24"/>
          <w:szCs w:val="24"/>
        </w:rPr>
        <w:t>and disease aggressiveness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{"citationItems":[{"id":"ITEM-1","itemData":{"DOI":"10.7554/eLife.37294","ISBN":"2050-084X (Electronic)\r2050-084X (Linking)","PMID":"30178746","abstract":"The level of copy number alteration (CNA), termed CNA burden, in the tumor genome is associated with recurrence of primary prostate cancer. Whether CNA burden is associated with prostate cancer survival or outcomes in other cancers is unknown. We analyzed the CNA landscape of conservatively treated prostate cancer in a biopsy and transurethral resection cohort, reflecting an increasingly common treatment approach. We find that CNA burden is prognostic for cancer-specific death, independent of standard clinical prognosticators. More broadly, we find CNA burden is significantly associated with disease-free and overall survival in primary breast, endometrial, renal clear cell, thyroid, and colorectal cancer in TCGA cohorts. To assess clinical applicability, we validated these findings in an independent pan-cancer cohort of patients whose tumors were sequenced using a clinically-certified next generation sequencing assay (MSK-IMPACT), where prognostic value varied based on cancer type. This prognostic association was affected by incorporating tumor purity in some cohorts. Overall, CNA burden of primary and metastatic tumors is a prognostic factor, potentially modulated by sample purity and measurable by current clinical sequencing.","author":[{"dropping-particle":"","family":"Hieronymus","given":"H","non-dropping-particle":"","parse-names":false,"suffix":""},{"dropping-particle":"","family":"Murali","given":"R","non-dropping-particle":"","parse-names":false,"suffix":""},{"dropping-particle":"","family":"Tin","given":"A","non-dropping-particle":"","parse-names":false,"suffix":""},{"dropping-particle":"","family":"Yadav","given":"K","non-dropping-particle":"","parse-names":false,"suffix":""},{"dropping-particle":"","family":"Abida","given":"W","non-dropping-particle":"","parse-names":false,"suffix":""},{"dropping-particle":"","family":"Moller","given":"H","non-dropping-particle":"","parse-names":false,"suffix":""},{"dropping-particle":"","family":"Berney","given":"D","non-dropping-particle":"","parse-names":false,"suffix":""},{"dropping-particle":"","family":"Scher","given":"H","non-dropping-particle":"","parse-names":false,"suffix":""},{"dropping-particle":"","family":"Carver","given":"B","non-dropping-particle":"","parse-names":false,"suffix":""},{"dropping-particle":"","family":"Scardino","given":"P","non-dropping-particle":"","parse-names":false,"suffix":""},{"dropping-particle":"","family":"Schultz","given":"N","non-dropping-particle":"","parse-names":false,"suffix":""},{"dropping-particle":"","family":"Taylor","given":"B","non-dropping-particle":"","parse-names":false,"suffix":""},{"dropping-particle":"","family":"Vickers","given":"A","non-dropping-particle":"","parse-names":false,"suffix":""},{"dropping-particle":"","family":"Cuzick","given":"J","non-dropping-particle":"","parse-names":false,"suffix":""},{"dropping-particle":"","family":"Sawyers","given":"C L","non-dropping-particle":"","parse-names":false,"suffix":""}],"container-title":"Elife","id":"ITEM-1","issued":{"date-parts":[["2018"]]},"note":"Hieronymus, Haley\nMurali, Rajmohan\nTin, Amy\nYadav, Kamlesh\nAbida, Wassim\nMoller, Henrik\nBerney, Daniel\nScher, Howard\nCarver, Brett\nScardino, Peter\nSchultz, Nikolaus\nTaylor, Barry\nVickers, Andrew\nCuzick, Jack\nSawyers, Charles L\neng\nCA155169/NH/NIH HHS/\nR01 CA193837/CA/NCI NIH HHS/\nHHMI/Howard Hughes Medical Institute/\nP50 CA092629/CA/NCI NIH HHS/\nCA008748/NH/NIH HHS/\nP30 CA008748/CA/NCI NIH HHS/\nR01 CA155169/CA/NCI NIH HHS/\nCA092629/NH/NIH HHS/\nRSG-15-067-01-TBG/American Cancer Society/International\nCA193837/NH/NIH HHS/\nR01 CA204749/CA/NCI NIH HHS/\nResearch Support, N.I.H., Extramural\nResearch Support, Non-U.S. Gov't\nEngland\n2018/09/05 06:00\nElife. 2018 Sep 4;7. pii: 37294. doi: 10.7554/eLife.37294.","title":"Tumor copy number alteration burden is a pan-cancer prognostic factor associated with recurrence and death","type":"article-journal","volume":"7"},"uris":["http://www.mendeley.com/documents/?uuid=06ef5053-e885-4f53-8d6a-09f2683cc3f1"]},{"id":"ITEM-2","itemData":{"DOI":"10.7554/eLife.39217","ISBN":"2050-084X (Electronic)\r2050-084X (Linking)","PMID":"30526857","abstract":"Successful treatment decisions in cancer depend on the accurate assessment of patient risk. To improve our understanding of the molecular alterations that underlie deadly malignancies, we analyzed the genomic profiles of 17,879 tumors from patients with known outcomes. We find that mutations in almost all cancer driver genes contain remarkably little information on patient prognosis. However, CNAs in these same driver genes harbor significant prognostic power. Focal CNAs are associated with worse outcomes than broad alterations, and CNAs in many driver genes remain prognostic when controlling for stage, grade, TP53 status, and total aneuploidy. By performing a meta-analysis across independent patient cohorts, we identify robust prognostic biomarkers in specific cancer types, and we demonstrate that a subset of these alterations also confer specific therapeutic vulnerabilities. In total, our analysis establishes a comprehensive resource for cancer biomarker identification and underscores the importance of gene copy number profiling in assessing clinical risk.","author":[{"dropping-particle":"","family":"Smith","given":"J C","non-dropping-particle":"","parse-names":false,"suffix":""},{"dropping-particle":"","family":"Sheltzer","given":"J M","non-dropping-particle":"","parse-names":false,"suffix":""}],"container-title":"Elife","id":"ITEM-2","issued":{"date-parts":[["2018"]]},"note":"Smith, Joan C\nSheltzer, Jason M\neng\nDP5 OD021385/OD/NIH HHS/\n1DP5OD021385/NH/NIH HHS/\nResearch Support, Non-U.S. Gov't\nResearch Support, N.I.H., Extramural\nEngland\n2018/12/12 06:00\nElife. 2018 Dec 11;7. pii: 39217. doi: 10.7554/eLife.39217.","title":"Systematic identification of mutations and copy number alterations associated with cancer patient prognosis","type":"article-journal","volume":"7"},"uris":["http://www.mendeley.com/documents/?uuid=874e3c8e-ed86-418b-997a-d0e8afa303ec"]}],"mendeley":{"formattedCitation":"&lt;sup&gt;32,33&lt;/sup&gt;","plainTextFormattedCitation":"32,33","previouslyFormattedCitation":"&lt;sup&gt;33,34&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32,33</w:t>
      </w:r>
      <w:r>
        <w:rPr>
          <w:rFonts w:asciiTheme="majorBidi" w:hAnsiTheme="majorBidi" w:cstheme="majorBidi"/>
          <w:sz w:val="24"/>
          <w:szCs w:val="24"/>
        </w:rPr>
        <w:fldChar w:fldCharType="end"/>
      </w:r>
      <w:r>
        <w:rPr>
          <w:rFonts w:asciiTheme="majorBidi" w:hAnsiTheme="majorBidi" w:cstheme="majorBidi"/>
          <w:sz w:val="24"/>
          <w:szCs w:val="24"/>
        </w:rPr>
        <w:t>. However</w:t>
      </w:r>
      <w:r w:rsidRPr="0035030F">
        <w:rPr>
          <w:rFonts w:asciiTheme="majorBidi" w:hAnsiTheme="majorBidi" w:cstheme="majorBidi"/>
          <w:sz w:val="24"/>
          <w:szCs w:val="24"/>
        </w:rPr>
        <w:t xml:space="preserve">, </w:t>
      </w:r>
      <w:r>
        <w:rPr>
          <w:rFonts w:asciiTheme="majorBidi" w:hAnsiTheme="majorBidi" w:cstheme="majorBidi"/>
          <w:sz w:val="24"/>
          <w:szCs w:val="24"/>
        </w:rPr>
        <w:t>our knowledge of how</w:t>
      </w:r>
      <w:r w:rsidRPr="0035030F">
        <w:rPr>
          <w:rFonts w:asciiTheme="majorBidi" w:hAnsiTheme="majorBidi" w:cstheme="majorBidi"/>
          <w:sz w:val="24"/>
          <w:szCs w:val="24"/>
        </w:rPr>
        <w:t xml:space="preserve"> </w:t>
      </w:r>
      <w:r>
        <w:rPr>
          <w:rFonts w:asciiTheme="majorBidi" w:hAnsiTheme="majorBidi" w:cstheme="majorBidi"/>
          <w:sz w:val="24"/>
          <w:szCs w:val="24"/>
        </w:rPr>
        <w:t xml:space="preserve">CIN and </w:t>
      </w:r>
      <w:r w:rsidRPr="0035030F">
        <w:rPr>
          <w:rFonts w:asciiTheme="majorBidi" w:hAnsiTheme="majorBidi" w:cstheme="majorBidi"/>
          <w:sz w:val="24"/>
          <w:szCs w:val="24"/>
        </w:rPr>
        <w:t xml:space="preserve">aneuploidy </w:t>
      </w:r>
      <w:r>
        <w:rPr>
          <w:rFonts w:asciiTheme="majorBidi" w:hAnsiTheme="majorBidi" w:cstheme="majorBidi"/>
          <w:sz w:val="24"/>
          <w:szCs w:val="24"/>
        </w:rPr>
        <w:t>drive tumorigenesis is rather limited</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{"citationItems":[{"id":"ITEM-1","itemData":{"DOI":"10.1038/nrg3123","ISBN":"1471-0064 (Electronic)\r1471-0056 (Linking)","PMID":"22269907","abstract":"Genetic instability, which includes both numerical and structural chromosomal abnormalities, is a hallmark of cancer. Whereas the structural chromosome rearrangements have received substantial attention, the role of whole-chromosome aneuploidy in cancer is much less well-understood. Here we review recent progress in understanding the roles of whole-chromosome aneuploidy in cancer, including the mechanistic causes of aneuploidy, the cellular responses to chromosome gains or losses and how cells might adapt to tolerate these usually detrimental alterations. We also explore the role of aneuploidy in cellular transformation and discuss the possibility of developing aneuploidy-specific therapies.","author":[{"dropping-particle":"","family":"Gordon","given":"D J","non-dropping-particle":"","parse-names":false,"suffix":""},{"dropping-particle":"","family":"Resio","given":"B","non-dropping-particle":"","parse-names":false,"suffix":""},{"dropping-particle":"","family":"Pellman","given":"D","non-dropping-particle":"","parse-names":false,"suffix":""}],"container-title":"Nat Rev Genet","id":"ITEM-1","issue":"3","issued":{"date-parts":[["2012"]]},"note":"Gordon, David J\nResio, Benjamin\nPellman, David\neng\nK08 CA160346/CA/NCI NIH HHS/\nR01 GM083299/GM/NIGMS NIH HHS/\nReview\nEngland\n2012/01/25 06:00\nNat Rev Genet. 2012 Jan 24;13(3):189-203. doi: 10.1038/nrg3123.","page":"189-203","title":"Causes and consequences of aneuploidy in cancer","type":"article-journal","volume":"13"},"uris":["http://www.mendeley.com/documents/?uuid=c567b1a2-18af-45a3-be6d-7e01074ab96a"]},{"id":"ITEM-2","itemData":{"DOI":"10.1038/s41576-019-0171-x","ISBN":"1471-0064 (Electronic)\r1471-0056 (Linking)","PMID":"31548659","abstract":"Cancer is driven by multiple types of genetic alterations, which range in size from point mutations to whole-chromosome gains and losses, known as aneuploidy. Chromosome instability, the process that gives rise to aneuploidy, can promote tumorigenesis by increasing genetic heterogeneity and promoting tumour evolution. However, much less is known about how aneuploidy itself contributes to tumour formation and progression. Unlike some pan-cancer oncogenes and tumour suppressor genes that drive transformation in virtually all cell types and cellular contexts, aneuploidy is not a universal promoter of tumorigenesis. Instead, recent studies suggest that aneuploidy is a context-dependent, cancer-type-specific oncogenic event that may have clinical relevance as a prognostic marker and as a potential therapeutic target.","author":[{"dropping-particle":"","family":"Ben-David","given":"U","non-dropping-particle":"","parse-names":false,"suffix":""},{"dropping-particle":"","family":"Amon","given":"A","non-dropping-particle":"","parse-names":false,"suffix":""}],"container-title":"Nat Rev Genet","edition":"2019/09/25","id":"ITEM-2","issued":{"date-parts":[["2019"]]},"note":"Ben-David, Uri\nAmon, Angelika\neng\nReview\nEngland\nNat Rev Genet. 2019 Sep 23. pii: 10.1038/s41576-019-0171-x. doi: 10.1038/s41576-019-0171-x.","title":"Context is everything: aneuploidy in cancer","type":"article-journal"},"uris":["http://www.mendeley.com/documents/?uuid=e08a0835-55ce-4c2b-b69a-498a21d1e663"]}],"mendeley":{"formattedCitation":"&lt;sup&gt;1,77&lt;/sup&gt;","plainTextFormattedCitation":"1,77","previouslyFormattedCitation":"&lt;sup&gt;1,78&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1,77</w:t>
      </w:r>
      <w:r>
        <w:rPr>
          <w:rFonts w:asciiTheme="majorBidi" w:hAnsiTheme="majorBidi" w:cstheme="majorBidi"/>
          <w:sz w:val="24"/>
          <w:szCs w:val="24"/>
        </w:rPr>
        <w:fldChar w:fldCharType="end"/>
      </w:r>
      <w:r w:rsidRPr="0035030F">
        <w:rPr>
          <w:rFonts w:asciiTheme="majorBidi" w:hAnsiTheme="majorBidi" w:cstheme="majorBidi"/>
          <w:sz w:val="24"/>
          <w:szCs w:val="24"/>
        </w:rPr>
        <w:t>.</w:t>
      </w:r>
      <w:r>
        <w:rPr>
          <w:rFonts w:asciiTheme="majorBidi" w:hAnsiTheme="majorBidi" w:cstheme="majorBidi"/>
          <w:sz w:val="24"/>
          <w:szCs w:val="24"/>
        </w:rPr>
        <w:t xml:space="preserve"> </w:t>
      </w:r>
      <w:r w:rsidRPr="0035030F">
        <w:rPr>
          <w:rFonts w:asciiTheme="majorBidi" w:hAnsiTheme="majorBidi" w:cstheme="majorBidi"/>
          <w:color w:val="222222"/>
          <w:sz w:val="24"/>
          <w:szCs w:val="24"/>
          <w:shd w:val="clear" w:color="auto" w:fill="FFFFFF"/>
        </w:rPr>
        <w:t xml:space="preserve">Consequently, </w:t>
      </w:r>
      <w:r>
        <w:rPr>
          <w:rFonts w:asciiTheme="majorBidi" w:hAnsiTheme="majorBidi" w:cstheme="majorBidi"/>
          <w:color w:val="222222"/>
          <w:sz w:val="24"/>
          <w:szCs w:val="24"/>
          <w:shd w:val="clear" w:color="auto" w:fill="FFFFFF"/>
        </w:rPr>
        <w:t xml:space="preserve">no existing therapeutics directly </w:t>
      </w:r>
      <w:r w:rsidRPr="002D5DCD">
        <w:rPr>
          <w:rFonts w:asciiTheme="majorBidi" w:hAnsiTheme="majorBidi" w:cstheme="majorBidi"/>
          <w:color w:val="222222"/>
          <w:sz w:val="24"/>
          <w:szCs w:val="24"/>
          <w:shd w:val="clear" w:color="auto" w:fill="FFFFFF"/>
        </w:rPr>
        <w:t xml:space="preserve">exploit this hallmark of cancer </w:t>
      </w:r>
      <w:r>
        <w:rPr>
          <w:rFonts w:asciiTheme="majorBidi" w:hAnsiTheme="majorBidi" w:cstheme="majorBidi"/>
          <w:color w:val="222222"/>
          <w:sz w:val="24"/>
          <w:szCs w:val="24"/>
          <w:shd w:val="clear" w:color="auto" w:fill="FFFFFF"/>
        </w:rPr>
        <w:t>for the treatment of</w:t>
      </w:r>
      <w:r w:rsidRPr="002D5DCD">
        <w:rPr>
          <w:rFonts w:asciiTheme="majorBidi" w:hAnsiTheme="majorBidi" w:cstheme="majorBidi"/>
          <w:color w:val="222222"/>
          <w:sz w:val="24"/>
          <w:szCs w:val="24"/>
          <w:shd w:val="clear" w:color="auto" w:fill="FFFFFF"/>
        </w:rPr>
        <w:t xml:space="preserve"> cancer patients.</w:t>
      </w:r>
    </w:p>
    <w:p w:rsidR="001638EE" w:rsidRDefault="001638EE" w:rsidP="007B4748">
      <w:pPr>
        <w:spacing w:after="160"/>
        <w:jc w:val="both"/>
        <w:rPr>
          <w:rFonts w:asciiTheme="majorBidi" w:hAnsiTheme="majorBidi" w:cstheme="majorBidi"/>
          <w:bCs/>
          <w:sz w:val="24"/>
          <w:szCs w:val="24"/>
        </w:rPr>
      </w:pPr>
      <w:r w:rsidRPr="0035030F">
        <w:rPr>
          <w:rFonts w:asciiTheme="majorBidi" w:hAnsiTheme="majorBidi" w:cstheme="majorBidi"/>
          <w:bCs/>
          <w:sz w:val="24"/>
          <w:szCs w:val="24"/>
        </w:rPr>
        <w:t xml:space="preserve">Aneuploidy comes with a substantial fitness cost, yet </w:t>
      </w:r>
      <w:r>
        <w:rPr>
          <w:rFonts w:asciiTheme="majorBidi" w:hAnsiTheme="majorBidi" w:cstheme="majorBidi"/>
          <w:bCs/>
          <w:sz w:val="24"/>
          <w:szCs w:val="24"/>
        </w:rPr>
        <w:t xml:space="preserve">is well-tolerated by </w:t>
      </w:r>
      <w:r w:rsidRPr="0035030F">
        <w:rPr>
          <w:rFonts w:asciiTheme="majorBidi" w:hAnsiTheme="majorBidi" w:cstheme="majorBidi"/>
          <w:bCs/>
          <w:sz w:val="24"/>
          <w:szCs w:val="24"/>
        </w:rPr>
        <w:t>cancer c</w:t>
      </w:r>
      <w:r>
        <w:rPr>
          <w:rFonts w:asciiTheme="majorBidi" w:hAnsiTheme="majorBidi" w:cstheme="majorBidi"/>
          <w:bCs/>
          <w:sz w:val="24"/>
          <w:szCs w:val="24"/>
        </w:rPr>
        <w:t>ells</w:t>
      </w:r>
      <w:r>
        <w:rPr>
          <w:rFonts w:asciiTheme="majorBidi" w:hAnsiTheme="majorBidi" w:cstheme="majorBidi"/>
          <w:bCs/>
          <w:sz w:val="24"/>
          <w:szCs w:val="24"/>
        </w:rPr>
        <w:fldChar w:fldCharType="begin" w:fldLock="1"/>
      </w:r>
      <w:r>
        <w:rPr>
          <w:rFonts w:asciiTheme="majorBidi" w:hAnsiTheme="majorBidi" w:cstheme="majorBidi"/>
          <w:bCs/>
          <w:sz w:val="24"/>
          <w:szCs w:val="24"/>
        </w:rPr>
        <w:instrText>ADDIN CSL_CITATION {"citationItems":[{"id":"ITEM-1","itemData":{"DOI":"10.1016/j.ccr.2008.11.011","ISSN":"15356108","abstract":"Aneuploidy, an abnormal chromosome number, is a frequent characteristic of malignant cells, leading to the suggestion that aneuploidy drives tumorigenesis. In a recent issue of Science, Williams et al. identified a paradoxical relationship between aneuploidy and its linkage to tumorigenesis: chromosome gains in nontransformed cells are antiproliferative, despite frequently occurring in human tumors. © 2008 Elsevier Inc. All rights reserved.","author":[{"dropping-particle":"","family":"Weaver","given":"Beth A.","non-dropping-particle":"","parse-names":false,"suffix":""},{"dropping-particle":"","family":"Cleveland","given":"Don W.","non-dropping-particle":"","parse-names":false,"suffix":""}],"container-title":"Cancer Cell","id":"ITEM-1","issued":{"date-parts":[["2008"]]},"title":"The Aneuploidy Paradox in Cell Growth and Tumorigenesis","type":"article"},"uris":["http://www.mendeley.com/documents/?uuid=50ed1712-91d9-4cad-b896-ec7a4566ca99"]},{"id":"ITEM-2","itemData":{"DOI":"10.1016/j.tig.2011.07.003","ISBN":"0168-9525 (Print)\r0168-9525 (Linking)","PMID":"21872963","abstract":"Aneuploidy has a paradoxical effect on cell proliferation. In all normal cells analyzed to date, aneuploidy has been found to decrease the rate of cell proliferation. Yet, aneuploidy is also a hallmark of cancer, a disease of enhanced proliferative capacity, and aneuploid cells are frequently recovered following the experimental evolution of microorganisms. Thus, in certain contexts, aneuploidy might also have growth-advantageous properties. New models of aneuploidy and chromosomal instability have shed light on the diverse effects that karyotypic imbalances have on cellular phenotypes, and suggest novel ways of understanding the role of aneuploidy in development and disease.","author":[{"dropping-particle":"","family":"Sheltzer","given":"J M","non-dropping-particle":"","parse-names":false,"suffix":""},{"dropping-particle":"","family":"Amon","given":"A","non-dropping-particle":"","parse-names":false,"suffix":""}],"container-title":"Trends Genet","id":"ITEM-2","issue":"11","issued":{"date-parts":[["2011"]]},"note":"Sheltzer, Jason M\nAmon, Angelika\neng\nR01 GM056800/GM/NIGMS NIH HHS/\nR01 GM056800-16/GM/NIGMS NIH HHS/\nHoward Hughes Medical Institute/\nEvaluation Studies\nResearch Support, Non-U.S. Gov't\nReview\nEngland\n2011/08/30 06:00\nTrends Genet. 2011 Nov;27(11):446-53. doi: 10.1016/j.tig.2011.07.003. Epub 2011 Aug 26.","page":"446-453","title":"The aneuploidy paradox: costs and benefits of an incorrect karyotype","type":"article-journal","volume":"27"},"uris":["http://www.mendeley.com/documents/?uuid=17a25534-a9c1-4edc-a14d-9b8616b936b4"]}],"mendeley":{"formattedCitation":"&lt;sup&gt;76,78&lt;/sup&gt;","plainTextFormattedCitation":"76,78","previouslyFormattedCitation":"&lt;sup&gt;77,79&lt;/sup&gt;"},"properties":{"noteIndex":0},"schema":"https://github.com/citation-style-language/schema/raw/master/csl-citation.json"}</w:instrText>
      </w:r>
      <w:r>
        <w:rPr>
          <w:rFonts w:asciiTheme="majorBidi" w:hAnsiTheme="majorBidi" w:cstheme="majorBidi"/>
          <w:bCs/>
          <w:sz w:val="24"/>
          <w:szCs w:val="24"/>
        </w:rPr>
        <w:fldChar w:fldCharType="separate"/>
      </w:r>
      <w:r w:rsidRPr="00070E8F">
        <w:rPr>
          <w:rFonts w:asciiTheme="majorBidi" w:hAnsiTheme="majorBidi" w:cstheme="majorBidi"/>
          <w:bCs/>
          <w:noProof/>
          <w:sz w:val="24"/>
          <w:szCs w:val="24"/>
          <w:vertAlign w:val="superscript"/>
        </w:rPr>
        <w:t>76,78</w:t>
      </w:r>
      <w:r>
        <w:rPr>
          <w:rFonts w:asciiTheme="majorBidi" w:hAnsiTheme="majorBidi" w:cstheme="majorBidi"/>
          <w:bCs/>
          <w:sz w:val="24"/>
          <w:szCs w:val="24"/>
        </w:rPr>
        <w:fldChar w:fldCharType="end"/>
      </w:r>
      <w:r w:rsidRPr="0035030F">
        <w:rPr>
          <w:rFonts w:asciiTheme="majorBidi" w:hAnsiTheme="majorBidi" w:cstheme="majorBidi"/>
          <w:bCs/>
          <w:sz w:val="24"/>
          <w:szCs w:val="24"/>
        </w:rPr>
        <w:t xml:space="preserve">. The genetic or epigenetic events that lead to aneuploidy </w:t>
      </w:r>
      <w:r>
        <w:rPr>
          <w:rFonts w:asciiTheme="majorBidi" w:hAnsiTheme="majorBidi" w:cstheme="majorBidi"/>
          <w:bCs/>
          <w:sz w:val="24"/>
          <w:szCs w:val="24"/>
        </w:rPr>
        <w:t xml:space="preserve">formation </w:t>
      </w:r>
      <w:r w:rsidRPr="0035030F">
        <w:rPr>
          <w:rFonts w:asciiTheme="majorBidi" w:hAnsiTheme="majorBidi" w:cstheme="majorBidi"/>
          <w:bCs/>
          <w:sz w:val="24"/>
          <w:szCs w:val="24"/>
        </w:rPr>
        <w:t>during tumorigenesis, or that allow cancer cells to tolerate it, may also generate unique vulnerabilities in aneuploid cells (compared to their euploid counterparts). While some aneuploidy-induced dependencies would be specific to the altered chromosome</w:t>
      </w:r>
      <w:r>
        <w:rPr>
          <w:rFonts w:asciiTheme="majorBidi" w:hAnsiTheme="majorBidi" w:cstheme="majorBidi"/>
          <w:bCs/>
          <w:sz w:val="24"/>
          <w:szCs w:val="24"/>
        </w:rPr>
        <w:fldChar w:fldCharType="begin" w:fldLock="1"/>
      </w:r>
      <w:r>
        <w:rPr>
          <w:rFonts w:asciiTheme="majorBidi" w:hAnsiTheme="majorBidi" w:cstheme="majorBidi"/>
          <w:bCs/>
          <w:sz w:val="24"/>
          <w:szCs w:val="24"/>
        </w:rPr>
        <w:instrText>ADDIN CSL_CITATION {"citationItems":[{"id":"ITEM-1","itemData":{"DOI":"10.1016/j.ccell.2016.04.003","ISBN":"1878-3686 (Electronic)\r1535-6108 (Linking)","PMID":"27165746","abstract":"Large-scale heterozygous deletions are a hallmark of cancer genomes. The concomitant loss of multiple genes creates vulnerabilities that are impossible to reveal through the study of individual genes. To delineate the functional outcome of chromosome 8p loss of heterozygosity (LOH), a common aberration in breast cancer, we modeled 8p LOH using TALEN-based genomic engineering. 8p LOH alters fatty acid and ceramide metabolism. The shift in lipid metabolism triggers invasiveness and confers tumor growth under stress conditions due to increased autophagy. The resistance of 8p-deleted cells to chemotherapeutic drugs concurs with poorer survival rates of breast cancer patients harboring an 8p LOH. The autophagy dependency of 8p-deleted cells provides the rational basis for treatment of 8p LOH tumors with autophagy inhibitors.","author":[{"dropping-particle":"","family":"Cai","given":"Y","non-dropping-particle":"","parse-names":false,"suffix":""},{"dropping-particle":"","family":"Crowther","given":"J","non-dropping-particle":"","parse-names":false,"suffix":""},{"dropping-particle":"","family":"Pastor","given":"T","non-dropping-particle":"","parse-names":false,"suffix":""},{"dropping-particle":"","family":"Abbasi Asbagh","given":"L","non-dropping-particle":"","parse-names":false,"suffix":""},{"dropping-particle":"","family":"Baietti","given":"M F","non-dropping-particle":"","parse-names":false,"suffix":""},{"dropping-particle":"","family":"Troyer","given":"M","non-dropping-particle":"De","parse-names":false,"suffix":""},{"dropping-particle":"","family":"Vazquez","given":"I","non-dropping-particle":"","parse-names":false,"suffix":""},{"dropping-particle":"","family":"Talebi","given":"A","non-dropping-particle":"","parse-names":false,"suffix":""},{"dropping-particle":"","family":"Renzi","given":"F","non-dropping-particle":"","parse-names":false,"suffix":""},{"dropping-particle":"","family":"Dehairs","given":"J","non-dropping-particle":"","parse-names":false,"suffix":""},{"dropping-particle":"V","family":"Swinnen","given":"J","non-dropping-particle":"","parse-names":false,"suffix":""},{"dropping-particle":"","family":"Sablina","given":"A A","non-dropping-particle":"","parse-names":false,"suffix":""}],"container-title":"Cancer Cell","id":"ITEM-1","issue":"5","issued":{"date-parts":[["2016"]]},"note":"Cai, Yanyan\nCrowther, Jonathan\nPastor, Tibor\nAbbasi Asbagh, Layka\nBaietti, Maria Francesca\nDe Troyer, Magdalena\nVazquez, Iria\nTalebi, Ali\nRenzi, Fabrizio\nDehairs, Jonas\nSwinnen, Johannes V\nSablina, Anna A\neng\nResearch Support, Non-U.S. Gov't\n2016/05/12 06:00\nCancer Cell. 2016 May 9;29(5):751-766. doi: 10.1016/j.ccell.2016.04.003.","page":"751-766","title":"Loss of Chromosome 8p Governs Tumor Progression and Drug Response by Altering Lipid Metabolism","type":"article-journal","volume":"29"},"uris":["http://www.mendeley.com/documents/?uuid=7ff271a8-e7c0-48b0-8a5c-ba7d27e31304"]},{"id":"ITEM-2","itemData":{"DOI":"10.1038/s41588-018-0155-3","ISSN":"15461718","abstract":"Functional redundancy shared by paralog genes may afford protection against genetic perturbations, but it can also result in genetic vulnerabilities due to mutual interdependency 1-5 . Here, we surveyed genome-scale short hairpin RNA and CRISPR screening data on hundreds of cancer cell lines and identified MAGOH and MAGOHB, core members of the splicing-dependent exon junction complex, as top-ranked paralog dependencies 6-8 . MAGOHB is the top gene dependency in cells with hemizygous MAGOH deletion, a pervasive genetic event that frequently occurs due to chromosome 1p loss. Inhibition of MAGOHB in a MAGOH-deleted context compromises viability by globally perturbing alternative splicing and RNA surveillance. Dependency on IPO13, an importin-β receptor that mediates nuclear import of the MAGOH/B-Y14 heterodimer 9 , is highly correlated with dependency on both MAGOH and MAGOHB. Both MAGOHB and IPO13 represent dependencies in murine xenografts with hemizygous MAGOH deletion. Our results identify MAGOH and MAGOHB as reciprocal paralog dependencies across cancer types and suggest a rationale for targeting the MAGOHB-IPO13 axis in cancers with chromosome 1p deletion.","author":[{"dropping-particle":"","family":"Viswanathan","given":"Srinivas R.","non-dropping-particle":"","parse-names":false,"suffix":""},{"dropping-particle":"","family":"Nogueira","given":"Marina F.","non-dropping-particle":"","parse-names":false,"suffix":""},{"dropping-particle":"","family":"Buss","given":"Colin G.","non-dropping-particle":"","parse-names":false,"suffix":""},{"dropping-particle":"","family":"Krill-Burger","given":"John M.","non-dropping-particle":"","parse-names":false,"suffix":""},{"dropping-particle":"","family":"Wawer","given":"Mathias J.","non-dropping-particle":"","parse-names":false,"suffix":""},{"dropping-particle":"","family":"Malolepsza","given":"Edyta","non-dropping-particle":"","parse-names":false,"suffix":""},{"dropping-particle":"","family":"Berger","given":"Ashton C.","non-dropping-particle":"","parse-names":false,"suffix":""},{"dropping-particle":"","family":"Choi","given":"Peter S.","non-dropping-particle":"","parse-names":false,"suffix":""},{"dropping-particle":"","family":"Shih","given":"Juliann","non-dropping-particle":"","parse-names":false,"suffix":""},{"dropping-particle":"","family":"Taylor","given":"Alison M.","non-dropping-particle":"","parse-names":false,"suffix":""},{"dropping-particle":"","family":"Tanenbaum","given":"Benjamin","non-dropping-particle":"","parse-names":false,"suffix":""},{"dropping-particle":"","family":"Pedamallu","given":"Chandra Sekhar","non-dropping-particle":"","parse-names":false,"suffix":""},{"dropping-particle":"","family":"Cherniack","given":"Andrew D.","non-dropping-particle":"","parse-names":false,"suffix":""},{"dropping-particle":"","family":"Tamayo","given":"Pablo","non-dropping-particle":"","parse-names":false,"suffix":""},{"dropping-particle":"","family":"Strathdee","given":"Craig A.","non-dropping-particle":"","parse-names":false,"suffix":""},{"dropping-particle":"","family":"Lage","given":"Kasper","non-dropping-particle":"","parse-names":false,"suffix":""},{"dropping-particle":"","family":"Carr","given":"Steven A.","non-dropping-particle":"","parse-names":false,"suffix":""},{"dropping-particle":"","family":"Schenone","given":"Monica","non-dropping-particle":"","parse-names":false,"suffix":""},{"dropping-particle":"","family":"Bhatia","given":"Sangeeta N.","non-dropping-particle":"","parse-names":false,"suffix":""},{"dropping-particle":"","family":"Vazquez","given":"Francisca","non-dropping-particle":"","parse-names":false,"suffix":""},{"dropping-particle":"","family":"Tsherniak","given":"Aviad","non-dropping-particle":"","parse-names":false,"suffix":""},{"dropping-particle":"","family":"Hahn","given":"William C.","non-dropping-particle":"","parse-names":false,"suffix":""},{"dropping-particle":"","family":"Meyerson","given":"Matthew","non-dropping-particle":"","parse-names":false,"suffix":""}],"container-title":"Nature Genetics","id":"ITEM-2","issued":{"date-parts":[["2018"]]},"title":"Genome-scale analysis identifies paralog lethality as a vulnerability of chromosome 1p loss in cancer","type":"article-journal"},"uris":["http://www.mendeley.com/documents/?uuid=604eaa1a-0bdf-4b47-8438-017a9e63c670"]},{"id":"ITEM-3","itemData":{"DOI":"10.1038/ng.3967","ISSN":"15461718","abstract":"Patient-derived xenografts (PDXs) have become a prominent cancer model system, as they are presumed to faithfully represent the genomic features of primary tumors. Here we monitored the dynamics of copy number alterations (CNAs) in 1,110 PDX samples across 24 cancer types. We observed rapid accumulation of CNAs during PDX passaging, often due to selection of preexisting minor clones. CNA acquisition in PDXs was correlated with the tissue-specific levels of aneuploidy and genetic heterogeneity observed in primary tumors. However, the particular CNAs acquired during PDX passaging differed from those acquired during tumor evolution in patients. Several CNAs recurrently observed in primary tumors gradually disappeared in PDXs, indicating that events undergoing positive selection in humans can become dispensable during propagation in mice. Notably, the genomic stability of PDXs was associated with their response to chemotherapy and targeted drugs. These findings have major implications for PDX-based modeling of human cancer.","author":[{"dropping-particle":"","family":"Ben-David","given":"Uri","non-dropping-particle":"","parse-names":false,"suffix":""},{"dropping-particle":"","family":"Ha","given":"Gavin","non-dropping-particle":"","parse-names":false,"suffix":""},{"dropping-particle":"","family":"Tseng","given":"Yuen Yi","non-dropping-particle":"","parse-names":false,"suffix":""},{"dropping-particle":"","family":"Greenwald","given":"Noah F.","non-dropping-particle":"","parse-names":false,"suffix":""},{"dropping-particle":"","family":"Oh","given":"Coyin","non-dropping-particle":"","parse-names":false,"suffix":""},{"dropping-particle":"","family":"Shih","given":"Juliann","non-dropping-particle":"","parse-names":false,"suffix":""},{"dropping-particle":"","family":"McFarland","given":"James M.","non-dropping-particle":"","parse-names":false,"suffix":""},{"dropping-particle":"","family":"Wong","given":"Bang","non-dropping-particle":"","parse-names":false,"suffix":""},{"dropping-particle":"","family":"Boehm","given":"Jesse S.","non-dropping-particle":"","parse-names":false,"suffix":""},{"dropping-particle":"","family":"Beroukhim","given":"Rameen","non-dropping-particle":"","parse-names":false,"suffix":""},{"dropping-particle":"","family":"Golub","given":"Todd R.","non-dropping-particle":"","parse-names":false,"suffix":""}],"container-title":"Nature Genetics","id":"ITEM-3","issued":{"date-parts":[["2017"]]},"title":"Patient-derived xenografts undergo mouse-specific tumor evolution","type":"article-journal"},"uris":["http://www.mendeley.com/documents/?uuid=9b00c390-4815-4fb0-ba51-9be688946193"]},{"id":"ITEM-4","itemData":{"DOI":"10.1038/s41576-019-0171-x","ISBN":"1471-0064 (Electronic)\r1471-0056 (Linking)","PMID":"31548659","abstract":"Cancer is driven by multiple types of genetic alterations, which range in size from point mutations to whole-chromosome gains and losses, known as aneuploidy. Chromosome instability, the process that gives rise to aneuploidy, can promote tumorigenesis by increasing genetic heterogeneity and promoting tumour evolution. However, much less is known about how aneuploidy itself contributes to tumour formation and progression. Unlike some pan-cancer oncogenes and tumour suppressor genes that drive transformation in virtually all cell types and cellular contexts, aneuploidy is not a universal promoter of tumorigenesis. Instead, recent studies suggest that aneuploidy is a context-dependent, cancer-type-specific oncogenic event that may have clinical relevance as a prognostic marker and as a potential therapeutic target.","author":[{"dropping-particle":"","family":"Ben-David","given":"U","non-dropping-particle":"","parse-names":false,"suffix":""},{"dropping-particle":"","family":"Amon","given":"A","non-dropping-particle":"","parse-names":false,"suffix":""}],"container-title":"Nat Rev Genet","edition":"2019/09/25","id":"ITEM-4","issued":{"date-parts":[["2019"]]},"note":"Ben-David, Uri\nAmon, Angelika\neng\nReview\nEngland\nNat Rev Genet. 2019 Sep 23. pii: 10.1038/s41576-019-0171-x. doi: 10.1038/s41576-019-0171-x.","title":"Context is everything: aneuploidy in cancer","type":"article-journal"},"uris":["http://www.mendeley.com/documents/?uuid=e08a0835-55ce-4c2b-b69a-498a21d1e663"]},{"id":"ITEM-5","itemData":{"DOI":"10.1038/s43018-019-0018-6","abstract":"Anticancer uses of non-oncology drugs have occasionally been found, but such discoveries have been serendipitous. We sought to create a public resource containing the growth-inhibitory activity of 4,518 drugs tested across 578 human cancer cell lines. We used PRISM (profiling relative inhibition simultaneously in mixtures), a molecular barcoding method, to screen drugs against cell lines in pools. An unexpectedly large number of non-oncology drugs selectively inhibited subsets of cancer cell lines in a manner predictable from the molecular features of the cell lines. Our findings include compounds that killed by inducing phosphodiesterase 3A-Schlafen 12 complex formation, vanadium-containing compounds whose killing depended on the sulfate transporter SLC26A2, the alcohol dependence drug disulfiram, which killed cells with low expression of metallothioneins, and the anti-inflammatory drug tepoxalin, which killed via the multidrug resistance protein ATP-binding cassette subfamily B member 1 (ABCB1). The PRISM drug repurposing resource (https://depmap.org/repurposing) is a starting point to develop new oncology therapeutics, and more rarely, for potential direct clinical translation. Golub and colleagues tested thousands of drugs not originally developed for oncology across 578 human cancer cell lines, revealing growth-inhibitory effects and providing a resource to identify drugs with the potential to be repurposed for cancer.","author":[{"dropping-particle":"","family":"Corsello","given":"Steven M.","non-dropping-particle":"","parse-names":false,"suffix":""},{"dropping-particle":"","family":"Nagari","given":"Rohith T.","non-dropping-particle":"","parse-names":false,"suffix":""},{"dropping-particle":"","family":"Spangler","given":"Ryan D.","non-dropping-particle":"","parse-names":false,"suffix":""},{"dropping-particle":"","family":"Rossen","given":"Jordan","non-dropping-particle":"","parse-names":false,"suffix":""},{"dropping-particle":"","family":"Kocak","given":"Mustafa","non-dropping-particle":"","parse-names":false,"suffix":""},{"dropping-particle":"","family":"Bryan","given":"Jordan G.","non-dropping-particle":"","parse-names":false,"suffix":""},{"dropping-particle":"","family":"Humeidi","given":"Ranad","non-dropping-particle":"","parse-names":false,"suffix":""},{"dropping-particle":"","family":"Peck","given":"David","non-dropping-particle":"","parse-names":false,"suffix":""},{"dropping-particle":"","family":"Wu","given":"Xiaoyun","non-dropping-particle":"","parse-names":false,"suffix":""},{"dropping-particle":"","family":"Tang","given":"Andrew A.","non-dropping-particle":"","parse-names":false,"suffix":""},{"dropping-particle":"","family":"Wang","given":"Vickie M.","non-dropping-particle":"","parse-names":false,"suffix":""},{"dropping-particle":"","family":"Bender","given":"Samantha A.","non-dropping-particle":"","parse-names":false,"suffix":""},{"dropping-particle":"","family":"Lemire","given":"Evan","non-dropping-particle":"","parse-names":false,"suffix":""},{"dropping-particle":"","family":"Narayan","given":"Rajiv","non-dropping-particle":"","parse-names":false,"suffix":""},{"dropping-particle":"","family":"Montgomery","given":"Philip","non-dropping-particle":"","parse-names":false,"suffix":""},{"dropping-particle":"","family":"Ben-David","given":"Uri","non-dropping-particle":"","parse-names":false,"suffix":""},{"dropping-particle":"","family":"Garvie","given":"Colin W.","non-dropping-particle":"","parse-names":false,"suffix":""},{"dropping-particle":"","family":"Chen","given":"Yejia","non-dropping-particle":"","parse-names":false,"suffix":""},{"dropping-particle":"","family":"Rees","given":"Matthew G.","non-dropping-particle":"","parse-names":false,"suffix":""},{"dropping-particle":"","family":"Lyons","given":"Nicholas J.","non-dropping-particle":"","parse-names":false,"suffix":""},{"dropping-particle":"","family":"McFarland","given":"James M.","non-dropping-particle":"","parse-names":false,"suffix":""},{"dropping-particle":"","family":"Wong","given":"Bang T.","non-dropping-particle":"","parse-names":false,"suffix":""},{"dropping-particle":"","family":"Wang","given":"Li","non-dropping-particle":"","parse-names":false,"suffix":""},{"dropping-particle":"","family":"Dumont","given":"Nancy","non-dropping-particle":"","parse-names":false,"suffix":""},{"dropping-particle":"","family":"O’Hearn","given":"Patrick J.","non-dropping-particle":"","parse-names":false,"suffix":""},{"dropping-particle":"","family":"Stefan","given":"Eric","non-dropping-particle":"","parse-names":false,"suffix":""},{"dropping-particle":"","family":"Doench","given":"John G.","non-dropping-particle":"","parse-names":false,"suffix":""},{"dropping-particle":"","family":"Harrington","given":"Caitlin N.","non-dropping-particle":"","parse-names":false,"suffix":""},{"dropping-particle":"","family":"Greulich","given":"Heidi","non-dropping-particle":"","parse-names":false,"suffix":""},{"dropping-particle":"","family":"Meyerson","given":"Matthew","non-dropping-particle":"","parse-names":false,"suffix":""},{"dropping-particle":"","family":"Vazquez","given":"Francisca","non-dropping-particle":"","parse-names":false,"suffix":""},{"dropping-particle":"","family":"Subramanian","given":"Aravind","non-dropping-particle":"","parse-names":false,"suffix":""},{"dropping-particle":"","family":"Roth","given":"Jennifer A.","non-dropping-particle":"","parse-names":false,"suffix":""},{"dropping-particle":"","family":"Bittker","given":"Joshua A.","non-dropping-particle":"","parse-names":false,"suffix":""},{"dropping-particle":"","family":"Boehm","given":"Jesse S.","non-dropping-particle":"","parse-names":false,"suffix":""},{"dropping-particle":"","family":"Mader","given":"Christopher C.","non-dropping-particle":"","parse-names":false,"suffix":""},{"dropping-particle":"","family":"Tsherniak","given":"Aviad","non-dropping-particle":"","parse-names":false,"suffix":""},{"dropping-particle":"","family":"Golub","given":"Todd R.","non-dropping-particle":"","parse-names":false,"suffix":""}],"container-title":"Nature Cancer","id":"ITEM-5","issued":{"date-parts":[["2020"]]},"title":"Discovering the anticancer potential of non-oncology drugs by systematic viability profiling","type":"article-journal"},"uris":["http://www.mendeley.com/documents/?uuid=6cc985ff-4b0d-4eeb-a5f6-7a914de5f4f6"]}],"mendeley":{"formattedCitation":"&lt;sup&gt;1,9,18,79,80&lt;/sup&gt;","plainTextFormattedCitation":"1,9,18,79,80","previouslyFormattedCitation":"&lt;sup&gt;1,9,18,80,81&lt;/sup&gt;"},"properties":{"noteIndex":0},"schema":"https://github.com/citation-style-language/schema/raw/master/csl-citation.json"}</w:instrText>
      </w:r>
      <w:r>
        <w:rPr>
          <w:rFonts w:asciiTheme="majorBidi" w:hAnsiTheme="majorBidi" w:cstheme="majorBidi"/>
          <w:bCs/>
          <w:sz w:val="24"/>
          <w:szCs w:val="24"/>
        </w:rPr>
        <w:fldChar w:fldCharType="separate"/>
      </w:r>
      <w:r w:rsidRPr="00070E8F">
        <w:rPr>
          <w:rFonts w:asciiTheme="majorBidi" w:hAnsiTheme="majorBidi" w:cstheme="majorBidi"/>
          <w:bCs/>
          <w:noProof/>
          <w:sz w:val="24"/>
          <w:szCs w:val="24"/>
          <w:vertAlign w:val="superscript"/>
        </w:rPr>
        <w:t>1,9,18,79,80</w:t>
      </w:r>
      <w:r>
        <w:rPr>
          <w:rFonts w:asciiTheme="majorBidi" w:hAnsiTheme="majorBidi" w:cstheme="majorBidi"/>
          <w:bCs/>
          <w:sz w:val="24"/>
          <w:szCs w:val="24"/>
        </w:rPr>
        <w:fldChar w:fldCharType="end"/>
      </w:r>
      <w:r w:rsidRPr="0035030F">
        <w:rPr>
          <w:rFonts w:asciiTheme="majorBidi" w:hAnsiTheme="majorBidi" w:cstheme="majorBidi"/>
          <w:bCs/>
          <w:sz w:val="24"/>
          <w:szCs w:val="24"/>
        </w:rPr>
        <w:t xml:space="preserve">, others may be the consequence of </w:t>
      </w:r>
      <w:r>
        <w:rPr>
          <w:rFonts w:asciiTheme="majorBidi" w:hAnsiTheme="majorBidi" w:cstheme="majorBidi"/>
          <w:bCs/>
          <w:sz w:val="24"/>
          <w:szCs w:val="24"/>
        </w:rPr>
        <w:t xml:space="preserve">more general </w:t>
      </w:r>
      <w:r w:rsidRPr="0035030F">
        <w:rPr>
          <w:rFonts w:asciiTheme="majorBidi" w:hAnsiTheme="majorBidi" w:cstheme="majorBidi"/>
          <w:bCs/>
          <w:sz w:val="24"/>
          <w:szCs w:val="24"/>
        </w:rPr>
        <w:t>cellular burdens associated with an abnormal number of chromosomes, independently of specific karyotypes. Indeed,</w:t>
      </w:r>
      <w:r>
        <w:rPr>
          <w:rFonts w:asciiTheme="majorBidi" w:hAnsiTheme="majorBidi" w:cstheme="majorBidi"/>
          <w:bCs/>
          <w:sz w:val="24"/>
          <w:szCs w:val="24"/>
        </w:rPr>
        <w:t xml:space="preserve"> aneuploidy elicits various types of cellular stress responses: </w:t>
      </w:r>
      <w:proofErr w:type="spellStart"/>
      <w:r>
        <w:rPr>
          <w:rFonts w:asciiTheme="majorBidi" w:hAnsiTheme="majorBidi" w:cstheme="majorBidi"/>
          <w:bCs/>
          <w:sz w:val="24"/>
          <w:szCs w:val="24"/>
        </w:rPr>
        <w:t>proteotoxic</w:t>
      </w:r>
      <w:proofErr w:type="spellEnd"/>
      <w:r>
        <w:rPr>
          <w:rFonts w:asciiTheme="majorBidi" w:hAnsiTheme="majorBidi" w:cstheme="majorBidi"/>
          <w:bCs/>
          <w:sz w:val="24"/>
          <w:szCs w:val="24"/>
        </w:rPr>
        <w:t>, metabolic, replicative, mitotic and hypo-osmotic responses</w:t>
      </w:r>
      <w:r>
        <w:rPr>
          <w:rFonts w:asciiTheme="majorBidi" w:hAnsiTheme="majorBidi" w:cstheme="majorBidi"/>
          <w:bCs/>
          <w:sz w:val="24"/>
          <w:szCs w:val="24"/>
        </w:rPr>
        <w:fldChar w:fldCharType="begin" w:fldLock="1"/>
      </w:r>
      <w:r>
        <w:rPr>
          <w:rFonts w:asciiTheme="majorBidi" w:hAnsiTheme="majorBidi" w:cstheme="majorBidi"/>
          <w:bCs/>
          <w:sz w:val="24"/>
          <w:szCs w:val="24"/>
        </w:rPr>
        <w:instrText>ADDIN CSL_CITATION {"citationItems":[{"id":"ITEM-1","itemData":{"DOI":"10.1016/j.tig.2011.07.003","ISBN":"0168-9525 (Print)\r0168-9525 (Linking)","PMID":"21872963","abstract":"Aneuploidy has a paradoxical effect on cell proliferation. In all normal cells analyzed to date, aneuploidy has been found to decrease the rate of cell proliferation. Yet, aneuploidy is also a hallmark of cancer, a disease of enhanced proliferative capacity, and aneuploid cells are frequently recovered following the experimental evolution of microorganisms. Thus, in certain contexts, aneuploidy might also have growth-advantageous properties. New models of aneuploidy and chromosomal instability have shed light on the diverse effects that karyotypic imbalances have on cellular phenotypes, and suggest novel ways of understanding the role of aneuploidy in development and disease.","author":[{"dropping-particle":"","family":"Sheltzer","given":"J M","non-dropping-particle":"","parse-names":false,"suffix":""},{"dropping-particle":"","family":"Amon","given":"A","non-dropping-particle":"","parse-names":false,"suffix":""}],"container-title":"Trends Genet","id":"ITEM-1","issue":"11","issued":{"date-parts":[["2011"]]},"note":"Sheltzer, Jason M\nAmon, Angelika\neng\nR01 GM056800/GM/NIGMS NIH HHS/\nR01 GM056800-16/GM/NIGMS NIH HHS/\nHoward Hughes Medical Institute/\nEvaluation Studies\nResearch Support, Non-U.S. Gov't\nReview\nEngland\n2011/08/30 06:00\nTrends Genet. 2011 Nov;27(11):446-53. doi: 10.1016/j.tig.2011.07.003. Epub 2011 Aug 26.","page":"446-453","title":"The aneuploidy paradox: costs and benefits of an incorrect karyotype","type":"article-journal","volume":"27"},"uris":["http://www.mendeley.com/documents/?uuid=17a25534-a9c1-4edc-a14d-9b8616b936b4"]},{"id":"ITEM-2","itemData":{"DOI":"10.1038/s41576-019-0171-x","ISBN":"1471-0064 (Electronic)\r1471-0056 (Linking)","PMID":"31548659","abstract":"Cancer is driven by multiple types of genetic alterations, which range in size from point mutations to whole-chromosome gains and losses, known as aneuploidy. Chromosome instability, the process that gives rise to aneuploidy, can promote tumorigenesis by increasing genetic heterogeneity and promoting tumour evolution. However, much less is known about how aneuploidy itself contributes to tumour formation and progression. Unlike some pan-cancer oncogenes and tumour suppressor genes that drive transformation in virtually all cell types and cellular contexts, aneuploidy is not a universal promoter of tumorigenesis. Instead, recent studies suggest that aneuploidy is a context-dependent, cancer-type-specific oncogenic event that may have clinical relevance as a prognostic marker and as a potential therapeutic target.","author":[{"dropping-particle":"","family":"Ben-David","given":"U","non-dropping-particle":"","parse-names":false,"suffix":""},{"dropping-particle":"","family":"Amon","given":"A","non-dropping-particle":"","parse-names":false,"suffix":""}],"container-title":"Nat Rev Genet","edition":"2019/09/25","id":"ITEM-2","issued":{"date-parts":[["2019"]]},"note":"Ben-David, Uri\nAmon, Angelika\neng\nReview\nEngland\nNat Rev Genet. 2019 Sep 23. pii: 10.1038/s41576-019-0171-x. doi: 10.1038/s41576-019-0171-x.","title":"Context is everything: aneuploidy in cancer","type":"article-journal"},"uris":["http://www.mendeley.com/documents/?uuid=e08a0835-55ce-4c2b-b69a-498a21d1e663"]},{"id":"ITEM-3","itemData":{"DOI":"10.1016/j.devcel.2018.02.002","ISBN":"1878-1551 (Electronic)\r1534-5807 (Linking)","PMID":"29486194","abstract":"Aneuploidy, chromosome stoichiometry that deviates from exact multiples of the haploid compliment of an organism, exists in eukaryotic microbes, several normal human tissues, and the majority of solid tumors. Here, we review the current understanding about the cellular stress states that may result from aneuploidy. The topics of aneuploidy-induced proteotoxic, metabolic, replication, and mitotic stress are assessed in the context of the gene dosage imbalance observed in aneuploid cells. We also highlight emerging findings related to the downstream effects of aneuploidy-induced cellular stress on the immune surveillance against aneuploid cells.","author":[{"dropping-particle":"","family":"Zhu","given":"J","non-dropping-particle":"","parse-names":false,"suffix":""},{"dropping-particle":"","family":"Tsai","given":"H J","non-dropping-particle":"","parse-names":false,"suffix":""},{"dropping-particle":"","family":"Gordon","given":"M R","non-dropping-particle":"","parse-names":false,"suffix":""},{"dropping-particle":"","family":"Li","given":"R","non-dropping-particle":"","parse-names":false,"suffix":""}],"container-title":"Dev Cell","id":"ITEM-3","issue":"4","issued":{"date-parts":[["2018"]]},"note":"Zhu, Jin\nTsai, Hung-Ji\nGordon, Molly R\nLi, Rong\neng\nR35 GM118172/GM/NIGMS NIH HHS/\nResearch Support, N.I.H., Extramural\nResearch Support, Non-U.S. Gov't\nReview\n2018/02/28 06:00\nDev Cell. 2018 Feb 26;44(4):420-431. doi: 10.1016/j.devcel.2018.02.002.","page":"420-431","title":"Cellular Stress Associated with Aneuploidy","type":"article-journal","volume":"44"},"uris":["http://www.mendeley.com/documents/?uuid=2b34e5cc-5f10-4fb5-8dee-2e89927b6c61"]},{"id":"ITEM-4","itemData":{"DOI":"10.1038/s41556-018-0243-8","ISBN":"1476-4679 (Electronic)\r1465-7392 (Linking)","PMID":"30602769","abstract":"Aneuploidy, or imbalanced chromosome number, has profound effects on eukaryotic cells. In humans, aneuploidy is associated with various pathologies, including cancer, which suggests that it mediates a proliferative advantage under these conditions. Here, we discuss physiological changes triggered by aneuploidy, such as altered cell growth, transcriptional changes, proteotoxic stress, genomic instability and response to interferons, and how cancer cells adapt to the changing aneuploid genome.","author":[{"dropping-particle":"","family":"Chunduri","given":"N K","non-dropping-particle":"","parse-names":false,"suffix":""},{"dropping-particle":"","family":"Storchova","given":"Z","non-dropping-particle":"","parse-names":false,"suffix":""}],"container-title":"Nat Cell Biol","id":"ITEM-4","issue":"1","issued":{"date-parts":[["2019"]]},"note":"Chunduri, Narendra Kumar\nStorchova, Zuzana\neng\nReview\nEngland\n2019/01/04 06:00\nNat Cell Biol. 2019 Jan;21(1):54-62. doi: 10.1038/s41556-018-0243-8. Epub 2019 Jan 2.","page":"54-62","title":"The diverse consequences of aneuploidy","type":"article-journal","volume":"21"},"uris":["http://www.mendeley.com/documents/?uuid=26ee490c-1b57-4a35-80bb-e2825ae46e1d"]}],"mendeley":{"formattedCitation":"&lt;sup&gt;1,21,78,81&lt;/sup&gt;","plainTextFormattedCitation":"1,21,78,81","previouslyFormattedCitation":"&lt;sup&gt;1,21,22,79&lt;/sup&gt;"},"properties":{"noteIndex":0},"schema":"https://github.com/citation-style-language/schema/raw/master/csl-citation.json"}</w:instrText>
      </w:r>
      <w:r>
        <w:rPr>
          <w:rFonts w:asciiTheme="majorBidi" w:hAnsiTheme="majorBidi" w:cstheme="majorBidi"/>
          <w:bCs/>
          <w:sz w:val="24"/>
          <w:szCs w:val="24"/>
        </w:rPr>
        <w:fldChar w:fldCharType="separate"/>
      </w:r>
      <w:r w:rsidRPr="00070E8F">
        <w:rPr>
          <w:rFonts w:asciiTheme="majorBidi" w:hAnsiTheme="majorBidi" w:cstheme="majorBidi"/>
          <w:bCs/>
          <w:noProof/>
          <w:sz w:val="24"/>
          <w:szCs w:val="24"/>
          <w:vertAlign w:val="superscript"/>
        </w:rPr>
        <w:t>1,21,78,81</w:t>
      </w:r>
      <w:r>
        <w:rPr>
          <w:rFonts w:asciiTheme="majorBidi" w:hAnsiTheme="majorBidi" w:cstheme="majorBidi"/>
          <w:bCs/>
          <w:sz w:val="24"/>
          <w:szCs w:val="24"/>
        </w:rPr>
        <w:fldChar w:fldCharType="end"/>
      </w:r>
      <w:r>
        <w:rPr>
          <w:rFonts w:asciiTheme="majorBidi" w:hAnsiTheme="majorBidi" w:cstheme="majorBidi"/>
          <w:bCs/>
          <w:sz w:val="24"/>
          <w:szCs w:val="24"/>
        </w:rPr>
        <w:t>. Consistent with a general cellular response to aneuploidy, introduction of aneuploidy into mammalian cells activated transcriptional programs that were independent of the specific chromosome</w:t>
      </w:r>
      <w:r>
        <w:rPr>
          <w:rFonts w:asciiTheme="majorBidi" w:hAnsiTheme="majorBidi" w:cstheme="majorBidi"/>
          <w:bCs/>
          <w:sz w:val="24"/>
          <w:szCs w:val="24"/>
        </w:rPr>
        <w:fldChar w:fldCharType="begin" w:fldLock="1"/>
      </w:r>
      <w:r>
        <w:rPr>
          <w:rFonts w:asciiTheme="majorBidi" w:hAnsiTheme="majorBidi" w:cstheme="majorBidi"/>
          <w:bCs/>
          <w:sz w:val="24"/>
          <w:szCs w:val="24"/>
        </w:rPr>
        <w:instrText>ADDIN CSL_CITATION {"citationItems":[{"id":"ITEM-1","itemData":{"DOI":"10.1158/0008-5472.CAN-13-0749","ISBN":"1538-7445 (Electronic)\r0008-5472 (Linking)","PMID":"24041940","abstract":"Aneuploidy is invariably associated with poor proliferation of primary cells, but the specific contributions of abnormal karyotypes to cancer, a disease characterized by aneuploidy and dysregulated proliferation, remain unclear. In this study, I demonstrate that the transcriptional alterations caused by aneuploidy in primary cells are also present in chromosomally unstable cancer cell lines, but the same alterations are not common to all aneuploid cancers. Chromosomally unstable cancer lines and aneuploid primary cells also share an increase in glycolytic and TCA cycle flux. The biological response to aneuploidy is associated with cellular stress and slow proliferation, and a 70-gene signature derived from primary aneuploid cells was defined as a strong predictor of increased survival in several cancers. Inversely, a transcriptional signature derived from clonal aneuploidy in tumors correlated with high mitotic activity and poor prognosis. Together, these findings suggested that there are two types of aneuploidy in cancer: one is clonal aneuploidy, which is selected during tumor evolution and associated with robust growth, and the other is subclonal aneuploidy caused by chromosomal instability (CIN). Subclonal aneuploidy more closely resembles the stressed state of primary aneuploid cells, yet CIN is not benign; a subset of genes upregulated in high-CIN cancers predict aggressive disease in human patients in a proliferation-independent manner.","author":[{"dropping-particle":"","family":"Sheltzer","given":"J M","non-dropping-particle":"","parse-names":false,"suffix":""}],"container-title":"Cancer Res","id":"ITEM-1","issue":"21","issued":{"date-parts":[["2013"]]},"note":"Sheltzer, Jason M\neng\nT32 GM007287/GM/NIGMS NIH HHS/\nR29 GM056800/GM/NIGMS NIH HHS/\nR01 GM056800/GM/NIGMS NIH HHS/\nHoward Hughes Medical Institute/\nGM056800/GM/NIGMS NIH HHS/\nResearch Support, N.I.H., Extramural\nResearch Support, Non-U.S. Gov't\n2013/09/18 06:00\nCancer Res. 2013 Nov 1;73(21):6401-12. doi: 10.1158/0008-5472.CAN-13-0749. Epub 2013 Sep 16.","page":"6401-6412","title":"A transcriptional and metabolic signature of primary aneuploidy is present in chromosomally unstable cancer cells and informs clinical prognosis","type":"article-journal","volume":"73"},"uris":["http://www.mendeley.com/documents/?uuid=7e195006-dd42-41a0-8996-6987240048a7"]},{"id":"ITEM-2","itemData":{"DOI":"10.1186/1471-2164-15-139","ISBN":"1471-2164 (Electronic)\r1471-2164 (Linking)","PMID":"24548329","abstract":"BACKGROUND: Aneuploidy, a karyotype deviating from multiples of a haploid chromosome set, affects the physiology of eukaryotes. In humans, aneuploidy is linked to pathological defects such as developmental abnormalities, mental retardation or cancer, but the underlying mechanisms remain elusive. There are many different types and origins of aneuploidy, but whether there is a uniform cellular response to aneuploidy in human cells has not been addressed so far. RESULTS: Here we evaluate the transcription profiles of eleven trisomic and tetrasomic cell lines and two cell lines with complex aneuploid karyotypes. We identify a characteristic aneuploidy response pattern defined by upregulation of genes linked to endoplasmic reticulum, Golgi apparatus and lysosomes, and downregulation of DNA replication, transcription as well as ribosomes. Strikingly, complex aneuploidy elicits the same transcriptional changes as trisomy. To uncover the triggers of the response, we compared the profiles with transcription changes in human cells subjected to stress conditions. Interestingly, we found an overlap only with the response to treatment with the autophagy inhibitor bafilomycin A1. Finally, we identified 23 genes whose expression is significantly altered in all aneuploids and which may thus serve as aneuploidy markers. CONCLUSIONS: Our analysis shows that despite the variability in chromosome content, aneuploidy triggers uniform transcriptional response in human cells. A common response independent of the type of aneuploidy might be exploited as a novel target for cancer therapy. Moreover, the potential aneuploidy markers identified in our analysis might represent novel biomarkers to assess the malignant potential of a tumor.","author":[{"dropping-particle":"","family":"Durrbaum","given":"M","non-dropping-particle":"","parse-names":false,"suffix":""},{"dropping-particle":"","family":"Kuznetsova","given":"A Y","non-dropping-particle":"","parse-names":false,"suffix":""},{"dropping-particle":"","family":"Passerini","given":"V","non-dropping-particle":"","parse-names":false,"suffix":""},{"dropping-particle":"","family":"Stingele","given":"S","non-dropping-particle":"","parse-names":false,"suffix":""},{"dropping-particle":"","family":"Stoehr","given":"G","non-dropping-particle":"","parse-names":false,"suffix":""},{"dropping-particle":"","family":"Storchova","given":"Z","non-dropping-particle":"","parse-names":false,"suffix":""}],"container-title":"BMC Genomics","id":"ITEM-2","issued":{"date-parts":[["2014"]]},"note":"Durrbaum, Milena\nKuznetsova, Anastasia Yurievna\nPasserini, Verena\nStingele, Silvia\nStoehr, Gabriele\nStorchova, Zuzana\neng\nEngland\n2014/02/20 06:00\nBMC Genomics. 2014 Feb 18;15:139. doi: 10.1186/1471-2164-15-139.","page":"139","title":"Unique features of the transcriptional response to model aneuploidy in human cells","type":"article-journal","volume":"15"},"uris":["http://www.mendeley.com/documents/?uuid=521403a3-ed1d-4f6c-a4ba-043166190469"]}],"mendeley":{"formattedCitation":"&lt;sup&gt;50,69&lt;/sup&gt;","plainTextFormattedCitation":"50,69","previouslyFormattedCitation":"&lt;sup&gt;51,70&lt;/sup&gt;"},"properties":{"noteIndex":0},"schema":"https://github.com/citation-style-language/schema/raw/master/csl-citation.json"}</w:instrText>
      </w:r>
      <w:r>
        <w:rPr>
          <w:rFonts w:asciiTheme="majorBidi" w:hAnsiTheme="majorBidi" w:cstheme="majorBidi"/>
          <w:bCs/>
          <w:sz w:val="24"/>
          <w:szCs w:val="24"/>
        </w:rPr>
        <w:fldChar w:fldCharType="separate"/>
      </w:r>
      <w:r w:rsidR="007B4748">
        <w:rPr>
          <w:rFonts w:asciiTheme="majorBidi" w:hAnsiTheme="majorBidi" w:cstheme="majorBidi"/>
          <w:bCs/>
          <w:noProof/>
          <w:sz w:val="24"/>
          <w:szCs w:val="24"/>
          <w:vertAlign w:val="superscript"/>
        </w:rPr>
        <w:t>56</w:t>
      </w:r>
      <w:r w:rsidRPr="00070E8F">
        <w:rPr>
          <w:rFonts w:asciiTheme="majorBidi" w:hAnsiTheme="majorBidi" w:cstheme="majorBidi"/>
          <w:bCs/>
          <w:noProof/>
          <w:sz w:val="24"/>
          <w:szCs w:val="24"/>
          <w:vertAlign w:val="superscript"/>
        </w:rPr>
        <w:t>,6</w:t>
      </w:r>
      <w:r w:rsidR="007B4748">
        <w:rPr>
          <w:rFonts w:asciiTheme="majorBidi" w:hAnsiTheme="majorBidi" w:cstheme="majorBidi"/>
          <w:bCs/>
          <w:noProof/>
          <w:sz w:val="24"/>
          <w:szCs w:val="24"/>
          <w:vertAlign w:val="superscript"/>
        </w:rPr>
        <w:t>8</w:t>
      </w:r>
      <w:r>
        <w:rPr>
          <w:rFonts w:asciiTheme="majorBidi" w:hAnsiTheme="majorBidi" w:cstheme="majorBidi"/>
          <w:bCs/>
          <w:sz w:val="24"/>
          <w:szCs w:val="24"/>
        </w:rPr>
        <w:fldChar w:fldCharType="end"/>
      </w:r>
      <w:r>
        <w:rPr>
          <w:rFonts w:asciiTheme="majorBidi" w:hAnsiTheme="majorBidi" w:cstheme="majorBidi"/>
          <w:bCs/>
          <w:sz w:val="24"/>
          <w:szCs w:val="24"/>
        </w:rPr>
        <w:t>.</w:t>
      </w:r>
    </w:p>
    <w:p w:rsidR="001638EE" w:rsidRDefault="001638EE" w:rsidP="001638EE">
      <w:pPr>
        <w:spacing w:after="160"/>
        <w:jc w:val="both"/>
        <w:rPr>
          <w:rFonts w:asciiTheme="majorBidi" w:hAnsiTheme="majorBidi" w:cstheme="majorBidi"/>
          <w:sz w:val="24"/>
          <w:szCs w:val="24"/>
        </w:rPr>
      </w:pPr>
      <w:r>
        <w:rPr>
          <w:rFonts w:asciiTheme="majorBidi" w:hAnsiTheme="majorBidi" w:cstheme="majorBidi"/>
          <w:sz w:val="24"/>
          <w:szCs w:val="24"/>
        </w:rPr>
        <w:t>A</w:t>
      </w:r>
      <w:r w:rsidRPr="0035030F">
        <w:rPr>
          <w:rFonts w:asciiTheme="majorBidi" w:hAnsiTheme="majorBidi" w:cstheme="majorBidi"/>
          <w:sz w:val="24"/>
          <w:szCs w:val="24"/>
        </w:rPr>
        <w:t xml:space="preserve"> major reason for </w:t>
      </w:r>
      <w:r>
        <w:rPr>
          <w:rFonts w:asciiTheme="majorBidi" w:hAnsiTheme="majorBidi" w:cstheme="majorBidi"/>
          <w:sz w:val="24"/>
          <w:szCs w:val="24"/>
        </w:rPr>
        <w:t>our gap</w:t>
      </w:r>
      <w:r w:rsidRPr="0035030F">
        <w:rPr>
          <w:rFonts w:asciiTheme="majorBidi" w:hAnsiTheme="majorBidi" w:cstheme="majorBidi"/>
          <w:sz w:val="24"/>
          <w:szCs w:val="24"/>
        </w:rPr>
        <w:t xml:space="preserve"> </w:t>
      </w:r>
      <w:r>
        <w:rPr>
          <w:rFonts w:asciiTheme="majorBidi" w:hAnsiTheme="majorBidi" w:cstheme="majorBidi"/>
          <w:sz w:val="24"/>
          <w:szCs w:val="24"/>
        </w:rPr>
        <w:t>in understanding the cellular dependencies induced by aneuploidy is</w:t>
      </w:r>
      <w:r w:rsidRPr="0035030F">
        <w:rPr>
          <w:rFonts w:asciiTheme="majorBidi" w:hAnsiTheme="majorBidi" w:cstheme="majorBidi"/>
          <w:sz w:val="24"/>
          <w:szCs w:val="24"/>
        </w:rPr>
        <w:t xml:space="preserve"> that aneuploidy is </w:t>
      </w:r>
      <w:r>
        <w:rPr>
          <w:rFonts w:asciiTheme="majorBidi" w:hAnsiTheme="majorBidi" w:cstheme="majorBidi"/>
          <w:sz w:val="24"/>
          <w:szCs w:val="24"/>
        </w:rPr>
        <w:t xml:space="preserve">notoriously </w:t>
      </w:r>
      <w:r w:rsidRPr="0035030F">
        <w:rPr>
          <w:rFonts w:asciiTheme="majorBidi" w:hAnsiTheme="majorBidi" w:cstheme="majorBidi"/>
          <w:sz w:val="24"/>
          <w:szCs w:val="24"/>
        </w:rPr>
        <w:t xml:space="preserve">difficult to study: it affects multiple genes at once, it plays distinct roles in different contexts, and it is hard to engineer experimentally. </w:t>
      </w:r>
      <w:r>
        <w:rPr>
          <w:rFonts w:asciiTheme="majorBidi" w:hAnsiTheme="majorBidi" w:cstheme="majorBidi"/>
          <w:sz w:val="24"/>
          <w:szCs w:val="24"/>
        </w:rPr>
        <w:t>Moreover, a high degree of aneuploidy is closely associated with other genomic alterations, such as whole-genome duplication (WGD) and p53 inactivation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{"citationItems":[{"id":"ITEM-1","itemData":{"DOI":"10.1016/j.ccell.2018.03.007","ISBN":"1878-3686 (Electronic)\r1535-6108 (Linking)","PMID":"29622463","abstract":"Aneuploidy, whole chromosome or chromosome arm imbalance, is a near-universal characteristic of human cancers. In 10,522 cancer genomes from The Cancer Genome Atlas, aneuploidy was correlated with TP53 mutation, somatic mutation rate, and expression of proliferation genes. Aneuploidy was anti-correlated with expression of immune signaling genes, due to decreased leukocyte infiltrates in high-aneuploidy samples. Chromosome arm-level alterations show cancer-specific patterns, including loss of chromosome arm 3p in squamous cancers. We applied genome engineering to delete 3p in lung cells, causing decreased proliferation rescued in part by chromosome 3 duplication. This study defines genomic and phenotypic correlates of cancer aneuploidy and provides an experimental approach to study chromosome arm aneuploidy.","author":[{"dropping-particle":"","family":"Taylor","given":"A M","non-dropping-particle":"","parse-names":false,"suffix":""},{"dropping-particle":"","family":"Shih","given":"J","non-dropping-particle":"","parse-names":false,"suffix":""},{"dropping-particle":"","family":"Ha","given":"G","non-dropping-particle":"","parse-names":false,"suffix":""},{"dropping-particle":"","family":"Gao","given":"G F","non-dropping-particle":"","parse-names":false,"suffix":""},{"dropping-particle":"","family":"Zhang","given":"X","non-dropping-particle":"","parse-names":false,"suffix":""},{"dropping-particle":"","family":"Berger","given":"A C","non-dropping-particle":"","parse-names":false,"suffix":""},{"dropping-particle":"","family":"Schumacher","given":"S E","non-dropping-particle":"","parse-names":false,"suffix":""},{"dropping-particle":"","family":"Wang","given":"C","non-dropping-particle":"","parse-names":false,"suffix":""},{"dropping-particle":"","family":"Hu","given":"H","non-dropping-particle":"","parse-names":false,"suffix":""},{"dropping-particle":"","family":"Liu","given":"J","non-dropping-particle":"","parse-names":false,"suffix":""},{"dropping-particle":"","family":"Lazar","given":"A J","non-dropping-particle":"","parse-names":false,"suffix":""},{"dropping-particle":"","family":"Cancer Genome Atlas Research","given":"Network","non-dropping-particle":"","parse-names":false,"suffix":""},{"dropping-particle":"","family":"Cherniack","given":"A D","non-dropping-particle":"","parse-names":false,"suffix":""},{"dropping-particle":"","family":"Beroukhim","given":"R","non-dropping-particle":"","parse-names":false,"suffix":""},{"dropping-particle":"","family":"Meyerson","given":"M","non-dropping-particle":"","parse-names":false,"suffix":""}],"container-title":"Cancer Cell","id":"ITEM-1","issue":"4","issued":{"date-parts":[["2018"]]},"note":"Taylor, Alison M\nShih, Juliann\nHa, Gavin\nGao, Galen F\nZhang, Xiaoyang\nBerger, Ashton C\nSchumacher, Steven E\nWang, Chen\nHu, Hai\nLiu, Jianfang\nLazar, Alexander J\nCherniack, Andrew D\nBeroukhim, Rameen\nMeyerson, Matthew\neng\nP30 CA016672/CA/NCI NIH HHS/\nU24 CA210950/CA/NCI NIH HHS/\nU24 CA210957/CA/NCI NIH HHS/\nR35 CA197568/CA/NCI NIH HHS/\nU24 CA210949/CA/NCI NIH HHS/\nR01 CA163722/CA/NCI NIH HHS/\nU24 CA210990/CA/NCI NIH HHS/\n2018/04/07 06:00\nCancer Cell. 2018 Apr 9;33(4):676-689.e3. doi: 10.1016/j.ccell.2018.03.007. Epub 2018 Apr 2.","page":"676-689 e3","title":"Genomic and Functional Approaches to Understanding Cancer Aneuploidy","type":"article-journal","volume":"33"},"uris":["http://www.mendeley.com/documents/?uuid=ba851c5f-4019-419f-b6bd-6e34341ce45d"]},{"id":"ITEM-2","itemData":{"DOI":"10.1038/nbt.2203","ISBN":"1546-1696 (Electronic)\r1087-0156 (Linking)","PMID":"22544022","abstract":"We describe a computational method that infers tumor purity and malignant cell ploidy directly from analysis of somatic DNA alterations. The method, named ABSOLUTE, can detect subclonal heterogeneity and somatic homozygosity, and it can calculate statistical sensitivity for detection of specific aberrations. We used ABSOLUTE to analyze exome sequencing data from 214 ovarian carcinoma tumor-normal pairs. This analysis identified both pervasive subclonal somatic point-mutations and a small subset of predominantly clonal and homozygous mutations, which were overrepresented in the tumor suppressor genes TP53 and NF1 and in a candidate tumor suppressor gene CDK12. We also used ABSOLUTE to infer absolute allelic copy-number profiles from 3,155 diverse cancer specimens, revealing that genome-doubling events are common in human cancer, likely occur in cells that are already aneuploid, and influence pathways of tumor progression (for example, with recessive inactivation of NF1 being less common after genome doubling). ABSOLUTE will facilitate the design of clinical sequencing studies and studies of cancer genome evolution and intra-tumor heterogeneity.","author":[{"dropping-particle":"","family":"Carter","given":"S L","non-dropping-particle":"","parse-names":false,"suffix":""},{"dropping-particle":"","family":"Cibulskis","given":"K","non-dropping-particle":"","parse-names":false,"suffix":""},{"dropping-particle":"","family":"Helman","given":"E","non-dropping-particle":"","parse-names":false,"suffix":""},{"dropping-particle":"","family":"McKenna","given":"A","non-dropping-particle":"","parse-names":false,"suffix":""},{"dropping-particle":"","family":"Shen","given":"H","non-dropping-particle":"","parse-names":false,"suffix":""},{"dropping-particle":"","family":"Zack","given":"T","non-dropping-particle":"","parse-names":false,"suffix":""},{"dropping-particle":"","family":"Laird","given":"P W","non-dropping-particle":"","parse-names":false,"suffix":""},{"dropping-particle":"","family":"Onofrio","given":"R C","non-dropping-particle":"","parse-names":false,"suffix":""},{"dropping-particle":"","family":"Winckler","given":"W","non-dropping-particle":"","parse-names":false,"suffix":""},{"dropping-particle":"","family":"Weir","given":"B A","non-dropping-particle":"","parse-names":false,"suffix":""},{"dropping-particle":"","family":"Beroukhim","given":"R","non-dropping-particle":"","parse-names":false,"suffix":""},{"dropping-particle":"","family":"Pellman","given":"D","non-dropping-particle":"","parse-names":false,"suffix":""},{"dropping-particle":"","family":"Levine","given":"D A","non-dropping-particle":"","parse-names":false,"suffix":""},{"dropping-particle":"","family":"Lander","given":"E S","non-dropping-particle":"","parse-names":false,"suffix":""},{"dropping-particle":"","family":"Meyerson","given":"M","non-dropping-particle":"","parse-names":false,"suffix":""},{"dropping-particle":"","family":"Getz","given":"G","non-dropping-particle":"","parse-names":false,"suffix":""}],"container-title":"Nat Biotechnol","id":"ITEM-2","issue":"5","issued":{"date-parts":[["2012"]]},"note":"Carter, Scott L\nCibulskis, Kristian\nHelman, Elena\nMcKenna, Aaron\nShen, Hui\nZack, Travis\nLaird, Peter W\nOnofrio, Robert C\nWinckler, Wendy\nWeir, Barbara A\nBeroukhim, Rameen\nPellman, David\nLevine, Douglas A\nLander, Eric S\nMeyerson, Matthew\nGetz, Gad\neng\nK08CA122833/CA/NCI NIH HHS/\nU24 CA143882/CA/NCI NIH HHS/\nU54 CA143798/CA/NCI NIH HHS/\nU54 HG003067/HG/NHGRI NIH HHS/\nU24 CA143845/CA/NCI NIH HHS/\nT32 HG002295/HG/NHGRI NIH HHS/\n5R01 GM083299-14/GM/NIGMS NIH HHS/\nK08 CA122833/CA/NCI NIH HHS/\nU24CA143867/CA/NCI NIH HHS/\nF32 CA113126/CA/NCI NIH HHS/\n5 T32 GM008313/GM/NIGMS NIH HHS/\nU24CA126546/CA/NCI NIH HHS/\nT32 GM008313/GM/NIGMS NIH HHS/\nF32CA113126/CA/NCI NIH HHS/\nR01 GM083299/GM/NIGMS NIH HHS/\nU24CA143845/CA/NCI NIH HHS/\nU24 CA143867/CA/NCI NIH HHS/\nU54CA143798/CA/NCI NIH HHS/\nU24 CA126546/CA/NCI NIH HHS/\nResearch Support, N.I.H., Extramural\n2012/05/01 06:00\nNat Biotechnol. 2012 May;30(5):413-21. doi: 10.1038/nbt.2203.","page":"413-421","title":"Absolute quantification of somatic DNA alterations in human cancer","type":"article-journal","volume":"30"},"uris":["http://www.mendeley.com/documents/?uuid=c74b218d-2d25-41d4-a564-10c3ee449fc3"]},{"id":"ITEM-3","itemData":{"DOI":"10.1038/s41588-018-0165-1","ISBN":"1546-1718 (Electronic)\r1061-4036 (Linking)","PMID":"30013179","abstract":"Ploidy abnormalities are a hallmark of cancer, but their impact on the evolution and outcomes of cancers is unknown. Here, we identified whole-genome doubling (WGD) in the tumors of nearly 30% of 9,692 prospectively sequenced advanced cancer patients. WGD varied by tumor lineage and molecular subtype, and arose early in carcinogenesis after an antecedent transforming driver mutation. While associated with TP53 mutations, 46% of all WGD arose in TP53-wild-type tumors and in such cases was associated with an E2F-mediated G1 arrest defect, although neither aberration was obligate in WGD tumors. The variability of WGD across cancer types can be explained in part by cancer cell proliferation rates. WGD predicted for increased morbidity across cancer types, including KRAS-mutant colorectal cancers and estrogen receptor-positive breast cancers, independently of established clinical prognostic factors. We conclude that WGD is highly common in cancer and is a macro-evolutionary event associated with poor prognosis across cancer types.","author":[{"dropping-particle":"","family":"Bielski","given":"C M","non-dropping-particle":"","parse-names":false,"suffix":""},{"dropping-particle":"","family":"Zehir","given":"A","non-dropping-particle":"","parse-names":false,"suffix":""},{"dropping-particle":"V","family":"Penson","given":"A","non-dropping-particle":"","parse-names":false,"suffix":""},{"dropping-particle":"","family":"Donoghue","given":"M T A","non-dropping-particle":"","parse-names":false,"suffix":""},{"dropping-particle":"","family":"Chatila","given":"W","non-dropping-particle":"","parse-names":false,"suffix":""},{"dropping-particle":"","family":"Armenia","given":"J","non-dropping-particle":"","parse-names":false,"suffix":""},{"dropping-particle":"","family":"Chang","given":"M T","non-dropping-particle":"","parse-names":false,"suffix":""},{"dropping-particle":"","family":"Schram","given":"A M","non-dropping-particle":"","parse-names":false,"suffix":""},{"dropping-particle":"","family":"Jonsson","given":"P","non-dropping-particle":"","parse-names":false,"suffix":""},{"dropping-particle":"","family":"Bandlamudi","given":"C","non-dropping-particle":"","parse-names":false,"suffix":""},{"dropping-particle":"","family":"Razavi","given":"P","non-dropping-particle":"","parse-names":false,"suffix":""},{"dropping-particle":"","family":"Iyer","given":"G","non-dropping-particle":"","parse-names":false,"suffix":""},{"dropping-particle":"","family":"Robson","given":"M E","non-dropping-particle":"","parse-names":false,"suffix":""},{"dropping-particle":"","family":"Stadler","given":"Z K","non-dropping-particle":"","parse-names":false,"suffix":""},{"dropping-particle":"","family":"Schultz","given":"N","non-dropping-particle":"","parse-names":false,"suffix":""},{"dropping-particle":"","family":"Baselga","given":"J","non-dropping-particle":"","parse-names":false,"suffix":""},{"dropping-particle":"","family":"Solit","given":"D B","non-dropping-particle":"","parse-names":false,"suffix":""},{"dropping-particle":"","family":"Hyman","given":"D M","non-dropping-particle":"","parse-names":false,"suffix":""},{"dropping-particle":"","family":"Berger","given":"M F","non-dropping-particle":"","parse-names":false,"suffix":""},{"dropping-particle":"","family":"Taylor","given":"B S","non-dropping-particle":"","parse-names":false,"suffix":""}],"container-title":"Nat Genet","id":"ITEM-3","issue":"8","issued":{"date-parts":[["2018"]]},"note":"Bielski, Craig M\nZehir, Ahmet\nPenson, Alexander V\nDonoghue, Mark T A\nChatila, Walid\nArmenia, Joshua\nChang, Matthew T\nSchram, Alison M\nJonsson, Philip\nBandlamudi, Chaitanya\nRazavi, Pedram\nIyer, Gopa\nRobson, Mark E\nStadler, Zsofia K\nSchultz, Nikolaus\nBaselga, Jose\nSolit, David B\nHyman, David M\nBerger, Michael F\nTaylor, Barry S\neng\nU54 OD020355/OD/NIH HHS/\nR01 CA207244/CA/NCI NIH HHS/\nP50 CA092629/CA/NCI NIH HHS/\nP30 CA008748/CA/NCI NIH HHS/\nT32 GM007175/GM/NIGMS NIH HHS/\nR01 CA204749/CA/NCI NIH HHS/\n2018/07/18 06:00\nNat Genet. 2018 Aug;50(8):1189-1195. doi: 10.1038/s41588-018-0165-1. Epub 2018 Jul 16.","page":"1189-1195","title":"Genome doubling shapes the evolution and prognosis of advanced cancers","type":"article-journal","volume":"50"},"uris":["http://www.mendeley.com/documents/?uuid=124e5455-5b49-46ff-8c9e-02bfe362cffb"]}],"mendeley":{"formattedCitation":"&lt;sup&gt;12,30,31&lt;/sup&gt;","plainTextFormattedCitation":"12,30,31","previouslyFormattedCitation":"&lt;sup&gt;12,31,32&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12,30,31</w:t>
      </w:r>
      <w:r>
        <w:rPr>
          <w:rFonts w:asciiTheme="majorBidi" w:hAnsiTheme="majorBidi" w:cstheme="majorBidi"/>
          <w:sz w:val="24"/>
          <w:szCs w:val="24"/>
        </w:rPr>
        <w:fldChar w:fldCharType="end"/>
      </w:r>
      <w:r>
        <w:rPr>
          <w:rFonts w:asciiTheme="majorBidi" w:hAnsiTheme="majorBidi" w:cstheme="majorBidi"/>
          <w:sz w:val="24"/>
          <w:szCs w:val="24"/>
        </w:rPr>
        <w:t xml:space="preserve">; as well as with cell division defects, such as CIN and </w:t>
      </w:r>
      <w:r w:rsidRPr="00FE71E6">
        <w:rPr>
          <w:rFonts w:asciiTheme="majorBidi" w:hAnsiTheme="majorBidi" w:cstheme="majorBidi"/>
          <w:sz w:val="24"/>
          <w:szCs w:val="24"/>
        </w:rPr>
        <w:t>micronuclei formation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{"citationItems":[{"id":"ITEM-1","itemData":{"DOI":"10.1038/nature14493","ISBN":"1476-4687 (Electronic)\r0028-0836 (Linking)","PMID":"26017310","abstract":"Genome sequencing has uncovered a new mutational phenomenon in cancer and congenital disorders called chromothripsis. Chromothripsis is characterized by extensive genomic rearrangements and an oscillating pattern of DNA copy number levels, all curiously restricted to one or a few chromosomes. The mechanism for chromothripsis is unknown, but we previously proposed that it could occur through the physical isolation of chromosomes in aberrant nuclear structures called micronuclei. Here, using a combination of live cell imaging and single-cell genome sequencing, we demonstrate that micronucleus formation can indeed generate a spectrum of genomic rearrangements, some of which recapitulate all known features of chromothripsis. These events are restricted to the mis-segregated chromosome and occur within one cell division. We demonstrate that the mechanism for chromothripsis can involve the fragmentation and subsequent reassembly of a single chromatid from a micronucleus. Collectively, these experiments establish a new mutational process of which chromothripsis is one extreme outcome.","author":[{"dropping-particle":"","family":"Zhang","given":"C Z","non-dropping-particle":"","parse-names":false,"suffix":""},{"dropping-particle":"","family":"Spektor","given":"A","non-dropping-particle":"","parse-names":false,"suffix":""},{"dropping-particle":"","family":"Cornils","given":"H","non-dropping-particle":"","parse-names":false,"suffix":""},{"dropping-particle":"","family":"Francis","given":"J M","non-dropping-particle":"","parse-names":false,"suffix":""},{"dropping-particle":"","family":"Jackson","given":"E K","non-dropping-particle":"","parse-names":false,"suffix":""},{"dropping-particle":"","family":"Liu","given":"S","non-dropping-particle":"","parse-names":false,"suffix":""},{"dropping-particle":"","family":"Meyerson","given":"M","non-dropping-particle":"","parse-names":false,"suffix":""},{"dropping-particle":"","family":"Pellman","given":"D","non-dropping-particle":"","parse-names":false,"suffix":""}],"container-title":"Nature","edition":"2015/05/29","id":"ITEM-1","issue":"7555","issued":{"date-parts":[["2015"]]},"note":"Zhang, Cheng-Zhong\nSpektor, Alexander\nCornils, Hauke\nFrancis, Joshua M\nJackson, Emily K\nLiu, Shiwei\nMeyerson, Matthew\nPellman, David\neng\nR37 GM061345/GM/NIGMS NIH HHS/\nHoward Hughes Medical Institute/\nR01 GM083299/GM/NIGMS NIH HHS/\nR01 GM061345/GM/NIGMS NIH HHS/\nGM083299-18/GM/NIGMS NIH HHS/\nResearch Support, N.I.H., Extramural\nResearch Support, Non-U.S. Gov't\nEngland\nNature. 2015 Jun 11;522(7555):179-84. doi: 10.1038/nature14493. Epub 2015 May 27.","page":"179-184","title":"Chromothripsis from DNA damage in micronuclei","type":"article-journal","volume":"522"},"uris":["http://www.mendeley.com/documents/?uuid=6b4c81fd-ce18-4215-a728-c33914eefb6d"]},{"id":"ITEM-2","itemData":{"DOI":"10.1242/jcs.214742","ISBN":"1477-9137 (Electronic)\r0021-9533 (Linking)","PMID":"29930083","abstract":"DNA in micronuclei is likely to get damaged. When shattered DNA from micronuclei gets reincorporated into the primary nucleus, aberrant rearrangements can take place, a phenomenon referred to as chromothripsis. Here, we investigated how chromatids from micronuclei act in subsequent divisions and how this affects their fate. We observed that the majority of chromatids derived from micronuclei fail to establish a proper kinetochore in mitosis, which is associated with problems in chromosome alignment, segregation and spindle assembly checkpoint activation. Remarkably, we found that, upon their formation, micronuclei already display decreased levels of important kinetochore assembly factors. Importantly, these defects favour the exclusion of the micronucleus over the reintegration into the primary nucleus over several divisions. Interestingly, the defects observed in micronuclei are likely overcome once micronuclei are reincorporated into the primary nuclei, as they further propagate normally. We conclude that the formation of a separate small nuclear entity represents a mechanism for the cell to delay the stable propagation of excess chromosome(s) and/or damaged DNA, by inducing kinetochore defects.","author":[{"dropping-particle":"","family":"Soto","given":"M","non-dropping-particle":"","parse-names":false,"suffix":""},{"dropping-particle":"","family":"Garcia-Santisteban","given":"I","non-dropping-particle":"","parse-names":false,"suffix":""},{"dropping-particle":"","family":"Krenning","given":"L","non-dropping-particle":"","parse-names":false,"suffix":""},{"dropping-particle":"","family":"Medema","given":"R H","non-dropping-particle":"","parse-names":false,"suffix":""},{"dropping-particle":"","family":"Raaijmakers","given":"J A","non-dropping-particle":"","parse-names":false,"suffix":""}],"container-title":"J Cell Sci","edition":"2018/06/23","id":"ITEM-2","issue":"13","issued":{"date-parts":[["2018"]]},"note":"Soto, Mar\nGarcia-Santisteban, Iraia\nKrenning, Lenno\nMedema, Rene H\nRaaijmakers, Jonne A\neng\nEngland\nJ Cell Sci. 2018 Jul 9;131(13). pii: jcs.214742. doi: 10.1242/jcs.214742.","title":"Chromosomes trapped in micronuclei are liable to segregation errors","type":"article-journal","volume":"131"},"uris":["http://www.mendeley.com/documents/?uuid=c43cec9f-18ec-4c5a-950e-261afc6cece2"]},{"id":"ITEM-3","itemData":{"DOI":"10.18632/oncotarget.26853","ISBN":"1949-2553 (Electronic)\r1949-2553 (Linking)","PMID":"31105868","abstract":"Micronuclei (MNi) are extranuclear DNA-containing structures that form upon mitotic exit from unsegregated chromosome fragments or anaphase lagging (whole) chromosomes (LCs). MNi formed from whole chromosomes are of particular interest because LCs are observed in both cancer and non-cancer cells, and are recognized as a major source of chromosomal instability (CIN) in cancer cells. Here, we generated a PtK1 cell line expressing a photoactivatable H2B histone to study the behavior of whole chromosome-containing MNi at the mitosis following their formation. Importantly, MNi of PtK1 cells did not display the membrane rupture or transport defects reported for other cell types. Despite this, we found that most micronucleated cells displayed some kind of chromosome segregation defect and that the missegregating chromosome was the one derived from the MN. Moreover, condensation of the chromosome within the MN was frequently delayed and associated with failure to align at the metaphase plate. Finally, the defective condensation of the MN-derived chromosomes could also explain the frequent occurrence of cytokinesis failure in micronucleated cells. In summary, we find that chromosomes from MNi may trigger a CIN phenotype by missegregating at the mitosis following MN formation.","author":[{"dropping-particle":"","family":"He","given":"B","non-dropping-particle":"","parse-names":false,"suffix":""},{"dropping-particle":"","family":"Gnawali","given":"N","non-dropping-particle":"","parse-names":false,"suffix":""},{"dropping-particle":"","family":"Hinman","given":"A W","non-dropping-particle":"","parse-names":false,"suffix":""},{"dropping-particle":"","family":"Mattingly","given":"A J","non-dropping-particle":"","parse-names":false,"suffix":""},{"dropping-particle":"","family":"Osimani","given":"A","non-dropping-particle":"","parse-names":false,"suffix":""},{"dropping-particle":"","family":"Cimini","given":"D","non-dropping-particle":"","parse-names":false,"suffix":""}],"container-title":"Oncotarget","edition":"2019/05/21","id":"ITEM-3","issue":"28","issued":{"date-parts":[["2019"]]},"note":"He, Bin\nGnawali, Nisha\nHinman, Albert W\nMattingly, Aaron J\nOsimani, Alyssa\nCimini, Daniela\neng\nOncotarget. 2019 Apr 12;10(28):2660-2674. doi: 10.18632/oncotarget.26853. eCollection 2019 Apr 12.","page":"2660-2674","title":"Chromosomes missegregated into micronuclei contribute to chromosomal instability by missegregating at the next division","type":"article-journal","volume":"10"},"uris":["http://www.mendeley.com/documents/?uuid=f9d57bfd-4442-454b-b05f-f8b534108aa6"]}],"mendeley":{"formattedCitation":"&lt;sup&gt;34,35,82&lt;/sup&gt;","plainTextFormattedCitation":"34,35,82","previouslyFormattedCitation":"&lt;sup&gt;35,36,82&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34,35,82</w:t>
      </w:r>
      <w:r>
        <w:rPr>
          <w:rFonts w:asciiTheme="majorBidi" w:hAnsiTheme="majorBidi" w:cstheme="majorBidi"/>
          <w:sz w:val="24"/>
          <w:szCs w:val="24"/>
        </w:rPr>
        <w:fldChar w:fldCharType="end"/>
      </w:r>
      <w:r>
        <w:rPr>
          <w:rFonts w:asciiTheme="majorBidi" w:hAnsiTheme="majorBidi" w:cstheme="majorBidi"/>
          <w:sz w:val="24"/>
          <w:szCs w:val="24"/>
        </w:rPr>
        <w:t>.</w:t>
      </w:r>
    </w:p>
    <w:p w:rsidR="001638EE" w:rsidRPr="00B62AD1" w:rsidRDefault="001638EE" w:rsidP="001638EE">
      <w:pPr>
        <w:spacing w:after="160"/>
        <w:jc w:val="both"/>
        <w:rPr>
          <w:rFonts w:asciiTheme="majorBidi" w:hAnsiTheme="majorBidi" w:cstheme="majorBidi"/>
          <w:b/>
          <w:bCs/>
          <w:color w:val="auto"/>
          <w:sz w:val="24"/>
          <w:szCs w:val="24"/>
          <w:u w:val="single"/>
        </w:rPr>
      </w:pPr>
      <w:r w:rsidRPr="00B62AD1">
        <w:rPr>
          <w:rFonts w:asciiTheme="majorBidi" w:hAnsiTheme="majorBidi" w:cstheme="majorBidi"/>
          <w:b/>
          <w:bCs/>
          <w:sz w:val="24"/>
          <w:szCs w:val="24"/>
        </w:rPr>
        <w:t>Supplementary Note 2: Comparison of overlapping genes between the Achille</w:t>
      </w:r>
      <w:r>
        <w:rPr>
          <w:rFonts w:asciiTheme="majorBidi" w:hAnsiTheme="majorBidi" w:cstheme="majorBidi"/>
          <w:b/>
          <w:bCs/>
          <w:sz w:val="24"/>
          <w:szCs w:val="24"/>
        </w:rPr>
        <w:t>s</w:t>
      </w:r>
      <w:r w:rsidRPr="00B62AD1">
        <w:rPr>
          <w:rFonts w:asciiTheme="majorBidi" w:hAnsiTheme="majorBidi" w:cstheme="majorBidi"/>
          <w:b/>
          <w:bCs/>
          <w:sz w:val="24"/>
          <w:szCs w:val="24"/>
        </w:rPr>
        <w:t xml:space="preserve"> and DRIVE </w:t>
      </w:r>
      <w:r>
        <w:rPr>
          <w:rFonts w:asciiTheme="majorBidi" w:hAnsiTheme="majorBidi" w:cstheme="majorBidi"/>
          <w:b/>
          <w:bCs/>
          <w:sz w:val="24"/>
          <w:szCs w:val="24"/>
        </w:rPr>
        <w:t>RNAi</w:t>
      </w:r>
      <w:r w:rsidR="00807C44">
        <w:rPr>
          <w:rFonts w:asciiTheme="majorBidi" w:hAnsiTheme="majorBidi" w:cstheme="majorBidi"/>
          <w:b/>
          <w:bCs/>
          <w:sz w:val="24"/>
          <w:szCs w:val="24"/>
        </w:rPr>
        <w:t xml:space="preserve"> data sets</w:t>
      </w:r>
    </w:p>
    <w:p w:rsidR="001638EE" w:rsidRDefault="001638EE" w:rsidP="001638EE">
      <w:pPr>
        <w:spacing w:after="160"/>
        <w:rPr>
          <w:rFonts w:asciiTheme="majorBidi" w:hAnsiTheme="majorBidi" w:cstheme="majorBidi"/>
          <w:b/>
          <w:bCs/>
          <w:color w:val="auto"/>
          <w:sz w:val="24"/>
          <w:szCs w:val="24"/>
        </w:rPr>
      </w:pPr>
      <w:r>
        <w:rPr>
          <w:rFonts w:asciiTheme="majorBidi" w:hAnsiTheme="majorBidi" w:cstheme="majorBidi"/>
          <w:sz w:val="24"/>
          <w:szCs w:val="24"/>
        </w:rPr>
        <w:t>Of the overlapping genes between the datasets,</w:t>
      </w:r>
      <w:r w:rsidRPr="7126D1FF">
        <w:rPr>
          <w:rFonts w:asciiTheme="majorBidi" w:hAnsiTheme="majorBidi" w:cstheme="majorBidi"/>
          <w:sz w:val="24"/>
          <w:szCs w:val="24"/>
        </w:rPr>
        <w:t xml:space="preserve"> </w:t>
      </w:r>
      <w:r>
        <w:rPr>
          <w:rFonts w:asciiTheme="majorBidi" w:hAnsiTheme="majorBidi" w:cstheme="majorBidi"/>
          <w:sz w:val="24"/>
          <w:szCs w:val="24"/>
        </w:rPr>
        <w:t xml:space="preserve">17 of the 34 (50%) </w:t>
      </w:r>
      <w:r w:rsidRPr="7126D1FF">
        <w:rPr>
          <w:rFonts w:asciiTheme="majorBidi" w:hAnsiTheme="majorBidi" w:cstheme="majorBidi"/>
          <w:sz w:val="24"/>
          <w:szCs w:val="24"/>
        </w:rPr>
        <w:t xml:space="preserve">dependencies </w:t>
      </w:r>
      <w:r>
        <w:rPr>
          <w:rFonts w:asciiTheme="majorBidi" w:hAnsiTheme="majorBidi" w:cstheme="majorBidi"/>
          <w:sz w:val="24"/>
          <w:szCs w:val="24"/>
        </w:rPr>
        <w:t>identified in the Achilles data</w:t>
      </w:r>
      <w:r w:rsidRPr="7126D1FF">
        <w:rPr>
          <w:rFonts w:asciiTheme="majorBidi" w:hAnsiTheme="majorBidi" w:cstheme="majorBidi"/>
          <w:sz w:val="24"/>
          <w:szCs w:val="24"/>
        </w:rPr>
        <w:t>set were also i</w:t>
      </w:r>
      <w:r>
        <w:rPr>
          <w:rFonts w:asciiTheme="majorBidi" w:hAnsiTheme="majorBidi" w:cstheme="majorBidi"/>
          <w:sz w:val="24"/>
          <w:szCs w:val="24"/>
        </w:rPr>
        <w:t>dentified in the DRIVE dataset,</w:t>
      </w:r>
      <w:r w:rsidRPr="7126D1FF">
        <w:rPr>
          <w:rFonts w:asciiTheme="majorBidi" w:hAnsiTheme="majorBidi" w:cstheme="majorBidi"/>
          <w:sz w:val="24"/>
          <w:szCs w:val="24"/>
        </w:rPr>
        <w:t xml:space="preserve"> indicating hi</w:t>
      </w:r>
      <w:r>
        <w:rPr>
          <w:rFonts w:asciiTheme="majorBidi" w:hAnsiTheme="majorBidi" w:cstheme="majorBidi"/>
          <w:sz w:val="24"/>
          <w:szCs w:val="24"/>
        </w:rPr>
        <w:t>gh concordance between the data</w:t>
      </w:r>
      <w:r w:rsidRPr="7126D1FF">
        <w:rPr>
          <w:rFonts w:asciiTheme="majorBidi" w:hAnsiTheme="majorBidi" w:cstheme="majorBidi"/>
          <w:sz w:val="24"/>
          <w:szCs w:val="24"/>
        </w:rPr>
        <w:t>sets (</w:t>
      </w:r>
      <w:r>
        <w:rPr>
          <w:rFonts w:asciiTheme="majorBidi" w:hAnsiTheme="majorBidi" w:cstheme="majorBidi"/>
          <w:sz w:val="24"/>
          <w:szCs w:val="24"/>
        </w:rPr>
        <w:t>p=1*10</w:t>
      </w:r>
      <w:r w:rsidRPr="00BD6467">
        <w:rPr>
          <w:rFonts w:asciiTheme="majorBidi" w:hAnsiTheme="majorBidi" w:cstheme="majorBidi"/>
          <w:sz w:val="24"/>
          <w:szCs w:val="24"/>
          <w:vertAlign w:val="superscript"/>
        </w:rPr>
        <w:t>-16</w:t>
      </w:r>
      <w:r>
        <w:rPr>
          <w:rFonts w:asciiTheme="majorBidi" w:hAnsiTheme="majorBidi" w:cstheme="majorBidi"/>
          <w:sz w:val="24"/>
          <w:szCs w:val="24"/>
        </w:rPr>
        <w:t xml:space="preserve">; </w:t>
      </w:r>
      <w:r w:rsidRPr="7126D1FF">
        <w:rPr>
          <w:rFonts w:asciiTheme="majorBidi" w:hAnsiTheme="majorBidi" w:cstheme="majorBidi"/>
          <w:b/>
          <w:bCs/>
          <w:sz w:val="24"/>
          <w:szCs w:val="24"/>
        </w:rPr>
        <w:t>Extended Data Fig. 1c</w:t>
      </w:r>
      <w:r w:rsidRPr="7126D1FF">
        <w:rPr>
          <w:rFonts w:asciiTheme="majorBidi" w:hAnsiTheme="majorBidi" w:cstheme="majorBidi"/>
          <w:sz w:val="24"/>
          <w:szCs w:val="24"/>
        </w:rPr>
        <w:t>).</w:t>
      </w:r>
    </w:p>
    <w:p w:rsidR="001638EE" w:rsidRPr="001E4C69" w:rsidRDefault="001638EE" w:rsidP="001638EE">
      <w:pPr>
        <w:spacing w:after="160" w:line="259" w:lineRule="auto"/>
        <w:jc w:val="both"/>
        <w:rPr>
          <w:rFonts w:asciiTheme="majorBidi" w:hAnsiTheme="majorBidi" w:cstheme="majorBidi"/>
          <w:b/>
          <w:bCs/>
          <w:color w:val="auto"/>
          <w:sz w:val="24"/>
          <w:szCs w:val="24"/>
        </w:rPr>
      </w:pPr>
      <w:r w:rsidRPr="001E4C69">
        <w:rPr>
          <w:rFonts w:asciiTheme="majorBidi" w:hAnsiTheme="majorBidi" w:cstheme="majorBidi"/>
          <w:b/>
          <w:bCs/>
          <w:color w:val="auto"/>
          <w:sz w:val="24"/>
          <w:szCs w:val="24"/>
        </w:rPr>
        <w:t xml:space="preserve">Supplementary Note </w:t>
      </w:r>
      <w:r>
        <w:rPr>
          <w:rFonts w:asciiTheme="majorBidi" w:hAnsiTheme="majorBidi" w:cstheme="majorBidi"/>
          <w:b/>
          <w:bCs/>
          <w:color w:val="auto"/>
          <w:sz w:val="24"/>
          <w:szCs w:val="24"/>
        </w:rPr>
        <w:t>3</w:t>
      </w:r>
      <w:r w:rsidRPr="001E4C69">
        <w:rPr>
          <w:rFonts w:asciiTheme="majorBidi" w:hAnsiTheme="majorBidi" w:cstheme="majorBidi"/>
          <w:b/>
          <w:bCs/>
          <w:color w:val="auto"/>
          <w:sz w:val="24"/>
          <w:szCs w:val="24"/>
        </w:rPr>
        <w:t>: Comparison of genetic dependencies between the top and bottom 10% of the aneuploidy scores</w:t>
      </w:r>
    </w:p>
    <w:p w:rsidR="001638EE" w:rsidRPr="001E4C69" w:rsidRDefault="001638EE" w:rsidP="001638EE">
      <w:pPr>
        <w:spacing w:after="160"/>
        <w:jc w:val="both"/>
        <w:rPr>
          <w:rFonts w:asciiTheme="majorBidi" w:hAnsiTheme="majorBidi" w:cstheme="majorBidi"/>
          <w:color w:val="auto"/>
          <w:sz w:val="24"/>
          <w:szCs w:val="24"/>
        </w:rPr>
      </w:pPr>
      <w:r w:rsidRPr="001E4C69">
        <w:rPr>
          <w:rFonts w:asciiTheme="majorBidi" w:hAnsiTheme="majorBidi" w:cstheme="majorBidi"/>
          <w:color w:val="auto"/>
          <w:sz w:val="24"/>
          <w:szCs w:val="24"/>
        </w:rPr>
        <w:t>A comparison of the genetic dependenc</w:t>
      </w:r>
      <w:r>
        <w:rPr>
          <w:rFonts w:asciiTheme="majorBidi" w:hAnsiTheme="majorBidi" w:cstheme="majorBidi"/>
          <w:color w:val="auto"/>
          <w:sz w:val="24"/>
          <w:szCs w:val="24"/>
        </w:rPr>
        <w:t>ies between the 10% of the cell</w:t>
      </w:r>
      <w:r w:rsidRPr="001E4C69">
        <w:rPr>
          <w:rFonts w:asciiTheme="majorBidi" w:hAnsiTheme="majorBidi" w:cstheme="majorBidi"/>
          <w:color w:val="auto"/>
          <w:sz w:val="24"/>
          <w:szCs w:val="24"/>
        </w:rPr>
        <w:t xml:space="preserve"> lines with the highest </w:t>
      </w:r>
      <w:r>
        <w:rPr>
          <w:rFonts w:asciiTheme="majorBidi" w:hAnsiTheme="majorBidi" w:cstheme="majorBidi"/>
          <w:color w:val="auto"/>
          <w:sz w:val="24"/>
          <w:szCs w:val="24"/>
        </w:rPr>
        <w:t>AS</w:t>
      </w:r>
      <w:r w:rsidRPr="001E4C69">
        <w:rPr>
          <w:rFonts w:asciiTheme="majorBidi" w:hAnsiTheme="majorBidi" w:cstheme="majorBidi"/>
          <w:color w:val="auto"/>
          <w:sz w:val="24"/>
          <w:szCs w:val="24"/>
        </w:rPr>
        <w:t xml:space="preserve"> and the 10% of the cell lines with the lowest </w:t>
      </w:r>
      <w:r>
        <w:rPr>
          <w:rFonts w:asciiTheme="majorBidi" w:hAnsiTheme="majorBidi" w:cstheme="majorBidi"/>
          <w:color w:val="auto"/>
          <w:sz w:val="24"/>
          <w:szCs w:val="24"/>
        </w:rPr>
        <w:t>AS</w:t>
      </w:r>
      <w:r w:rsidRPr="001E4C69">
        <w:rPr>
          <w:rFonts w:asciiTheme="majorBidi" w:hAnsiTheme="majorBidi" w:cstheme="majorBidi"/>
          <w:color w:val="auto"/>
          <w:sz w:val="24"/>
          <w:szCs w:val="24"/>
        </w:rPr>
        <w:t xml:space="preserve"> recapitulated the comparison between the top and bottom quartiles, shown in </w:t>
      </w:r>
      <w:r w:rsidRPr="001E4C69">
        <w:rPr>
          <w:rFonts w:asciiTheme="majorBidi" w:hAnsiTheme="majorBidi" w:cstheme="majorBidi"/>
          <w:b/>
          <w:bCs/>
          <w:color w:val="auto"/>
          <w:sz w:val="24"/>
          <w:szCs w:val="24"/>
        </w:rPr>
        <w:t>Fig. 1</w:t>
      </w:r>
      <w:r w:rsidRPr="001E4C69">
        <w:rPr>
          <w:rFonts w:asciiTheme="majorBidi" w:hAnsiTheme="majorBidi" w:cstheme="majorBidi"/>
          <w:color w:val="auto"/>
          <w:sz w:val="24"/>
          <w:szCs w:val="24"/>
        </w:rPr>
        <w:t xml:space="preserve">. </w:t>
      </w:r>
      <w:r w:rsidRPr="001E4C69">
        <w:rPr>
          <w:rFonts w:asciiTheme="majorBidi" w:hAnsiTheme="majorBidi" w:cstheme="majorBidi"/>
          <w:i/>
          <w:iCs/>
          <w:color w:val="auto"/>
          <w:sz w:val="24"/>
          <w:szCs w:val="24"/>
        </w:rPr>
        <w:t>BUB1B</w:t>
      </w:r>
      <w:r w:rsidRPr="001E4C69">
        <w:rPr>
          <w:rFonts w:asciiTheme="majorBidi" w:hAnsiTheme="majorBidi" w:cstheme="majorBidi"/>
          <w:color w:val="auto"/>
          <w:sz w:val="24"/>
          <w:szCs w:val="24"/>
        </w:rPr>
        <w:t xml:space="preserve">, </w:t>
      </w:r>
      <w:r w:rsidRPr="001E4C69">
        <w:rPr>
          <w:rFonts w:asciiTheme="majorBidi" w:hAnsiTheme="majorBidi" w:cstheme="majorBidi"/>
          <w:i/>
          <w:iCs/>
          <w:color w:val="auto"/>
          <w:sz w:val="24"/>
          <w:szCs w:val="24"/>
        </w:rPr>
        <w:t>MAD2</w:t>
      </w:r>
      <w:r w:rsidRPr="001E4C69">
        <w:rPr>
          <w:rFonts w:asciiTheme="majorBidi" w:hAnsiTheme="majorBidi" w:cstheme="majorBidi"/>
          <w:color w:val="auto"/>
          <w:sz w:val="24"/>
          <w:szCs w:val="24"/>
        </w:rPr>
        <w:t xml:space="preserve"> and </w:t>
      </w:r>
      <w:r w:rsidRPr="001E4C69">
        <w:rPr>
          <w:rFonts w:asciiTheme="majorBidi" w:hAnsiTheme="majorBidi" w:cstheme="majorBidi"/>
          <w:i/>
          <w:iCs/>
          <w:color w:val="auto"/>
          <w:sz w:val="24"/>
          <w:szCs w:val="24"/>
        </w:rPr>
        <w:t>KIF18A</w:t>
      </w:r>
      <w:r w:rsidRPr="001E4C69">
        <w:rPr>
          <w:rFonts w:asciiTheme="majorBidi" w:hAnsiTheme="majorBidi" w:cstheme="majorBidi"/>
          <w:color w:val="auto"/>
          <w:sz w:val="24"/>
          <w:szCs w:val="24"/>
        </w:rPr>
        <w:t xml:space="preserve"> were all significantly more essential in the top aneuploidy decile compared to the bottom aneuploidy decile (</w:t>
      </w:r>
      <w:r w:rsidRPr="001E4C69">
        <w:rPr>
          <w:rFonts w:asciiTheme="majorBidi" w:hAnsiTheme="majorBidi" w:cstheme="majorBidi"/>
          <w:b/>
          <w:bCs/>
          <w:color w:val="auto"/>
          <w:sz w:val="24"/>
          <w:szCs w:val="24"/>
        </w:rPr>
        <w:t xml:space="preserve">Extended Data Fig. </w:t>
      </w:r>
      <w:r>
        <w:rPr>
          <w:rFonts w:asciiTheme="majorBidi" w:hAnsiTheme="majorBidi" w:cstheme="majorBidi"/>
          <w:b/>
          <w:bCs/>
          <w:color w:val="auto"/>
          <w:sz w:val="24"/>
          <w:szCs w:val="24"/>
        </w:rPr>
        <w:t>1</w:t>
      </w:r>
      <w:proofErr w:type="gramStart"/>
      <w:r>
        <w:rPr>
          <w:rFonts w:asciiTheme="majorBidi" w:hAnsiTheme="majorBidi" w:cstheme="majorBidi"/>
          <w:b/>
          <w:bCs/>
          <w:color w:val="auto"/>
          <w:sz w:val="24"/>
          <w:szCs w:val="24"/>
        </w:rPr>
        <w:t>f,g</w:t>
      </w:r>
      <w:proofErr w:type="gramEnd"/>
      <w:r>
        <w:rPr>
          <w:rFonts w:asciiTheme="majorBidi" w:hAnsiTheme="majorBidi" w:cstheme="majorBidi"/>
          <w:color w:val="auto"/>
          <w:sz w:val="24"/>
          <w:szCs w:val="24"/>
        </w:rPr>
        <w:t xml:space="preserve"> and </w:t>
      </w:r>
      <w:r w:rsidRPr="00350F95">
        <w:rPr>
          <w:rFonts w:asciiTheme="majorBidi" w:hAnsiTheme="majorBidi" w:cstheme="majorBidi"/>
          <w:b/>
          <w:bCs/>
          <w:color w:val="auto"/>
          <w:sz w:val="24"/>
          <w:szCs w:val="24"/>
        </w:rPr>
        <w:t>Extended Data Fig. 9</w:t>
      </w:r>
      <w:r>
        <w:rPr>
          <w:rFonts w:asciiTheme="majorBidi" w:hAnsiTheme="majorBidi" w:cstheme="majorBidi"/>
          <w:b/>
          <w:bCs/>
          <w:color w:val="auto"/>
          <w:sz w:val="24"/>
          <w:szCs w:val="24"/>
        </w:rPr>
        <w:t>g</w:t>
      </w:r>
      <w:r w:rsidRPr="001E4C69">
        <w:rPr>
          <w:rFonts w:asciiTheme="majorBidi" w:hAnsiTheme="majorBidi" w:cstheme="majorBidi"/>
          <w:color w:val="auto"/>
          <w:sz w:val="24"/>
          <w:szCs w:val="24"/>
        </w:rPr>
        <w:t>).</w:t>
      </w:r>
    </w:p>
    <w:p w:rsidR="001638EE" w:rsidRPr="001E4C69" w:rsidRDefault="001638EE" w:rsidP="001638EE">
      <w:pPr>
        <w:spacing w:after="160" w:line="259" w:lineRule="auto"/>
        <w:jc w:val="both"/>
        <w:rPr>
          <w:rFonts w:asciiTheme="majorBidi" w:hAnsiTheme="majorBidi" w:cstheme="majorBidi"/>
          <w:b/>
          <w:bCs/>
          <w:color w:val="auto"/>
          <w:sz w:val="24"/>
          <w:szCs w:val="24"/>
        </w:rPr>
      </w:pPr>
      <w:r w:rsidRPr="001E4C69">
        <w:rPr>
          <w:rFonts w:asciiTheme="majorBidi" w:hAnsiTheme="majorBidi" w:cstheme="majorBidi"/>
          <w:b/>
          <w:bCs/>
          <w:color w:val="auto"/>
          <w:sz w:val="24"/>
          <w:szCs w:val="24"/>
        </w:rPr>
        <w:lastRenderedPageBreak/>
        <w:t xml:space="preserve">Supplementary Note </w:t>
      </w:r>
      <w:r>
        <w:rPr>
          <w:rFonts w:asciiTheme="majorBidi" w:hAnsiTheme="majorBidi" w:cstheme="majorBidi"/>
          <w:b/>
          <w:bCs/>
          <w:color w:val="auto"/>
          <w:sz w:val="24"/>
          <w:szCs w:val="24"/>
        </w:rPr>
        <w:t>4</w:t>
      </w:r>
      <w:r w:rsidRPr="001E4C69">
        <w:rPr>
          <w:rFonts w:asciiTheme="majorBidi" w:hAnsiTheme="majorBidi" w:cstheme="majorBidi"/>
          <w:b/>
          <w:bCs/>
          <w:color w:val="auto"/>
          <w:sz w:val="24"/>
          <w:szCs w:val="24"/>
        </w:rPr>
        <w:t xml:space="preserve">: </w:t>
      </w:r>
      <w:r w:rsidRPr="001E4C69">
        <w:rPr>
          <w:rFonts w:asciiTheme="majorBidi" w:hAnsiTheme="majorBidi" w:cstheme="majorBidi"/>
          <w:b/>
          <w:bCs/>
          <w:i/>
          <w:iCs/>
          <w:color w:val="auto"/>
          <w:sz w:val="24"/>
          <w:szCs w:val="24"/>
        </w:rPr>
        <w:t>BUB1B</w:t>
      </w:r>
      <w:r w:rsidRPr="001E4C69">
        <w:rPr>
          <w:rFonts w:asciiTheme="majorBidi" w:hAnsiTheme="majorBidi" w:cstheme="majorBidi"/>
          <w:b/>
          <w:bCs/>
          <w:color w:val="auto"/>
          <w:sz w:val="24"/>
          <w:szCs w:val="24"/>
        </w:rPr>
        <w:t xml:space="preserve"> and </w:t>
      </w:r>
      <w:r w:rsidRPr="001E4C69">
        <w:rPr>
          <w:rFonts w:asciiTheme="majorBidi" w:hAnsiTheme="majorBidi" w:cstheme="majorBidi"/>
          <w:b/>
          <w:bCs/>
          <w:i/>
          <w:iCs/>
          <w:color w:val="auto"/>
          <w:sz w:val="24"/>
          <w:szCs w:val="24"/>
        </w:rPr>
        <w:t>MAD2</w:t>
      </w:r>
      <w:r w:rsidRPr="001E4C69">
        <w:rPr>
          <w:rFonts w:asciiTheme="majorBidi" w:hAnsiTheme="majorBidi" w:cstheme="majorBidi"/>
          <w:b/>
          <w:bCs/>
          <w:color w:val="auto"/>
          <w:sz w:val="24"/>
          <w:szCs w:val="24"/>
        </w:rPr>
        <w:t xml:space="preserve"> mRNA expression levels as predictors of </w:t>
      </w:r>
      <w:r w:rsidRPr="001E4C69">
        <w:rPr>
          <w:rFonts w:asciiTheme="majorBidi" w:hAnsiTheme="majorBidi" w:cstheme="majorBidi"/>
          <w:b/>
          <w:bCs/>
          <w:i/>
          <w:iCs/>
          <w:color w:val="auto"/>
          <w:sz w:val="24"/>
          <w:szCs w:val="24"/>
        </w:rPr>
        <w:t>BUB1B</w:t>
      </w:r>
      <w:r w:rsidRPr="001E4C69">
        <w:rPr>
          <w:rFonts w:asciiTheme="majorBidi" w:hAnsiTheme="majorBidi" w:cstheme="majorBidi"/>
          <w:b/>
          <w:bCs/>
          <w:color w:val="auto"/>
          <w:sz w:val="24"/>
          <w:szCs w:val="24"/>
        </w:rPr>
        <w:t xml:space="preserve"> and </w:t>
      </w:r>
      <w:r w:rsidRPr="001E4C69">
        <w:rPr>
          <w:rFonts w:asciiTheme="majorBidi" w:hAnsiTheme="majorBidi" w:cstheme="majorBidi"/>
          <w:b/>
          <w:bCs/>
          <w:i/>
          <w:iCs/>
          <w:color w:val="auto"/>
          <w:sz w:val="24"/>
          <w:szCs w:val="24"/>
        </w:rPr>
        <w:t>MAD2</w:t>
      </w:r>
      <w:r w:rsidRPr="001E4C69">
        <w:rPr>
          <w:rFonts w:asciiTheme="majorBidi" w:hAnsiTheme="majorBidi" w:cstheme="majorBidi"/>
          <w:b/>
          <w:bCs/>
          <w:color w:val="auto"/>
          <w:sz w:val="24"/>
          <w:szCs w:val="24"/>
        </w:rPr>
        <w:t xml:space="preserve"> essentiality</w:t>
      </w:r>
    </w:p>
    <w:p w:rsidR="001638EE" w:rsidRDefault="001638EE" w:rsidP="001638EE">
      <w:pPr>
        <w:spacing w:after="160" w:line="259" w:lineRule="auto"/>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 xml:space="preserve">Among all significant expression differences between euploid and aneuploid cell lines, </w:t>
      </w:r>
      <w:r w:rsidRPr="00AC28FF">
        <w:rPr>
          <w:rFonts w:ascii="Times New Roman" w:hAnsi="Times New Roman" w:cs="Times New Roman"/>
          <w:i/>
          <w:iCs/>
          <w:color w:val="auto"/>
          <w:sz w:val="24"/>
          <w:szCs w:val="24"/>
          <w:shd w:val="clear" w:color="auto" w:fill="FFFFFF"/>
        </w:rPr>
        <w:t>MAD2</w:t>
      </w:r>
      <w:r>
        <w:rPr>
          <w:rFonts w:ascii="Times New Roman" w:hAnsi="Times New Roman" w:cs="Times New Roman"/>
          <w:color w:val="auto"/>
          <w:sz w:val="24"/>
          <w:szCs w:val="24"/>
          <w:shd w:val="clear" w:color="auto" w:fill="FFFFFF"/>
        </w:rPr>
        <w:t xml:space="preserve"> was in the 11</w:t>
      </w:r>
      <w:r w:rsidRPr="00AC28FF">
        <w:rPr>
          <w:rFonts w:ascii="Times New Roman" w:hAnsi="Times New Roman" w:cs="Times New Roman"/>
          <w:color w:val="auto"/>
          <w:sz w:val="24"/>
          <w:szCs w:val="24"/>
          <w:shd w:val="clear" w:color="auto" w:fill="FFFFFF"/>
          <w:vertAlign w:val="superscript"/>
        </w:rPr>
        <w:t>th</w:t>
      </w:r>
      <w:r>
        <w:rPr>
          <w:rFonts w:ascii="Times New Roman" w:hAnsi="Times New Roman" w:cs="Times New Roman"/>
          <w:color w:val="auto"/>
          <w:sz w:val="24"/>
          <w:szCs w:val="24"/>
          <w:shd w:val="clear" w:color="auto" w:fill="FFFFFF"/>
        </w:rPr>
        <w:t xml:space="preserve"> percentile and </w:t>
      </w:r>
      <w:r w:rsidRPr="00AC28FF">
        <w:rPr>
          <w:rFonts w:ascii="Times New Roman" w:hAnsi="Times New Roman" w:cs="Times New Roman"/>
          <w:i/>
          <w:iCs/>
          <w:color w:val="auto"/>
          <w:sz w:val="24"/>
          <w:szCs w:val="24"/>
          <w:shd w:val="clear" w:color="auto" w:fill="FFFFFF"/>
        </w:rPr>
        <w:t>BUB1B</w:t>
      </w:r>
      <w:r>
        <w:rPr>
          <w:rFonts w:ascii="Times New Roman" w:hAnsi="Times New Roman" w:cs="Times New Roman"/>
          <w:color w:val="auto"/>
          <w:sz w:val="24"/>
          <w:szCs w:val="24"/>
          <w:shd w:val="clear" w:color="auto" w:fill="FFFFFF"/>
        </w:rPr>
        <w:t xml:space="preserve"> in the 14</w:t>
      </w:r>
      <w:r w:rsidRPr="00AC28FF">
        <w:rPr>
          <w:rFonts w:ascii="Times New Roman" w:hAnsi="Times New Roman" w:cs="Times New Roman"/>
          <w:color w:val="auto"/>
          <w:sz w:val="24"/>
          <w:szCs w:val="24"/>
          <w:shd w:val="clear" w:color="auto" w:fill="FFFFFF"/>
          <w:vertAlign w:val="superscript"/>
        </w:rPr>
        <w:t>th</w:t>
      </w:r>
      <w:r>
        <w:rPr>
          <w:rFonts w:ascii="Times New Roman" w:hAnsi="Times New Roman" w:cs="Times New Roman"/>
          <w:color w:val="auto"/>
          <w:sz w:val="24"/>
          <w:szCs w:val="24"/>
          <w:shd w:val="clear" w:color="auto" w:fill="FFFFFF"/>
        </w:rPr>
        <w:t xml:space="preserve"> percentile of the genes most downregulated in the aneuploid group (</w:t>
      </w:r>
      <w:r>
        <w:rPr>
          <w:rFonts w:ascii="Times New Roman" w:hAnsi="Times New Roman" w:cs="Times New Roman"/>
          <w:b/>
          <w:bCs/>
          <w:color w:val="auto"/>
          <w:sz w:val="24"/>
          <w:szCs w:val="24"/>
          <w:shd w:val="clear" w:color="auto" w:fill="FFFFFF"/>
        </w:rPr>
        <w:t>Extended Data Table</w:t>
      </w:r>
      <w:r w:rsidRPr="001E4C69">
        <w:rPr>
          <w:rFonts w:ascii="Times New Roman" w:hAnsi="Times New Roman" w:cs="Times New Roman"/>
          <w:b/>
          <w:bCs/>
          <w:color w:val="auto"/>
          <w:sz w:val="24"/>
          <w:szCs w:val="24"/>
          <w:shd w:val="clear" w:color="auto" w:fill="FFFFFF"/>
        </w:rPr>
        <w:t xml:space="preserve"> 4</w:t>
      </w:r>
      <w:r>
        <w:rPr>
          <w:rFonts w:ascii="Times New Roman" w:hAnsi="Times New Roman" w:cs="Times New Roman"/>
          <w:color w:val="auto"/>
          <w:sz w:val="24"/>
          <w:szCs w:val="24"/>
          <w:shd w:val="clear" w:color="auto" w:fill="FFFFFF"/>
        </w:rPr>
        <w:t xml:space="preserve">). </w:t>
      </w:r>
      <w:r w:rsidRPr="001E4C69">
        <w:rPr>
          <w:rFonts w:ascii="Times New Roman" w:hAnsi="Times New Roman" w:cs="Times New Roman"/>
          <w:color w:val="auto"/>
          <w:sz w:val="24"/>
          <w:szCs w:val="24"/>
          <w:shd w:val="clear" w:color="auto" w:fill="FFFFFF"/>
        </w:rPr>
        <w:t xml:space="preserve">To test how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mRNA levels perform as predictors of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dependency, respectively, we compared those dependencies against the expression levels of all genes.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expression </w:t>
      </w:r>
      <w:r>
        <w:rPr>
          <w:rFonts w:ascii="Times New Roman" w:hAnsi="Times New Roman" w:cs="Times New Roman"/>
          <w:color w:val="auto"/>
          <w:sz w:val="24"/>
          <w:szCs w:val="24"/>
          <w:shd w:val="clear" w:color="auto" w:fill="FFFFFF"/>
        </w:rPr>
        <w:t>ranked</w:t>
      </w:r>
      <w:r w:rsidRPr="001E4C69">
        <w:rPr>
          <w:rFonts w:ascii="Times New Roman" w:hAnsi="Times New Roman" w:cs="Times New Roman"/>
          <w:color w:val="auto"/>
          <w:sz w:val="24"/>
          <w:szCs w:val="24"/>
          <w:shd w:val="clear" w:color="auto" w:fill="FFFFFF"/>
        </w:rPr>
        <w:t xml:space="preserve"> the #3 </w:t>
      </w:r>
      <w:r>
        <w:rPr>
          <w:rFonts w:ascii="Times New Roman" w:hAnsi="Times New Roman" w:cs="Times New Roman"/>
          <w:color w:val="auto"/>
          <w:sz w:val="24"/>
          <w:szCs w:val="24"/>
          <w:shd w:val="clear" w:color="auto" w:fill="FFFFFF"/>
        </w:rPr>
        <w:t xml:space="preserve">top </w:t>
      </w:r>
      <w:r w:rsidRPr="001E4C69">
        <w:rPr>
          <w:rFonts w:ascii="Times New Roman" w:hAnsi="Times New Roman" w:cs="Times New Roman"/>
          <w:color w:val="auto"/>
          <w:sz w:val="24"/>
          <w:szCs w:val="24"/>
          <w:shd w:val="clear" w:color="auto" w:fill="FFFFFF"/>
        </w:rPr>
        <w:t xml:space="preserve">predictor of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dependency, and </w:t>
      </w:r>
      <w:r w:rsidRPr="001E4C69">
        <w:rPr>
          <w:rFonts w:ascii="Times New Roman" w:hAnsi="Times New Roman" w:cs="Times New Roman"/>
          <w:i/>
          <w:iCs/>
          <w:color w:val="auto"/>
          <w:sz w:val="24"/>
          <w:szCs w:val="24"/>
          <w:shd w:val="clear" w:color="auto" w:fill="FFFFFF"/>
        </w:rPr>
        <w:t>MAD2</w:t>
      </w:r>
      <w:r>
        <w:rPr>
          <w:rFonts w:ascii="Times New Roman" w:hAnsi="Times New Roman" w:cs="Times New Roman"/>
          <w:color w:val="auto"/>
          <w:sz w:val="24"/>
          <w:szCs w:val="24"/>
          <w:shd w:val="clear" w:color="auto" w:fill="FFFFFF"/>
        </w:rPr>
        <w:t xml:space="preserve"> expression ranked</w:t>
      </w:r>
      <w:r w:rsidRPr="001E4C69">
        <w:rPr>
          <w:rFonts w:ascii="Times New Roman" w:hAnsi="Times New Roman" w:cs="Times New Roman"/>
          <w:color w:val="auto"/>
          <w:sz w:val="24"/>
          <w:szCs w:val="24"/>
          <w:shd w:val="clear" w:color="auto" w:fill="FFFFFF"/>
        </w:rPr>
        <w:t xml:space="preserve"> the #10 </w:t>
      </w:r>
      <w:r>
        <w:rPr>
          <w:rFonts w:ascii="Times New Roman" w:hAnsi="Times New Roman" w:cs="Times New Roman"/>
          <w:color w:val="auto"/>
          <w:sz w:val="24"/>
          <w:szCs w:val="24"/>
          <w:shd w:val="clear" w:color="auto" w:fill="FFFFFF"/>
        </w:rPr>
        <w:t xml:space="preserve">top </w:t>
      </w:r>
      <w:r w:rsidRPr="001E4C69">
        <w:rPr>
          <w:rFonts w:ascii="Times New Roman" w:hAnsi="Times New Roman" w:cs="Times New Roman"/>
          <w:color w:val="auto"/>
          <w:sz w:val="24"/>
          <w:szCs w:val="24"/>
          <w:shd w:val="clear" w:color="auto" w:fill="FFFFFF"/>
        </w:rPr>
        <w:t xml:space="preserve">predictor of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dependency (out of 19,144 genes; top 0.05%). </w:t>
      </w:r>
    </w:p>
    <w:p w:rsidR="001638EE" w:rsidRPr="001E4C69" w:rsidRDefault="001638EE" w:rsidP="001638EE">
      <w:pPr>
        <w:spacing w:after="160" w:line="259" w:lineRule="auto"/>
        <w:jc w:val="both"/>
        <w:rPr>
          <w:rFonts w:asciiTheme="majorBidi" w:hAnsiTheme="majorBidi" w:cstheme="majorBidi"/>
          <w:b/>
          <w:bCs/>
          <w:color w:val="auto"/>
          <w:sz w:val="24"/>
          <w:szCs w:val="24"/>
        </w:rPr>
      </w:pPr>
      <w:r w:rsidRPr="001E4C69">
        <w:rPr>
          <w:rFonts w:ascii="Times New Roman" w:hAnsi="Times New Roman" w:cs="Times New Roman"/>
          <w:color w:val="auto"/>
          <w:sz w:val="24"/>
          <w:szCs w:val="24"/>
          <w:shd w:val="clear" w:color="auto" w:fill="FFFFFF"/>
        </w:rPr>
        <w:t xml:space="preserve">To ensure that the expression differences between the euploid and aneuploid groups are not affected by the cell lineage composition of each group, we performed a couple of analyses: 1) A linear regression analysis showed that the mRNA levels of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are highly significant predictors of dependency even when lineage is accounted for as a covariate in the model (</w:t>
      </w:r>
      <w:r>
        <w:rPr>
          <w:rFonts w:ascii="Times New Roman" w:hAnsi="Times New Roman" w:cs="Times New Roman"/>
          <w:color w:val="auto"/>
          <w:sz w:val="24"/>
          <w:szCs w:val="24"/>
          <w:shd w:val="clear" w:color="auto" w:fill="FFFFFF"/>
        </w:rPr>
        <w:t xml:space="preserve">RNAi-DRIVE </w:t>
      </w:r>
      <w:r w:rsidRPr="001E4C69">
        <w:rPr>
          <w:rFonts w:ascii="Times New Roman" w:hAnsi="Times New Roman" w:cs="Times New Roman"/>
          <w:color w:val="auto"/>
          <w:sz w:val="24"/>
          <w:szCs w:val="24"/>
          <w:shd w:val="clear" w:color="auto" w:fill="FFFFFF"/>
        </w:rPr>
        <w:t xml:space="preserve">dataset: p=3e-06 and p=0.0015 for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respectively; </w:t>
      </w:r>
      <w:r>
        <w:rPr>
          <w:rFonts w:ascii="Times New Roman" w:hAnsi="Times New Roman" w:cs="Times New Roman"/>
          <w:color w:val="auto"/>
          <w:sz w:val="24"/>
          <w:szCs w:val="24"/>
          <w:shd w:val="clear" w:color="auto" w:fill="FFFFFF"/>
        </w:rPr>
        <w:t>RNAi-Achilles</w:t>
      </w:r>
      <w:r w:rsidRPr="001E4C69">
        <w:rPr>
          <w:rFonts w:ascii="Times New Roman" w:hAnsi="Times New Roman" w:cs="Times New Roman"/>
          <w:color w:val="auto"/>
          <w:sz w:val="24"/>
          <w:szCs w:val="24"/>
          <w:shd w:val="clear" w:color="auto" w:fill="FFFFFF"/>
        </w:rPr>
        <w:t xml:space="preserve"> dataset: p=2e-03 and p=9e-05 for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respectively). 2) A comparison of gene expression levels between euploid and aneuploid cell lines within specific lineages (focusing on the 8 lineages with the highest cell line representation) showed that </w:t>
      </w:r>
      <w:r w:rsidRPr="001E4C69">
        <w:rPr>
          <w:rFonts w:ascii="Times New Roman" w:hAnsi="Times New Roman" w:cs="Times New Roman"/>
          <w:i/>
          <w:iCs/>
          <w:color w:val="auto"/>
          <w:sz w:val="24"/>
          <w:szCs w:val="24"/>
          <w:shd w:val="clear" w:color="auto" w:fill="FFFFFF"/>
        </w:rPr>
        <w:t>MAD2</w:t>
      </w:r>
      <w:r w:rsidRPr="001E4C69">
        <w:rPr>
          <w:rFonts w:ascii="Times New Roman" w:hAnsi="Times New Roman" w:cs="Times New Roman"/>
          <w:color w:val="auto"/>
          <w:sz w:val="24"/>
          <w:szCs w:val="24"/>
          <w:shd w:val="clear" w:color="auto" w:fill="FFFFFF"/>
        </w:rPr>
        <w:t xml:space="preserve"> and </w:t>
      </w:r>
      <w:r w:rsidRPr="001E4C69">
        <w:rPr>
          <w:rFonts w:ascii="Times New Roman" w:hAnsi="Times New Roman" w:cs="Times New Roman"/>
          <w:i/>
          <w:iCs/>
          <w:color w:val="auto"/>
          <w:sz w:val="24"/>
          <w:szCs w:val="24"/>
          <w:shd w:val="clear" w:color="auto" w:fill="FFFFFF"/>
        </w:rPr>
        <w:t>BUB1B</w:t>
      </w:r>
      <w:r w:rsidRPr="001E4C69">
        <w:rPr>
          <w:rFonts w:ascii="Times New Roman" w:hAnsi="Times New Roman" w:cs="Times New Roman"/>
          <w:color w:val="auto"/>
          <w:sz w:val="24"/>
          <w:szCs w:val="24"/>
          <w:shd w:val="clear" w:color="auto" w:fill="FFFFFF"/>
        </w:rPr>
        <w:t xml:space="preserve"> mRNA levels were lower in the aneuploid lines in 8/8 and 7/8 lineages, respectively (</w:t>
      </w:r>
      <w:r w:rsidRPr="001E4C69">
        <w:rPr>
          <w:rFonts w:ascii="Times New Roman" w:hAnsi="Times New Roman" w:cs="Times New Roman"/>
          <w:b/>
          <w:bCs/>
          <w:color w:val="auto"/>
          <w:sz w:val="24"/>
          <w:szCs w:val="24"/>
          <w:shd w:val="clear" w:color="auto" w:fill="FFFFFF"/>
        </w:rPr>
        <w:t>Extended Data Fig. 1</w:t>
      </w:r>
      <w:r>
        <w:rPr>
          <w:rFonts w:ascii="Times New Roman" w:hAnsi="Times New Roman" w:cs="Times New Roman"/>
          <w:b/>
          <w:bCs/>
          <w:color w:val="auto"/>
          <w:sz w:val="24"/>
          <w:szCs w:val="24"/>
          <w:shd w:val="clear" w:color="auto" w:fill="FFFFFF"/>
        </w:rPr>
        <w:t>k</w:t>
      </w:r>
      <w:r w:rsidRPr="001E4C69">
        <w:rPr>
          <w:rFonts w:ascii="Times New Roman" w:hAnsi="Times New Roman" w:cs="Times New Roman"/>
          <w:color w:val="auto"/>
          <w:sz w:val="24"/>
          <w:szCs w:val="24"/>
          <w:shd w:val="clear" w:color="auto" w:fill="FFFFFF"/>
        </w:rPr>
        <w:t>).</w:t>
      </w:r>
    </w:p>
    <w:p w:rsidR="001638EE" w:rsidRDefault="001638EE" w:rsidP="001638EE">
      <w:pPr>
        <w:spacing w:after="160" w:line="259" w:lineRule="auto"/>
        <w:rPr>
          <w:rFonts w:asciiTheme="majorBidi" w:hAnsiTheme="majorBidi" w:cstheme="majorBidi"/>
          <w:b/>
          <w:bCs/>
          <w:color w:val="auto"/>
          <w:sz w:val="24"/>
          <w:szCs w:val="24"/>
        </w:rPr>
      </w:pPr>
      <w:r>
        <w:rPr>
          <w:rFonts w:asciiTheme="majorBidi" w:hAnsiTheme="majorBidi" w:cstheme="majorBidi"/>
          <w:b/>
          <w:bCs/>
          <w:color w:val="auto"/>
          <w:sz w:val="24"/>
          <w:szCs w:val="24"/>
        </w:rPr>
        <w:t>Supplementary Note 5: The therapeutic relevance of TTK inhibitors</w:t>
      </w:r>
    </w:p>
    <w:p w:rsidR="001638EE" w:rsidRDefault="001638EE" w:rsidP="001638EE">
      <w:pPr>
        <w:spacing w:after="160"/>
        <w:jc w:val="both"/>
        <w:rPr>
          <w:rFonts w:asciiTheme="majorBidi" w:hAnsiTheme="majorBidi" w:cstheme="majorBidi"/>
          <w:b/>
          <w:bCs/>
          <w:color w:val="auto"/>
          <w:sz w:val="24"/>
          <w:szCs w:val="24"/>
        </w:rPr>
      </w:pPr>
      <w:r w:rsidRPr="00B411E8">
        <w:rPr>
          <w:rFonts w:asciiTheme="majorBidi" w:hAnsiTheme="majorBidi" w:cstheme="majorBidi"/>
          <w:sz w:val="24"/>
          <w:szCs w:val="24"/>
        </w:rPr>
        <w:t>As a druggable kinase that is overexpressed in some cancer types, TTK</w:t>
      </w:r>
      <w:r>
        <w:rPr>
          <w:rFonts w:asciiTheme="majorBidi" w:hAnsiTheme="majorBidi" w:cstheme="majorBidi"/>
          <w:sz w:val="24"/>
          <w:szCs w:val="24"/>
        </w:rPr>
        <w:t xml:space="preserve"> has been at the focus of drug development efforts to inhibit SAC activity</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{"citationItems":[{"id":"ITEM-1","itemData":{"DOI":"10.1098/rsob.180109","ISSN":"20462441","abstract":"Discovered in 1991 in a screen for genes involved in spindle pole body duplication, the monopolar spindle 1 (Mps1) kinase has since claimed a central role in processes that ensure error-free chromosome segregation. As a result, Mps1 kinase activity has become an attractive candidate for pharmaceutical companies in the search for compounds that target essential cellular processes to eliminate, for example, tumour cells or pathogens. Research in recent decades has offered many insights into the molecular function of Mps1 and its regulation. In this review, we integrate the latest knowledge regarding the regulation of Mps1 activity and its spatio-temporal distribution, highlight gaps in our understanding of these processes and propose future research avenues to address them.","author":[{"dropping-particle":"","family":"Pachis","given":"Spyridon T.","non-dropping-particle":"","parse-names":false,"suffix":""},{"dropping-particle":"","family":"Kops","given":"Geert J.P.L.","non-dropping-particle":"","parse-names":false,"suffix":""}],"container-title":"Open Biology","id":"ITEM-1","issued":{"date-parts":[["2018"]]},"title":"Leader of the SAC: Molecular mechanisms of Mps1/TTK regulation in mitosis","type":"article"},"uris":["http://www.mendeley.com/documents/?uuid=a003bf83-218b-4a9c-ad02-088a10c6b90a"]}],"mendeley":{"formattedCitation":"&lt;sup&gt;83&lt;/sup&gt;","plainTextFormattedCitation":"83","previouslyFormattedCitation":"&lt;sup&gt;83&lt;/sup&gt;"},"properties":{"noteIndex":0},"schema":"https://github.com/citation-style-language/schema/raw/master/csl-citation.json"}</w:instrText>
      </w:r>
      <w:r>
        <w:rPr>
          <w:rFonts w:asciiTheme="majorBidi" w:hAnsiTheme="majorBidi" w:cstheme="majorBidi"/>
          <w:sz w:val="24"/>
          <w:szCs w:val="24"/>
        </w:rPr>
        <w:fldChar w:fldCharType="separate"/>
      </w:r>
      <w:r w:rsidRPr="00FF6957">
        <w:rPr>
          <w:rFonts w:asciiTheme="majorBidi" w:hAnsiTheme="majorBidi" w:cstheme="majorBidi"/>
          <w:noProof/>
          <w:sz w:val="24"/>
          <w:szCs w:val="24"/>
          <w:vertAlign w:val="superscript"/>
        </w:rPr>
        <w:t>83</w:t>
      </w:r>
      <w:r>
        <w:rPr>
          <w:rFonts w:asciiTheme="majorBidi" w:hAnsiTheme="majorBidi" w:cstheme="majorBidi"/>
          <w:sz w:val="24"/>
          <w:szCs w:val="24"/>
        </w:rPr>
        <w:fldChar w:fldCharType="end"/>
      </w:r>
      <w:r>
        <w:rPr>
          <w:rFonts w:asciiTheme="majorBidi" w:hAnsiTheme="majorBidi" w:cstheme="majorBidi"/>
          <w:sz w:val="24"/>
          <w:szCs w:val="24"/>
        </w:rPr>
        <w:t>.</w:t>
      </w:r>
      <w:r w:rsidRPr="00B411E8">
        <w:rPr>
          <w:rFonts w:asciiTheme="majorBidi" w:hAnsiTheme="majorBidi" w:cstheme="majorBidi"/>
          <w:sz w:val="24"/>
          <w:szCs w:val="24"/>
        </w:rPr>
        <w:t xml:space="preserve"> Consequently, small molecule inhibitors against this kinase have been developed and entered clinical trials, either as a single agent or in combination with </w:t>
      </w:r>
      <w:r>
        <w:rPr>
          <w:rFonts w:asciiTheme="majorBidi" w:hAnsiTheme="majorBidi" w:cstheme="majorBidi"/>
          <w:sz w:val="24"/>
          <w:szCs w:val="24"/>
        </w:rPr>
        <w:t>chemotherapy</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{"citationItems":[{"id":"ITEM-1","itemData":{"DOI":"10.1073/pnas.1700234114","ISBN":"1091-6490 (Electronic)\r0027-8424 (Linking)","PMID":"28270606","abstract":"Loss of cell-cycle control is a hallmark of human cancer. Cell-cycle checkpoints are essential for maintaining genome integrity and balanced growth and division. They are specifically deregulated in cancer cells and contain regulators that represent potential therapeutic targets. Monopolar spindle 1 (Mps1; also known as TTK protein kinase) is a core component of the spindle assembly checkpoint (SAC), a genome-surveillance mechanism that is important for cell survival, and has emerged as a candidate target for anticancer therapy. Here, we report the cellular and antitumor effects of CFI-402257, a potent (Mps1 Ki = 0.09 +/- 0.02 nM; cellular Mps1 EC50 = 6.5 +/- 0.5 nM), highly selective, and orally active small-molecule inhibitor of Mps1 that was identified through a drug-discovery program. Human cancer cells treated with CFI-402257 exhibit effects consistent with Mps1 kinase inhibition, specifically SAC inactivation, leading to chromosome missegregation, aneuploidy, and ultimately cell death. Oral administration of CFI-402257 in monotherapy or in combination with an anti-programmed cell death 1 (PD-1) antibody in mouse models of human cancer results in inhibition of tumor growth at doses that are well-tolerated. Our findings provide a rationale for the clinical evaluation of CFI-402257 in patients with solid tumors.","author":[{"dropping-particle":"","family":"Mason","given":"J M","non-dropping-particle":"","parse-names":false,"suffix":""},{"dropping-particle":"","family":"Wei","given":"X","non-dropping-particle":"","parse-names":false,"suffix":""},{"dropping-particle":"","family":"Fletcher","given":"G C","non-dropping-particle":"","parse-names":false,"suffix":""},{"dropping-particle":"","family":"Kiarash","given":"R","non-dropping-particle":"","parse-names":false,"suffix":""},{"dropping-particle":"","family":"Brokx","given":"R","non-dropping-particle":"","parse-names":false,"suffix":""},{"dropping-particle":"","family":"Hodgson","given":"R","non-dropping-particle":"","parse-names":false,"suffix":""},{"dropping-particle":"","family":"Beletskaya","given":"I","non-dropping-particle":"","parse-names":false,"suffix":""},{"dropping-particle":"","family":"Bray","given":"M R","non-dropping-particle":"","parse-names":false,"suffix":""},{"dropping-particle":"","family":"Mak","given":"T W","non-dropping-particle":"","parse-names":false,"suffix":""}],"container-title":"Proc Natl Acad Sci U S A","edition":"2017/03/09","id":"ITEM-1","issue":"12","issued":{"date-parts":[["2017"]]},"note":"Mason, Jacqueline M\nWei, Xin\nFletcher, Graham C\nKiarash, Reza\nBrokx, Richard\nHodgson, Richard\nBeletskaya, Irina\nBray, Mark R\nMak, Tak W\neng\nCIHR/Canada\nResearch Support, Non-U.S. Gov't\nResearch Support, U.S. Gov't, Non-P.H.S.\nProc Natl Acad Sci U S A. 2017 Mar 21;114(12):3127-3132. doi: 10.1073/pnas.1700234114. Epub 2017 Mar 7.","page":"3127-3132","title":"Functional characterization of CFI-402257, a potent and selective Mps1/TTK kinase inhibitor, for the treatment of cancer","type":"article-journal","volume":"114"},"uris":["http://www.mendeley.com/documents/?uuid=f5e8abaf-1a92-4ef5-8c98-29c959999524"]},{"id":"ITEM-2","itemData":{"DOI":"10.1081/CNV-200039852","ISSN":"07357907","abstract":"Purpose: To determine maximum tolerated dose of CI-994, a novel oral histone deacetylase inhibitor, in combination with carboplatin and paclitaxel in patients with advanced solid tumors. Patients and Methods: Patients with advanced solid tumors who had received two or fewer prior chemotherapy regimens were eligible for trial. Five cohorts of patients were treated with escalating doses (4-6 mg/m2) and alternative schedules (7 days or 14 days) of CI-994. Dose escalation of paclitaxel was performed to achieve tolerability of CI-994 with a paclitaxel dose of 225 mg/m2 when administered in combination with carboplatin. Pharmacokinetic assessment of CI-994 was performed by using liquid chromatography/mass spectrometry. Histone deacetylation inhibition was determined by Western blot analysis. Results: A total of 30 patients (median age 58 years) were entered into five treatment cohorts. Maximum tolerated dose of CI-994 was determined to be 4 mg/m2 administered for 7 consecutive days following paclitaxel at a dose of 225 mg/m2 and carboplatin at an area under the curve (AUC) of 6 every 21 days. Neutropenia, thrombocytopenia, and grade 3 respiratory insufficiency limited further dose escalation of CI-994. Pharmacokinetics showed that CI-994 absorption and disposition were unaffected by carboplatin and paclitaxel coadministration. Association between histone H3 acetylation levels and disease response was suggested. A subset of patients with lymphocyte H3 acetylation levels at least 1.5-fold times baseline all achieved either a clinical response or stable disease. All evaluable patients with progressive disease (PD) had H3 acetylation levels &lt; 1.5-fold times baseline. Twenty-four of the 30 patients received greater than one cycle of treatment. Five of these patients achieved a partial response (3 nonsmall cell lung cancer, 1 colorectal cancer, and 1 unknown primary) and 2 patients achieved a complete response (esophageal and bladder cancer). Conclusion: The combination of CI-994 at a dose of 4 mg/m 2 administered orally for 7 consecutive days can be safely coadministered with paclitaxel at a dose of 225 mg/m2 and carboplatin at an AUC of 6 on day 1 of a 21-day cycle. Evidence of antitumor activity is suggested and may correlate with histone modulation.","author":[{"dropping-particle":"","family":"Pauer","given":"Lynne R.","non-dropping-particle":"","parse-names":false,"suffix":""},{"dropping-particle":"","family":"Olivares","given":"Jairo","non-dropping-particle":"","parse-names":false,"suffix":""},{"dropping-particle":"","family":"Cunningham","given":"Casey","non-dropping-particle":"","parse-names":false,"suffix":""},{"dropping-particle":"","family":"Williams","given":"Adrienne","non-dropping-particle":"","parse-names":false,"suffix":""},{"dropping-particle":"","family":"Grove","given":"William","non-dropping-particle":"","parse-names":false,"suffix":""},{"dropping-particle":"","family":"Kraker","given":"Alan","non-dropping-particle":"","parse-names":false,"suffix":""},{"dropping-particle":"","family":"Olson","given":"Stephen","non-dropping-particle":"","parse-names":false,"suffix":""},{"dropping-particle":"","family":"Nemunaitis","given":"John","non-dropping-particle":"","parse-names":false,"suffix":""}],"container-title":"Cancer Investigation","id":"ITEM-2","issued":{"date-parts":[["2004"]]},"title":"Phase I study of oral CI-994 in combination with carboplatin and paclitaxel in the treatment of patients with advanced solid tumors","type":"article-journal"},"uris":["http://www.mendeley.com/documents/?uuid=a7dab190-a99a-45ee-97b6-9bdaa0e5cf14"]}],"mendeley":{"formattedCitation":"&lt;sup&gt;28,29&lt;/sup&gt;","plainTextFormattedCitation":"28,29","previouslyFormattedCitation":"&lt;sup&gt;29,30&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28,29</w:t>
      </w:r>
      <w:r>
        <w:rPr>
          <w:rFonts w:asciiTheme="majorBidi" w:hAnsiTheme="majorBidi" w:cstheme="majorBidi"/>
          <w:sz w:val="24"/>
          <w:szCs w:val="24"/>
        </w:rPr>
        <w:fldChar w:fldCharType="end"/>
      </w:r>
      <w:r w:rsidRPr="00B411E8">
        <w:rPr>
          <w:rFonts w:asciiTheme="majorBidi" w:hAnsiTheme="majorBidi" w:cstheme="majorBidi"/>
          <w:sz w:val="24"/>
          <w:szCs w:val="24"/>
        </w:rPr>
        <w:t xml:space="preserve"> (ClinicalTrials.gov identifier numbers: NCT02138812, NCT02366949, NCT02792465, NCT03568422, NCT02366949</w:t>
      </w:r>
      <w:r>
        <w:rPr>
          <w:rFonts w:asciiTheme="majorBidi" w:hAnsiTheme="majorBidi" w:cstheme="majorBidi"/>
          <w:sz w:val="24"/>
          <w:szCs w:val="24"/>
        </w:rPr>
        <w:t>, NCT03328494, NCT03411161</w:t>
      </w:r>
      <w:r w:rsidRPr="00B411E8">
        <w:rPr>
          <w:rFonts w:asciiTheme="majorBidi" w:hAnsiTheme="majorBidi" w:cstheme="majorBidi"/>
          <w:sz w:val="24"/>
          <w:szCs w:val="24"/>
        </w:rPr>
        <w:t>).</w:t>
      </w:r>
    </w:p>
    <w:p w:rsidR="001638EE" w:rsidRDefault="001638EE" w:rsidP="001638EE">
      <w:pPr>
        <w:spacing w:after="160" w:line="259" w:lineRule="auto"/>
        <w:jc w:val="both"/>
        <w:rPr>
          <w:rFonts w:asciiTheme="majorBidi" w:hAnsiTheme="majorBidi" w:cstheme="majorBidi"/>
          <w:b/>
          <w:bCs/>
          <w:color w:val="auto"/>
          <w:sz w:val="24"/>
          <w:szCs w:val="24"/>
        </w:rPr>
      </w:pPr>
      <w:r>
        <w:rPr>
          <w:rFonts w:asciiTheme="majorBidi" w:hAnsiTheme="majorBidi" w:cstheme="majorBidi"/>
          <w:b/>
          <w:bCs/>
          <w:color w:val="auto"/>
          <w:sz w:val="24"/>
          <w:szCs w:val="24"/>
        </w:rPr>
        <w:t>Supplementary Note 6: Analysis of the association between reversine sensitivity and genomic features</w:t>
      </w:r>
    </w:p>
    <w:p w:rsidR="001638EE" w:rsidRPr="001A7E81" w:rsidRDefault="001638EE" w:rsidP="001638EE">
      <w:pPr>
        <w:spacing w:after="240"/>
        <w:jc w:val="both"/>
        <w:rPr>
          <w:rFonts w:asciiTheme="majorBidi" w:hAnsiTheme="majorBidi" w:cstheme="majorBidi"/>
          <w:sz w:val="24"/>
          <w:szCs w:val="24"/>
        </w:rPr>
      </w:pPr>
      <w:r>
        <w:rPr>
          <w:rFonts w:asciiTheme="majorBidi" w:hAnsiTheme="majorBidi" w:cstheme="majorBidi"/>
          <w:sz w:val="24"/>
          <w:szCs w:val="24"/>
        </w:rPr>
        <w:t>In an attempt to identify genomic features associated with the response to TTK inhibitors, we examined the relationship between cell line genomic features (gene-level expression, mutation and copy number data) and response to reversine in our PRISM screen. We did not identify any strong biomarker of drug response (</w:t>
      </w:r>
      <w:r>
        <w:rPr>
          <w:rFonts w:asciiTheme="majorBidi" w:hAnsiTheme="majorBidi" w:cstheme="majorBidi"/>
          <w:b/>
          <w:bCs/>
          <w:sz w:val="24"/>
          <w:szCs w:val="24"/>
        </w:rPr>
        <w:t>Extended Data Fig. 4e</w:t>
      </w:r>
      <w:r>
        <w:rPr>
          <w:rFonts w:asciiTheme="majorBidi" w:hAnsiTheme="majorBidi" w:cstheme="majorBidi"/>
          <w:sz w:val="24"/>
          <w:szCs w:val="24"/>
        </w:rPr>
        <w:t>), suggesting that the degree of aneuploidy is a unique predictor of reversine sensitivity.</w:t>
      </w:r>
    </w:p>
    <w:p w:rsidR="001638EE" w:rsidRPr="008141C4" w:rsidRDefault="001638EE" w:rsidP="001638EE">
      <w:pPr>
        <w:spacing w:after="160" w:line="259" w:lineRule="auto"/>
        <w:jc w:val="both"/>
        <w:rPr>
          <w:rFonts w:asciiTheme="majorBidi" w:hAnsiTheme="majorBidi" w:cstheme="majorBidi"/>
          <w:b/>
          <w:bCs/>
          <w:color w:val="auto"/>
          <w:spacing w:val="-6"/>
          <w:sz w:val="24"/>
          <w:szCs w:val="24"/>
        </w:rPr>
      </w:pPr>
      <w:r w:rsidRPr="008141C4">
        <w:rPr>
          <w:rFonts w:asciiTheme="majorBidi" w:hAnsiTheme="majorBidi" w:cstheme="majorBidi"/>
          <w:b/>
          <w:bCs/>
          <w:color w:val="auto"/>
          <w:spacing w:val="-6"/>
          <w:sz w:val="24"/>
          <w:szCs w:val="24"/>
        </w:rPr>
        <w:t>Supplementary Note 7: A novel RPE1-based system of isogenic near-diploid and aneuploid cell lines</w:t>
      </w:r>
    </w:p>
    <w:p w:rsidR="001638EE" w:rsidRPr="0061587C" w:rsidRDefault="001638EE" w:rsidP="001638EE">
      <w:pPr>
        <w:spacing w:after="240"/>
        <w:jc w:val="both"/>
        <w:rPr>
          <w:rFonts w:asciiTheme="majorBidi" w:hAnsiTheme="majorBidi" w:cstheme="majorBidi"/>
          <w:sz w:val="24"/>
          <w:szCs w:val="24"/>
        </w:rPr>
      </w:pPr>
      <w:r>
        <w:rPr>
          <w:rFonts w:asciiTheme="majorBidi" w:hAnsiTheme="majorBidi" w:cstheme="majorBidi"/>
          <w:sz w:val="24"/>
          <w:szCs w:val="24"/>
        </w:rPr>
        <w:t xml:space="preserve">The increased short-term resistance to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in the HPT and RPT cells may be a consequence of their aneuploidy status, or it may be associated with the CIN and/or the WGD in these highly-aneuploid cell lines. Therefore, we established a third, distinct system of RPE1-based isogenic cell lines. We induced transient chromosome </w:t>
      </w:r>
      <w:proofErr w:type="spellStart"/>
      <w:r>
        <w:rPr>
          <w:rFonts w:asciiTheme="majorBidi" w:hAnsiTheme="majorBidi" w:cstheme="majorBidi"/>
          <w:sz w:val="24"/>
          <w:szCs w:val="24"/>
        </w:rPr>
        <w:t>mis</w:t>
      </w:r>
      <w:proofErr w:type="spellEnd"/>
      <w:r>
        <w:rPr>
          <w:rFonts w:asciiTheme="majorBidi" w:hAnsiTheme="majorBidi" w:cstheme="majorBidi"/>
          <w:sz w:val="24"/>
          <w:szCs w:val="24"/>
        </w:rPr>
        <w:t>-segregation in RPE1 cells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{"citationItems":[{"id":"ITEM-1","itemData":{"DOI":"10.1016/j.devcel.2017.05.022","ISBN":"1878-1551 (Electronic)\r1534-5807 (Linking)","PMID":"28633018","abstract":"Aneuploidy, a state of karyotype imbalance, is a hallmark of cancer. Changes in chromosome copy number have been proposed to drive disease by modulating the dosage of cancer driver genes and by promoting cancer genome evolution. Given the potential of cells with abnormal karyotypes to become cancerous, do pathways that limit the prevalence of such cells exist? By investigating the immediate consequences of aneuploidy on cell physiology, we identified mechanisms that eliminate aneuploid cells. We find that chromosome mis-segregation leads to further genomic instability that ultimately causes cell-cycle arrest. We further show that cells with complex karyotypes exhibit features of senescence and produce pro-inflammatory signals that promote their clearance by the immune system. We propose that cells with abnormal karyotypes generate a signal for their own elimination that may serve as a means for cancer cell immunosurveillance.","author":[{"dropping-particle":"","family":"Santaguida","given":"S","non-dropping-particle":"","parse-names":false,"suffix":""},{"dropping-particle":"","family":"Richardson","given":"A","non-dropping-particle":"","parse-names":false,"suffix":""},{"dropping-particle":"","family":"Iyer","given":"D R","non-dropping-particle":"","parse-names":false,"suffix":""},{"dropping-particle":"","family":"M'Saad","given":"O","non-dropping-particle":"","parse-names":false,"suffix":""},{"dropping-particle":"","family":"Zasadil","given":"L","non-dropping-particle":"","parse-names":false,"suffix":""},{"dropping-particle":"","family":"Knouse","given":"K A","non-dropping-particle":"","parse-names":false,"suffix":""},{"dropping-particle":"","family":"Wong","given":"Y L","non-dropping-particle":"","parse-names":false,"suffix":""},{"dropping-particle":"","family":"Rhind","given":"N","non-dropping-particle":"","parse-names":false,"suffix":""},{"dropping-particle":"","family":"Desai","given":"A","non-dropping-particle":"","parse-names":false,"suffix":""},{"dropping-particle":"","family":"Amon","given":"A","non-dropping-particle":"","parse-names":false,"suffix":""}],"container-title":"Dev Cell","id":"ITEM-1","issue":"6","issued":{"date-parts":[["2017"]]},"note":"Santaguida, Stefano\nRichardson, Amelia\nIyer, Divya Ramalingam\nM'Saad, Ons\nZasadil, Lauren\nKnouse, Kristin A\nWong, Yao Liang\nRhind, Nicholas\nDesai, Arshad\nAmon, Angelika\neng\nR01 CA206157/CA/NCI NIH HHS/\nR35 GM118066/GM/NIGMS NIH HHS/\nR01 GM098815/GM/NIGMS NIH HHS/\nR01 HD085866/HD/NICHD NIH HHS/\nR01 GM074215/GM/NIGMS NIH HHS/\nHHMI/Howard Hughes Medical Institute/\nP30 CA014051/CA/NCI NIH HHS/\nT32 GM007753/GM/NIGMS NIH HHS/\nR01 GM056800/GM/NIGMS NIH HHS/\nR01 GM062207/GM/NIGMS NIH HHS/\nT32 CA067754/CA/NCI NIH HHS/\nResearch Support, Non-U.S. Gov't\nResearch Support, N.I.H., Extramural\n2017/06/21 06:00\nDev Cell. 2017 Jun 19;41(6):638-651.e5. doi: 10.1016/j.devcel.2017.05.022.","page":"638-651 e5","title":"Chromosome Mis-segregation Generates Cell-Cycle-Arrested Cells with Complex Karyotypes that Are Eliminated by the Immune System","type":"article-journal","volume":"41"},"uris":["http://www.mendeley.com/documents/?uuid=e4c0c9c1-4699-4f78-b149-677adddab2d5"]}],"mendeley":{"formattedCitation":"&lt;sup&gt;40&lt;/sup&gt;","plainTextFormattedCitation":"40","previouslyFormattedCitation":"&lt;sup&gt;41&lt;/sup&gt;"},"properties":{"noteIndex":0},"schema":"https://github.com/citation-style-language/schema/raw/master/csl-citation.json"}</w:instrText>
      </w:r>
      <w:r>
        <w:rPr>
          <w:rFonts w:asciiTheme="majorBidi" w:hAnsiTheme="majorBidi" w:cstheme="majorBidi"/>
          <w:sz w:val="24"/>
          <w:szCs w:val="24"/>
        </w:rPr>
        <w:fldChar w:fldCharType="separate"/>
      </w:r>
      <w:r w:rsidRPr="00070E8F">
        <w:rPr>
          <w:rFonts w:asciiTheme="majorBidi" w:hAnsiTheme="majorBidi" w:cstheme="majorBidi"/>
          <w:noProof/>
          <w:sz w:val="24"/>
          <w:szCs w:val="24"/>
          <w:vertAlign w:val="superscript"/>
        </w:rPr>
        <w:t>40</w:t>
      </w:r>
      <w:r>
        <w:rPr>
          <w:rFonts w:asciiTheme="majorBidi" w:hAnsiTheme="majorBidi" w:cstheme="majorBidi"/>
          <w:sz w:val="24"/>
          <w:szCs w:val="24"/>
        </w:rPr>
        <w:fldChar w:fldCharType="end"/>
      </w:r>
      <w:r>
        <w:rPr>
          <w:rFonts w:asciiTheme="majorBidi" w:hAnsiTheme="majorBidi" w:cstheme="majorBidi"/>
          <w:sz w:val="24"/>
          <w:szCs w:val="24"/>
        </w:rPr>
        <w:t xml:space="preserve">, and isolated stable clones of: </w:t>
      </w:r>
      <w:r w:rsidRPr="00EC3C26">
        <w:rPr>
          <w:rFonts w:asciiTheme="majorBidi" w:hAnsiTheme="majorBidi" w:cstheme="majorBidi"/>
          <w:sz w:val="24"/>
          <w:szCs w:val="24"/>
        </w:rPr>
        <w:t xml:space="preserve">1) diploid cells; 2) aneuploid cells with a single trisomy; and 3) aneuploid cells with multiple trisomies. These cells </w:t>
      </w:r>
      <w:r>
        <w:rPr>
          <w:rFonts w:asciiTheme="majorBidi" w:hAnsiTheme="majorBidi" w:cstheme="majorBidi"/>
          <w:sz w:val="24"/>
          <w:szCs w:val="24"/>
        </w:rPr>
        <w:t>did</w:t>
      </w:r>
      <w:r w:rsidRPr="00EC3C26">
        <w:rPr>
          <w:rFonts w:asciiTheme="majorBidi" w:hAnsiTheme="majorBidi" w:cstheme="majorBidi"/>
          <w:sz w:val="24"/>
          <w:szCs w:val="24"/>
        </w:rPr>
        <w:t xml:space="preserve"> not undergo WGD, and exhibited</w:t>
      </w:r>
      <w:r>
        <w:rPr>
          <w:rFonts w:asciiTheme="majorBidi" w:hAnsiTheme="majorBidi" w:cstheme="majorBidi"/>
          <w:sz w:val="24"/>
          <w:szCs w:val="24"/>
        </w:rPr>
        <w:t xml:space="preserve"> stable karyotypes for &gt;</w:t>
      </w:r>
      <w:r w:rsidRPr="00EC3C26">
        <w:rPr>
          <w:rFonts w:asciiTheme="majorBidi" w:hAnsiTheme="majorBidi" w:cstheme="majorBidi"/>
          <w:sz w:val="24"/>
          <w:szCs w:val="24"/>
        </w:rPr>
        <w:t>10 passages</w:t>
      </w:r>
      <w:r>
        <w:rPr>
          <w:rFonts w:asciiTheme="majorBidi" w:hAnsiTheme="majorBidi" w:cstheme="majorBidi"/>
          <w:sz w:val="24"/>
          <w:szCs w:val="24"/>
        </w:rPr>
        <w:t xml:space="preserve"> (</w:t>
      </w:r>
      <w:r w:rsidRPr="002425BA">
        <w:rPr>
          <w:rFonts w:asciiTheme="majorBidi" w:hAnsiTheme="majorBidi" w:cstheme="majorBidi"/>
          <w:b/>
          <w:bCs/>
          <w:sz w:val="24"/>
          <w:szCs w:val="24"/>
        </w:rPr>
        <w:t xml:space="preserve">Extended Data </w:t>
      </w:r>
      <w:r>
        <w:rPr>
          <w:rFonts w:asciiTheme="majorBidi" w:hAnsiTheme="majorBidi" w:cstheme="majorBidi"/>
          <w:b/>
          <w:bCs/>
          <w:sz w:val="24"/>
          <w:szCs w:val="24"/>
        </w:rPr>
        <w:lastRenderedPageBreak/>
        <w:t>Fig. 5d</w:t>
      </w:r>
      <w:r>
        <w:rPr>
          <w:rFonts w:asciiTheme="majorBidi" w:hAnsiTheme="majorBidi" w:cstheme="majorBidi"/>
          <w:sz w:val="24"/>
          <w:szCs w:val="24"/>
        </w:rPr>
        <w:t>)</w:t>
      </w:r>
      <w:r w:rsidRPr="00EC3C26">
        <w:rPr>
          <w:rFonts w:asciiTheme="majorBidi" w:hAnsiTheme="majorBidi" w:cstheme="majorBidi"/>
          <w:sz w:val="24"/>
          <w:szCs w:val="24"/>
        </w:rPr>
        <w:t>. We found that the aneuploid RPE1 lines, and especially those with a complex karyotype, were significantly more resistant to the two TTK inhibitors (</w:t>
      </w:r>
      <w:r w:rsidRPr="00EC3C26">
        <w:rPr>
          <w:rFonts w:asciiTheme="majorBidi" w:hAnsiTheme="majorBidi" w:cstheme="majorBidi"/>
          <w:b/>
          <w:bCs/>
          <w:sz w:val="24"/>
          <w:szCs w:val="24"/>
        </w:rPr>
        <w:t xml:space="preserve">Fig. </w:t>
      </w:r>
      <w:r>
        <w:rPr>
          <w:rFonts w:asciiTheme="majorBidi" w:hAnsiTheme="majorBidi" w:cstheme="majorBidi"/>
          <w:b/>
          <w:bCs/>
          <w:sz w:val="24"/>
          <w:szCs w:val="24"/>
        </w:rPr>
        <w:t>2</w:t>
      </w:r>
      <w:r w:rsidRPr="00EC3C26">
        <w:rPr>
          <w:rFonts w:asciiTheme="majorBidi" w:hAnsiTheme="majorBidi" w:cstheme="majorBidi"/>
          <w:b/>
          <w:bCs/>
          <w:sz w:val="24"/>
          <w:szCs w:val="24"/>
        </w:rPr>
        <w:t>c</w:t>
      </w:r>
      <w:r w:rsidRPr="00B268FA">
        <w:rPr>
          <w:rFonts w:asciiTheme="majorBidi" w:hAnsiTheme="majorBidi" w:cstheme="majorBidi"/>
          <w:sz w:val="24"/>
          <w:szCs w:val="24"/>
        </w:rPr>
        <w:t xml:space="preserve"> </w:t>
      </w:r>
      <w:r w:rsidRPr="004A2359">
        <w:rPr>
          <w:rFonts w:asciiTheme="majorBidi" w:hAnsiTheme="majorBidi" w:cstheme="majorBidi"/>
          <w:sz w:val="24"/>
          <w:szCs w:val="24"/>
        </w:rPr>
        <w:t>and</w:t>
      </w:r>
      <w:r>
        <w:rPr>
          <w:rFonts w:asciiTheme="majorBidi" w:hAnsiTheme="majorBidi" w:cstheme="majorBidi"/>
          <w:b/>
          <w:bCs/>
          <w:sz w:val="24"/>
          <w:szCs w:val="24"/>
        </w:rPr>
        <w:t xml:space="preserve"> Extended Data Fig. 6f</w:t>
      </w:r>
      <w:r w:rsidRPr="00EC3C26">
        <w:rPr>
          <w:rFonts w:asciiTheme="majorBidi" w:hAnsiTheme="majorBidi" w:cstheme="majorBidi"/>
          <w:sz w:val="24"/>
          <w:szCs w:val="24"/>
        </w:rPr>
        <w:t xml:space="preserve">), as well as to siRNA-mediated KD of </w:t>
      </w:r>
      <w:r w:rsidRPr="00393131">
        <w:rPr>
          <w:rFonts w:asciiTheme="majorBidi" w:hAnsiTheme="majorBidi" w:cstheme="majorBidi"/>
          <w:i/>
          <w:iCs/>
          <w:sz w:val="24"/>
          <w:szCs w:val="24"/>
        </w:rPr>
        <w:t>BUB1B</w:t>
      </w:r>
      <w:r w:rsidRPr="00EC3C26">
        <w:rPr>
          <w:rFonts w:asciiTheme="majorBidi" w:hAnsiTheme="majorBidi" w:cstheme="majorBidi"/>
          <w:sz w:val="24"/>
          <w:szCs w:val="24"/>
        </w:rPr>
        <w:t xml:space="preserve">, </w:t>
      </w:r>
      <w:r w:rsidRPr="00393131">
        <w:rPr>
          <w:rFonts w:asciiTheme="majorBidi" w:hAnsiTheme="majorBidi" w:cstheme="majorBidi"/>
          <w:i/>
          <w:iCs/>
          <w:sz w:val="24"/>
          <w:szCs w:val="24"/>
        </w:rPr>
        <w:t>MAD2</w:t>
      </w:r>
      <w:r>
        <w:rPr>
          <w:rFonts w:asciiTheme="majorBidi" w:hAnsiTheme="majorBidi" w:cstheme="majorBidi"/>
          <w:i/>
          <w:iCs/>
          <w:sz w:val="24"/>
          <w:szCs w:val="24"/>
        </w:rPr>
        <w:t>,</w:t>
      </w:r>
      <w:r w:rsidRPr="00EC3C26">
        <w:rPr>
          <w:rFonts w:asciiTheme="majorBidi" w:hAnsiTheme="majorBidi" w:cstheme="majorBidi"/>
          <w:sz w:val="24"/>
          <w:szCs w:val="24"/>
        </w:rPr>
        <w:t xml:space="preserve"> and </w:t>
      </w:r>
      <w:r w:rsidRPr="00393131">
        <w:rPr>
          <w:rFonts w:asciiTheme="majorBidi" w:hAnsiTheme="majorBidi" w:cstheme="majorBidi"/>
          <w:i/>
          <w:iCs/>
          <w:sz w:val="24"/>
          <w:szCs w:val="24"/>
        </w:rPr>
        <w:t>TTK</w:t>
      </w:r>
      <w:r w:rsidRPr="00EC3C26">
        <w:rPr>
          <w:rFonts w:asciiTheme="majorBidi" w:hAnsiTheme="majorBidi" w:cstheme="majorBidi"/>
          <w:sz w:val="24"/>
          <w:szCs w:val="24"/>
        </w:rPr>
        <w:t xml:space="preserve"> (</w:t>
      </w:r>
      <w:r w:rsidRPr="00EC3C26">
        <w:rPr>
          <w:rFonts w:asciiTheme="majorBidi" w:hAnsiTheme="majorBidi" w:cstheme="majorBidi"/>
          <w:b/>
          <w:bCs/>
          <w:sz w:val="24"/>
          <w:szCs w:val="24"/>
        </w:rPr>
        <w:t xml:space="preserve">Fig. </w:t>
      </w:r>
      <w:r>
        <w:rPr>
          <w:rFonts w:asciiTheme="majorBidi" w:hAnsiTheme="majorBidi" w:cstheme="majorBidi"/>
          <w:b/>
          <w:bCs/>
          <w:sz w:val="24"/>
          <w:szCs w:val="24"/>
        </w:rPr>
        <w:t>2</w:t>
      </w:r>
      <w:r w:rsidRPr="00EC3C26">
        <w:rPr>
          <w:rFonts w:asciiTheme="majorBidi" w:hAnsiTheme="majorBidi" w:cstheme="majorBidi"/>
          <w:b/>
          <w:bCs/>
          <w:sz w:val="24"/>
          <w:szCs w:val="24"/>
        </w:rPr>
        <w:t>d</w:t>
      </w:r>
      <w:r w:rsidRPr="00EC3C26">
        <w:rPr>
          <w:rFonts w:asciiTheme="majorBidi" w:hAnsiTheme="majorBidi" w:cstheme="majorBidi"/>
          <w:sz w:val="24"/>
          <w:szCs w:val="24"/>
        </w:rPr>
        <w:t>)</w:t>
      </w:r>
      <w:r>
        <w:rPr>
          <w:rFonts w:asciiTheme="majorBidi" w:hAnsiTheme="majorBidi" w:cstheme="majorBidi"/>
          <w:sz w:val="24"/>
          <w:szCs w:val="24"/>
        </w:rPr>
        <w:t>, in 3-5 day assays</w:t>
      </w:r>
      <w:r w:rsidRPr="00EC3C26">
        <w:rPr>
          <w:rFonts w:asciiTheme="majorBidi" w:hAnsiTheme="majorBidi" w:cstheme="majorBidi"/>
          <w:sz w:val="24"/>
          <w:szCs w:val="24"/>
        </w:rPr>
        <w:t xml:space="preserve">. These results indicate that </w:t>
      </w:r>
      <w:r>
        <w:rPr>
          <w:rFonts w:asciiTheme="majorBidi" w:hAnsiTheme="majorBidi" w:cstheme="majorBidi"/>
          <w:sz w:val="24"/>
          <w:szCs w:val="24"/>
        </w:rPr>
        <w:t xml:space="preserve">aneuploidy </w:t>
      </w:r>
      <w:r w:rsidRPr="00F2785C">
        <w:rPr>
          <w:rFonts w:asciiTheme="majorBidi" w:hAnsiTheme="majorBidi" w:cstheme="majorBidi"/>
          <w:i/>
          <w:iCs/>
          <w:sz w:val="24"/>
          <w:szCs w:val="24"/>
        </w:rPr>
        <w:t>per se</w:t>
      </w:r>
      <w:r>
        <w:rPr>
          <w:rFonts w:asciiTheme="majorBidi" w:hAnsiTheme="majorBidi" w:cstheme="majorBidi"/>
          <w:sz w:val="24"/>
          <w:szCs w:val="24"/>
        </w:rPr>
        <w:t xml:space="preserve"> is a major determinant of SAC sensitivity, in line with the cancer cell line data analysis presented above. </w:t>
      </w:r>
    </w:p>
    <w:p w:rsidR="001638EE" w:rsidRPr="001E4C69" w:rsidRDefault="001638EE" w:rsidP="001638EE">
      <w:pPr>
        <w:spacing w:after="160" w:line="259" w:lineRule="auto"/>
        <w:rPr>
          <w:rFonts w:asciiTheme="majorBidi" w:hAnsiTheme="majorBidi" w:cstheme="majorBidi"/>
          <w:b/>
          <w:bCs/>
          <w:color w:val="auto"/>
          <w:sz w:val="24"/>
          <w:szCs w:val="24"/>
        </w:rPr>
      </w:pPr>
      <w:r w:rsidRPr="001E4C69">
        <w:rPr>
          <w:rFonts w:asciiTheme="majorBidi" w:hAnsiTheme="majorBidi" w:cstheme="majorBidi"/>
          <w:b/>
          <w:bCs/>
          <w:color w:val="auto"/>
          <w:sz w:val="24"/>
          <w:szCs w:val="24"/>
        </w:rPr>
        <w:t xml:space="preserve">Supplementary Note </w:t>
      </w:r>
      <w:r>
        <w:rPr>
          <w:rFonts w:asciiTheme="majorBidi" w:hAnsiTheme="majorBidi" w:cstheme="majorBidi"/>
          <w:b/>
          <w:bCs/>
          <w:color w:val="auto"/>
          <w:sz w:val="24"/>
          <w:szCs w:val="24"/>
        </w:rPr>
        <w:t>8</w:t>
      </w:r>
      <w:r w:rsidRPr="001E4C69">
        <w:rPr>
          <w:rFonts w:asciiTheme="majorBidi" w:hAnsiTheme="majorBidi" w:cstheme="majorBidi"/>
          <w:b/>
          <w:bCs/>
          <w:color w:val="auto"/>
          <w:sz w:val="24"/>
          <w:szCs w:val="24"/>
        </w:rPr>
        <w:t xml:space="preserve">: Connectivity Map analysis of the transcriptional response to </w:t>
      </w:r>
      <w:proofErr w:type="spellStart"/>
      <w:r>
        <w:rPr>
          <w:rFonts w:asciiTheme="majorBidi" w:hAnsiTheme="majorBidi" w:cstheme="majorBidi"/>
          <w:b/>
          <w:bCs/>
          <w:color w:val="auto"/>
          <w:sz w:val="24"/>
          <w:szCs w:val="24"/>
        </w:rPr>
        <w:t>SACi</w:t>
      </w:r>
      <w:proofErr w:type="spellEnd"/>
    </w:p>
    <w:p w:rsidR="001638EE" w:rsidRPr="001E4C69" w:rsidRDefault="001638EE" w:rsidP="008D4307">
      <w:pPr>
        <w:spacing w:after="160"/>
        <w:jc w:val="both"/>
        <w:rPr>
          <w:rFonts w:ascii="Times New Roman" w:hAnsi="Times New Roman" w:cs="Times New Roman"/>
          <w:color w:val="auto"/>
          <w:sz w:val="24"/>
          <w:szCs w:val="24"/>
        </w:rPr>
      </w:pPr>
      <w:r w:rsidRPr="001E4C69">
        <w:rPr>
          <w:rFonts w:ascii="Times New Roman" w:hAnsi="Times New Roman" w:cs="Times New Roman"/>
          <w:color w:val="auto"/>
          <w:sz w:val="24"/>
          <w:szCs w:val="24"/>
        </w:rPr>
        <w:t xml:space="preserve">To ask whether aneuploid cells respond differently from diploid cells to </w:t>
      </w:r>
      <w:proofErr w:type="spellStart"/>
      <w:r>
        <w:rPr>
          <w:rFonts w:ascii="Times New Roman" w:hAnsi="Times New Roman" w:cs="Times New Roman"/>
          <w:color w:val="auto"/>
          <w:sz w:val="24"/>
          <w:szCs w:val="24"/>
        </w:rPr>
        <w:t>SACi</w:t>
      </w:r>
      <w:proofErr w:type="spellEnd"/>
      <w:r w:rsidRPr="001E4C69">
        <w:rPr>
          <w:rFonts w:ascii="Times New Roman" w:hAnsi="Times New Roman" w:cs="Times New Roman"/>
          <w:color w:val="auto"/>
          <w:sz w:val="24"/>
          <w:szCs w:val="24"/>
        </w:rPr>
        <w:t>, we queried the expression profiles against the Connectivity Map database, which compares the similarity between these drugs’ transcriptional responses to those of thousands of compounds and genetic reagents</w:t>
      </w:r>
      <w:r w:rsidRPr="001E4C69">
        <w:rPr>
          <w:rFonts w:ascii="Times New Roman" w:hAnsi="Times New Roman" w:cs="Times New Roman"/>
          <w:color w:val="auto"/>
          <w:sz w:val="24"/>
          <w:szCs w:val="24"/>
        </w:rPr>
        <w:fldChar w:fldCharType="begin" w:fldLock="1"/>
      </w:r>
      <w:r>
        <w:rPr>
          <w:rFonts w:ascii="Times New Roman" w:hAnsi="Times New Roman" w:cs="Times New Roman"/>
          <w:color w:val="auto"/>
          <w:sz w:val="24"/>
          <w:szCs w:val="24"/>
        </w:rPr>
        <w:instrText>ADDIN CSL_CITATION {"citationItems":[{"id":"ITEM-1","itemData":{"DOI":"10.1016/j.cell.2017.10.049","ISSN":"10974172","PMID":"29195078","abstract":"We previously piloted the concept of a Connectivity Map (CMap), whereby genes, drugs, and disease states are connected by virtue of common gene-expression signatures. Here, we report more than a 1,000-fold scale-up of the CMap as part of the NIH LINCS Consortium, made possible by a new, low-cost, high-throughput reduced representation expression profiling method that we term L1000. We show that L1000 is highly reproducible, comparable to RNA sequencing, and suitable for computational inference of the expression levels of 81% of non-measured transcripts. We further show that the expanded CMap can be used to discover mechanism of action of small molecules, functionally annotate genetic variants of disease genes, and inform clinical trials. The 1.3 million L1000 profiles described here, as well as tools for their analysis, are available at https://clue.io. The next generation Connectivity Map, a large-scale compendium of functional perturbations in cultured human cells coupled to a gene-expression readout, facilitates the discovery of connections between genes, drugs, and diseases.","author":[{"dropping-particle":"","family":"Subramanian","given":"Aravind","non-dropping-particle":"","parse-names":false,"suffix":""},{"dropping-particle":"","family":"Narayan","given":"Rajiv","non-dropping-particle":"","parse-names":false,"suffix":""},{"dropping-particle":"","family":"Corsello","given":"Steven M.","non-dropping-particle":"","parse-names":false,"suffix":""},{"dropping-particle":"","family":"Peck","given":"David D.","non-dropping-particle":"","parse-names":false,"suffix":""},{"dropping-particle":"","family":"Natoli","given":"Ted E.","non-dropping-particle":"","parse-names":false,"suffix":""},{"dropping-particle":"","family":"Lu","given":"Xiaodong","non-dropping-particle":"","parse-names":false,"suffix":""},{"dropping-particle":"","family":"Gould","given":"Joshua","non-dropping-particle":"","parse-names":false,"suffix":""},{"dropping-particle":"","family":"Davis","given":"John F.","non-dropping-particle":"","parse-names":false,"suffix":""},{"dropping-particle":"","family":"Tubelli","given":"Andrew A.","non-dropping-particle":"","parse-names":false,"suffix":""},{"dropping-particle":"","family":"Asiedu","given":"Jacob K.","non-dropping-particle":"","parse-names":false,"suffix":""},{"dropping-particle":"","family":"Lahr","given":"David L.","non-dropping-particle":"","parse-names":false,"suffix":""},{"dropping-particle":"","family":"Hirschman","given":"Jodi E.","non-dropping-particle":"","parse-names":false,"suffix":""},{"dropping-particle":"","family":"Liu","given":"Zihan","non-dropping-particle":"","parse-names":false,"suffix":""},{"dropping-particle":"","family":"Donahue","given":"Melanie","non-dropping-particle":"","parse-names":false,"suffix":""},{"dropping-particle":"","family":"Julian","given":"Bina","non-dropping-particle":"","parse-names":false,"suffix":""},{"dropping-particle":"","family":"Khan","given":"Mariya","non-dropping-particle":"","parse-names":false,"suffix":""},{"dropping-particle":"","family":"Wadden","given":"David","non-dropping-particle":"","parse-names":false,"suffix":""},{"dropping-particle":"","family":"Smith","given":"Ian C.","non-dropping-particle":"","parse-names":false,"suffix":""},{"dropping-particle":"","family":"Lam","given":"Daniel","non-dropping-particle":"","parse-names":false,"suffix":""},{"dropping-particle":"","family":"Liberzon","given":"Arthur","non-dropping-particle":"","parse-names":false,"suffix":""},{"dropping-particle":"","family":"Toder","given":"Courtney","non-dropping-particle":"","parse-names":false,"suffix":""},{"dropping-particle":"","family":"Bagul","given":"Mukta","non-dropping-particle":"","parse-names":false,"suffix":""},{"dropping-particle":"","family":"Orzechowski","given":"Marek","non-dropping-particle":"","parse-names":false,"suffix":""},{"dropping-particle":"","family":"Enache","given":"Oana M.","non-dropping-particle":"","parse-names":false,"suffix":""},{"dropping-particle":"","family":"Piccioni","given":"Federica","non-dropping-particle":"","parse-names":false,"suffix":""},{"dropping-particle":"","family":"Johnson","given":"Sarah A.","non-dropping-particle":"","parse-names":false,"suffix":""},{"dropping-particle":"","family":"Lyons","given":"Nicholas J.","non-dropping-particle":"","parse-names":false,"suffix":""},{"dropping-particle":"","family":"Berger","given":"Alice H.","non-dropping-particle":"","parse-names":false,"suffix":""},{"dropping-particle":"","family":"Shamji","given":"Alykhan F.","non-dropping-particle":"","parse-names":false,"suffix":""},{"dropping-particle":"","family":"Brooks","given":"Angela N.","non-dropping-particle":"","parse-names":false,"suffix":""},{"dropping-particle":"","family":"Vrcic","given":"Anita","non-dropping-particle":"","parse-names":false,"suffix":""},{"dropping-particle":"","family":"Flynn","given":"Corey","non-dropping-particle":"","parse-names":false,"suffix":""},{"dropping-particle":"","family":"Rosains","given":"Jacqueline","non-dropping-particle":"","parse-names":false,"suffix":""},{"dropping-particle":"","family":"Takeda","given":"David Y.","non-dropping-particle":"","parse-names":false,"suffix":""},{"dropping-particle":"","family":"Hu","given":"Roger","non-dropping-particle":"","parse-names":false,"suffix":""},{"dropping-particle":"","family":"Davison","given":"Desiree","non-dropping-particle":"","parse-names":false,"suffix":""},{"dropping-particle":"","family":"Lamb","given":"Justin","non-dropping-particle":"","parse-names":false,"suffix":""},{"dropping-particle":"","family":"Ardlie","given":"Kristin","non-dropping-particle":"","parse-names":false,"suffix":""},{"dropping-particle":"","family":"Hogstrom","given":"Larson","non-dropping-particle":"","parse-names":false,"suffix":""},{"dropping-particle":"","family":"Greenside","given":"Peyton","non-dropping-particle":"","parse-names":false,"suffix":""},{"dropping-particle":"","family":"Gray","given":"Nathanael S.","non-dropping-particle":"","parse-names":false,"suffix":""},{"dropping-particle":"","family":"Clemons","given":"Paul A.","non-dropping-particle":"","parse-names":false,"suffix":""},{"dropping-particle":"","family":"Silver","given":"Serena","non-dropping-particle":"","parse-names":false,"suffix":""},{"dropping-particle":"","family":"Wu","given":"Xiaoyun","non-dropping-particle":"","parse-names":false,"suffix":""},{"dropping-particle":"","family":"Zhao","given":"Wen Ning","non-dropping-particle":"","parse-names":false,"suffix":""},{"dropping-particle":"","family":"Read-Button","given":"Willis","non-dropping-particle":"","parse-names":false,"suffix":""},{"dropping-particle":"","family":"Wu","given":"Xiaohua","non-dropping-particle":"","parse-names":false,"suffix":""},{"dropping-particle":"","family":"Haggarty","given":"Stephen J.","non-dropping-particle":"","parse-names":false,"suffix":""},{"dropping-particle":"V.","family":"Ronco","given":"Lucienne","non-dropping-particle":"","parse-names":false,"suffix":""},{"dropping-particle":"","family":"Boehm","given":"Jesse S.","non-dropping-particle":"","parse-names":false,"suffix":""},{"dropping-particle":"","family":"Schreiber","given":"Stuart L.","non-dropping-particle":"","parse-names":false,"suffix":""},{"dropping-particle":"","family":"Doench","given":"John G.","non-dropping-particle":"","parse-names":false,"suffix":""},{"dropping-particle":"","family":"Bittker","given":"Joshua A.","non-dropping-particle":"","parse-names":false,"suffix":""},{"dropping-particle":"","family":"Root","given":"David E.","non-dropping-particle":"","parse-names":false,"suffix":""},{"dropping-particle":"","family":"Wong","given":"Bang","non-dropping-particle":"","parse-names":false,"suffix":""},{"dropping-particle":"","family":"Golub","given":"Todd R.","non-dropping-particle":"","parse-names":false,"suffix":""}],"container-title":"Cell","id":"ITEM-1","issued":{"date-parts":[["2017"]]},"title":"A Next Generation Connectivity Map: L1000 Platform and the First 1,000,000 Profiles","type":"article-journal"},"uris":["http://www.mendeley.com/documents/?uuid=075b6214-7ef3-4e12-beb1-73fbac89e412"]}],"mendeley":{"formattedCitation":"&lt;sup&gt;52&lt;/sup&gt;","plainTextFormattedCitation":"52","previouslyFormattedCitation":"&lt;sup&gt;53&lt;/sup&gt;"},"properties":{"noteIndex":0},"schema":"https://github.com/citation-style-language/schema/raw/master/csl-citation.json"}</w:instrText>
      </w:r>
      <w:r w:rsidRPr="001E4C69">
        <w:rPr>
          <w:rFonts w:ascii="Times New Roman" w:hAnsi="Times New Roman" w:cs="Times New Roman"/>
          <w:color w:val="auto"/>
          <w:sz w:val="24"/>
          <w:szCs w:val="24"/>
        </w:rPr>
        <w:fldChar w:fldCharType="separate"/>
      </w:r>
      <w:r w:rsidR="008D4307">
        <w:rPr>
          <w:rFonts w:ascii="Times New Roman" w:hAnsi="Times New Roman" w:cs="Times New Roman"/>
          <w:noProof/>
          <w:color w:val="auto"/>
          <w:sz w:val="24"/>
          <w:szCs w:val="24"/>
          <w:vertAlign w:val="superscript"/>
        </w:rPr>
        <w:t>63</w:t>
      </w:r>
      <w:r w:rsidRPr="001E4C69">
        <w:rPr>
          <w:rFonts w:ascii="Times New Roman" w:hAnsi="Times New Roman" w:cs="Times New Roman"/>
          <w:color w:val="auto"/>
          <w:sz w:val="24"/>
          <w:szCs w:val="24"/>
        </w:rPr>
        <w:fldChar w:fldCharType="end"/>
      </w:r>
      <w:r w:rsidRPr="001E4C69">
        <w:rPr>
          <w:rFonts w:ascii="Times New Roman" w:hAnsi="Times New Roman" w:cs="Times New Roman"/>
          <w:color w:val="auto"/>
          <w:sz w:val="24"/>
          <w:szCs w:val="24"/>
        </w:rPr>
        <w:t>. The transcriptional response to both SAC inhibitors connected strongly to perturbations related to cell cycle inhibition, indicating that the observed expression changes are biologically relevant (</w:t>
      </w:r>
      <w:r w:rsidRPr="001E4C69">
        <w:rPr>
          <w:rFonts w:ascii="Times New Roman" w:hAnsi="Times New Roman" w:cs="Times New Roman"/>
          <w:b/>
          <w:bCs/>
          <w:color w:val="auto"/>
          <w:sz w:val="24"/>
          <w:szCs w:val="24"/>
        </w:rPr>
        <w:t xml:space="preserve">Extended Data Fig. </w:t>
      </w:r>
      <w:r>
        <w:rPr>
          <w:rFonts w:ascii="Times New Roman" w:hAnsi="Times New Roman" w:cs="Times New Roman"/>
          <w:b/>
          <w:bCs/>
          <w:color w:val="auto"/>
          <w:sz w:val="24"/>
          <w:szCs w:val="24"/>
        </w:rPr>
        <w:t>8</w:t>
      </w:r>
      <w:r w:rsidRPr="001E4C69">
        <w:rPr>
          <w:rFonts w:ascii="Times New Roman" w:hAnsi="Times New Roman" w:cs="Times New Roman"/>
          <w:b/>
          <w:bCs/>
          <w:color w:val="auto"/>
          <w:sz w:val="24"/>
          <w:szCs w:val="24"/>
        </w:rPr>
        <w:t>a</w:t>
      </w:r>
      <w:r w:rsidRPr="001E4C69">
        <w:rPr>
          <w:rFonts w:ascii="Times New Roman" w:hAnsi="Times New Roman" w:cs="Times New Roman"/>
          <w:color w:val="auto"/>
          <w:sz w:val="24"/>
          <w:szCs w:val="24"/>
        </w:rPr>
        <w:t>).</w:t>
      </w:r>
    </w:p>
    <w:p w:rsidR="001638EE" w:rsidRPr="001E4C69" w:rsidRDefault="001638EE" w:rsidP="001638EE">
      <w:pPr>
        <w:spacing w:after="160"/>
        <w:jc w:val="both"/>
        <w:rPr>
          <w:rFonts w:ascii="Times New Roman" w:hAnsi="Times New Roman" w:cs="Times New Roman"/>
          <w:b/>
          <w:bCs/>
          <w:color w:val="auto"/>
          <w:sz w:val="24"/>
          <w:szCs w:val="24"/>
          <w:lang w:bidi="ar-SA"/>
        </w:rPr>
      </w:pPr>
      <w:r w:rsidRPr="001E4C69">
        <w:rPr>
          <w:rFonts w:ascii="Times New Roman" w:hAnsi="Times New Roman" w:cs="Times New Roman"/>
          <w:b/>
          <w:bCs/>
          <w:color w:val="auto"/>
          <w:sz w:val="24"/>
          <w:szCs w:val="24"/>
          <w:lang w:bidi="ar-SA"/>
        </w:rPr>
        <w:t xml:space="preserve">Supplementary Note </w:t>
      </w:r>
      <w:r>
        <w:rPr>
          <w:rFonts w:ascii="Times New Roman" w:hAnsi="Times New Roman" w:cs="Times New Roman"/>
          <w:b/>
          <w:bCs/>
          <w:color w:val="auto"/>
          <w:sz w:val="24"/>
          <w:szCs w:val="24"/>
          <w:lang w:bidi="ar-SA"/>
        </w:rPr>
        <w:t>9</w:t>
      </w:r>
      <w:r w:rsidRPr="001E4C69">
        <w:rPr>
          <w:rFonts w:ascii="Times New Roman" w:hAnsi="Times New Roman" w:cs="Times New Roman"/>
          <w:b/>
          <w:bCs/>
          <w:color w:val="auto"/>
          <w:sz w:val="24"/>
          <w:szCs w:val="24"/>
          <w:lang w:bidi="ar-SA"/>
        </w:rPr>
        <w:t xml:space="preserve">: Discussion of the essentiality of </w:t>
      </w:r>
      <w:r w:rsidRPr="001E4C69">
        <w:rPr>
          <w:rFonts w:ascii="Times New Roman" w:hAnsi="Times New Roman" w:cs="Times New Roman"/>
          <w:b/>
          <w:bCs/>
          <w:i/>
          <w:iCs/>
          <w:color w:val="auto"/>
          <w:sz w:val="24"/>
          <w:szCs w:val="24"/>
          <w:lang w:bidi="ar-SA"/>
        </w:rPr>
        <w:t>KIF18A</w:t>
      </w:r>
      <w:r w:rsidRPr="001E4C69">
        <w:rPr>
          <w:rFonts w:ascii="Times New Roman" w:hAnsi="Times New Roman" w:cs="Times New Roman"/>
          <w:b/>
          <w:bCs/>
          <w:color w:val="auto"/>
          <w:sz w:val="24"/>
          <w:szCs w:val="24"/>
          <w:lang w:bidi="ar-SA"/>
        </w:rPr>
        <w:t xml:space="preserve"> in RNAi vs. CRISPR screens</w:t>
      </w:r>
    </w:p>
    <w:p w:rsidR="001638EE" w:rsidRPr="001E4C69" w:rsidRDefault="001638EE" w:rsidP="001638EE">
      <w:pPr>
        <w:spacing w:after="160"/>
        <w:jc w:val="both"/>
        <w:rPr>
          <w:rFonts w:asciiTheme="majorBidi" w:hAnsiTheme="majorBidi" w:cstheme="majorBidi"/>
          <w:color w:val="auto"/>
          <w:sz w:val="24"/>
          <w:szCs w:val="24"/>
          <w:shd w:val="clear" w:color="auto" w:fill="FFFFFF"/>
        </w:rPr>
      </w:pP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comes up as common-essential in the CRISPR dataset (</w:t>
      </w:r>
      <w:r w:rsidRPr="001E4C69">
        <w:rPr>
          <w:rFonts w:asciiTheme="majorBidi" w:hAnsiTheme="majorBidi" w:cstheme="majorBidi"/>
          <w:b/>
          <w:bCs/>
          <w:color w:val="auto"/>
          <w:sz w:val="24"/>
          <w:szCs w:val="24"/>
          <w:shd w:val="clear" w:color="auto" w:fill="FFFFFF"/>
        </w:rPr>
        <w:t xml:space="preserve">Extended Data Fig. </w:t>
      </w:r>
      <w:r>
        <w:rPr>
          <w:rFonts w:asciiTheme="majorBidi" w:hAnsiTheme="majorBidi" w:cstheme="majorBidi"/>
          <w:b/>
          <w:bCs/>
          <w:color w:val="auto"/>
          <w:sz w:val="24"/>
          <w:szCs w:val="24"/>
          <w:shd w:val="clear" w:color="auto" w:fill="FFFFFF"/>
        </w:rPr>
        <w:t>9f</w:t>
      </w:r>
      <w:r w:rsidRPr="001E4C69">
        <w:rPr>
          <w:rFonts w:asciiTheme="majorBidi" w:hAnsiTheme="majorBidi" w:cstheme="majorBidi"/>
          <w:color w:val="auto"/>
          <w:sz w:val="24"/>
          <w:szCs w:val="24"/>
          <w:shd w:val="clear" w:color="auto" w:fill="FFFFFF"/>
        </w:rPr>
        <w:t>), but not in the RNAi datasets (</w:t>
      </w:r>
      <w:r w:rsidRPr="001E4C69">
        <w:rPr>
          <w:rFonts w:asciiTheme="majorBidi" w:hAnsiTheme="majorBidi" w:cstheme="majorBidi"/>
          <w:b/>
          <w:bCs/>
          <w:color w:val="auto"/>
          <w:sz w:val="24"/>
          <w:szCs w:val="24"/>
          <w:shd w:val="clear" w:color="auto" w:fill="FFFFFF"/>
        </w:rPr>
        <w:t xml:space="preserve">Fig. </w:t>
      </w:r>
      <w:r>
        <w:rPr>
          <w:rFonts w:asciiTheme="majorBidi" w:hAnsiTheme="majorBidi" w:cstheme="majorBidi"/>
          <w:b/>
          <w:bCs/>
          <w:color w:val="auto"/>
          <w:sz w:val="24"/>
          <w:szCs w:val="24"/>
          <w:shd w:val="clear" w:color="auto" w:fill="FFFFFF"/>
        </w:rPr>
        <w:t>4e</w:t>
      </w:r>
      <w:r w:rsidRPr="001E4C69">
        <w:rPr>
          <w:rFonts w:asciiTheme="majorBidi" w:hAnsiTheme="majorBidi" w:cstheme="majorBidi"/>
          <w:color w:val="auto"/>
          <w:sz w:val="24"/>
          <w:szCs w:val="24"/>
          <w:shd w:val="clear" w:color="auto" w:fill="FFFFFF"/>
        </w:rPr>
        <w:t xml:space="preserve">). This is probably because cells can generally tolerate a partial knockdown of this gene better than its complete knockout. It is common for a gene to appear as much more essential in a CRISPR screen than in an RNAi screen: for example, </w:t>
      </w:r>
      <w:r w:rsidRPr="00D27CA5">
        <w:rPr>
          <w:rFonts w:asciiTheme="majorBidi" w:hAnsiTheme="majorBidi" w:cstheme="majorBidi"/>
          <w:i/>
          <w:iCs/>
          <w:color w:val="auto"/>
          <w:sz w:val="24"/>
          <w:szCs w:val="24"/>
          <w:shd w:val="clear" w:color="auto" w:fill="FFFFFF"/>
        </w:rPr>
        <w:t>ATR</w:t>
      </w:r>
      <w:r w:rsidRPr="001E4C69">
        <w:rPr>
          <w:rFonts w:asciiTheme="majorBidi" w:hAnsiTheme="majorBidi" w:cstheme="majorBidi"/>
          <w:color w:val="auto"/>
          <w:sz w:val="24"/>
          <w:szCs w:val="24"/>
          <w:shd w:val="clear" w:color="auto" w:fill="FFFFFF"/>
        </w:rPr>
        <w:t xml:space="preserve">, </w:t>
      </w:r>
      <w:r w:rsidRPr="00D27CA5">
        <w:rPr>
          <w:rFonts w:asciiTheme="majorBidi" w:hAnsiTheme="majorBidi" w:cstheme="majorBidi"/>
          <w:i/>
          <w:iCs/>
          <w:color w:val="auto"/>
          <w:sz w:val="24"/>
          <w:szCs w:val="24"/>
          <w:shd w:val="clear" w:color="auto" w:fill="FFFFFF"/>
        </w:rPr>
        <w:t>CDK2</w:t>
      </w:r>
      <w:r w:rsidRPr="001E4C69">
        <w:rPr>
          <w:rFonts w:asciiTheme="majorBidi" w:hAnsiTheme="majorBidi" w:cstheme="majorBidi"/>
          <w:color w:val="auto"/>
          <w:sz w:val="24"/>
          <w:szCs w:val="24"/>
          <w:shd w:val="clear" w:color="auto" w:fill="FFFFFF"/>
        </w:rPr>
        <w:t xml:space="preserve"> and </w:t>
      </w:r>
      <w:r w:rsidRPr="00D27CA5">
        <w:rPr>
          <w:rFonts w:asciiTheme="majorBidi" w:hAnsiTheme="majorBidi" w:cstheme="majorBidi"/>
          <w:i/>
          <w:iCs/>
          <w:color w:val="auto"/>
          <w:sz w:val="24"/>
          <w:szCs w:val="24"/>
          <w:shd w:val="clear" w:color="auto" w:fill="FFFFFF"/>
        </w:rPr>
        <w:t>BRD4</w:t>
      </w:r>
      <w:r w:rsidRPr="001E4C69">
        <w:rPr>
          <w:rFonts w:asciiTheme="majorBidi" w:hAnsiTheme="majorBidi" w:cstheme="majorBidi"/>
          <w:color w:val="auto"/>
          <w:sz w:val="24"/>
          <w:szCs w:val="24"/>
          <w:shd w:val="clear" w:color="auto" w:fill="FFFFFF"/>
        </w:rPr>
        <w:t xml:space="preserve"> are such genes (</w:t>
      </w:r>
      <w:r w:rsidRPr="001E4C69">
        <w:rPr>
          <w:rFonts w:asciiTheme="majorBidi" w:hAnsiTheme="majorBidi" w:cstheme="majorBidi"/>
          <w:b/>
          <w:bCs/>
          <w:color w:val="auto"/>
          <w:sz w:val="24"/>
          <w:szCs w:val="24"/>
          <w:shd w:val="clear" w:color="auto" w:fill="FFFFFF"/>
        </w:rPr>
        <w:t xml:space="preserve">Supplementary Fig. 1a </w:t>
      </w:r>
      <w:r w:rsidRPr="001E4C69">
        <w:rPr>
          <w:rFonts w:asciiTheme="majorBidi" w:hAnsiTheme="majorBidi" w:cstheme="majorBidi"/>
          <w:color w:val="auto"/>
          <w:sz w:val="24"/>
          <w:szCs w:val="24"/>
          <w:shd w:val="clear" w:color="auto" w:fill="FFFFFF"/>
        </w:rPr>
        <w:t>and</w:t>
      </w:r>
      <w:r w:rsidRPr="001E4C69">
        <w:rPr>
          <w:rFonts w:asciiTheme="majorBidi" w:hAnsiTheme="majorBidi" w:cstheme="majorBidi"/>
          <w:b/>
          <w:bCs/>
          <w:color w:val="auto"/>
          <w:sz w:val="24"/>
          <w:szCs w:val="24"/>
          <w:shd w:val="clear" w:color="auto" w:fill="FFFFFF"/>
        </w:rPr>
        <w:t xml:space="preserve"> Supplementary Fig. 2a-c</w:t>
      </w:r>
      <w:r w:rsidRPr="001E4C69">
        <w:rPr>
          <w:rFonts w:asciiTheme="majorBidi" w:hAnsiTheme="majorBidi" w:cstheme="majorBidi"/>
          <w:color w:val="auto"/>
          <w:sz w:val="24"/>
          <w:szCs w:val="24"/>
          <w:shd w:val="clear" w:color="auto" w:fill="FFFFFF"/>
        </w:rPr>
        <w:t xml:space="preserve">). Many additional genes also come up as common-essential in the CRISPR screen, but not in the RNAi screens – 12 such examples are shown in </w:t>
      </w:r>
      <w:r w:rsidRPr="001E4C69">
        <w:rPr>
          <w:rFonts w:asciiTheme="majorBidi" w:hAnsiTheme="majorBidi" w:cstheme="majorBidi"/>
          <w:b/>
          <w:bCs/>
          <w:color w:val="auto"/>
          <w:sz w:val="24"/>
          <w:szCs w:val="24"/>
          <w:shd w:val="clear" w:color="auto" w:fill="FFFFFF"/>
        </w:rPr>
        <w:t>Supplementary Fig. 1b</w:t>
      </w:r>
      <w:r w:rsidRPr="001E4C69">
        <w:rPr>
          <w:rFonts w:asciiTheme="majorBidi" w:hAnsiTheme="majorBidi" w:cstheme="majorBidi"/>
          <w:color w:val="auto"/>
          <w:sz w:val="24"/>
          <w:szCs w:val="24"/>
          <w:shd w:val="clear" w:color="auto" w:fill="FFFFFF"/>
        </w:rPr>
        <w:t xml:space="preserve">. </w:t>
      </w:r>
    </w:p>
    <w:p w:rsidR="001638EE" w:rsidRPr="001E4C69" w:rsidRDefault="001638EE" w:rsidP="008D4307">
      <w:pPr>
        <w:spacing w:after="160"/>
        <w:jc w:val="both"/>
        <w:rPr>
          <w:rFonts w:asciiTheme="majorBidi" w:hAnsiTheme="majorBidi" w:cstheme="majorBidi"/>
          <w:color w:val="auto"/>
          <w:sz w:val="24"/>
          <w:szCs w:val="24"/>
        </w:rPr>
      </w:pPr>
      <w:r w:rsidRPr="001E4C69">
        <w:rPr>
          <w:rFonts w:asciiTheme="majorBidi" w:hAnsiTheme="majorBidi" w:cstheme="majorBidi"/>
          <w:color w:val="auto"/>
          <w:sz w:val="24"/>
          <w:szCs w:val="24"/>
        </w:rPr>
        <w:t xml:space="preserve">The best way to capture differential dependency between euploid and aneuploid cell lines is to compare the distributions of their dependency scores for genes of interest. This comparison showed that aneuploid cell lines depend on </w:t>
      </w:r>
      <w:r w:rsidRPr="001E4C69">
        <w:rPr>
          <w:rFonts w:asciiTheme="majorBidi" w:hAnsiTheme="majorBidi" w:cstheme="majorBidi"/>
          <w:i/>
          <w:iCs/>
          <w:color w:val="auto"/>
          <w:sz w:val="24"/>
          <w:szCs w:val="24"/>
        </w:rPr>
        <w:t>KIF18A</w:t>
      </w:r>
      <w:r w:rsidRPr="001E4C69">
        <w:rPr>
          <w:rFonts w:asciiTheme="majorBidi" w:hAnsiTheme="majorBidi" w:cstheme="majorBidi"/>
          <w:color w:val="auto"/>
          <w:sz w:val="24"/>
          <w:szCs w:val="24"/>
        </w:rPr>
        <w:t xml:space="preserve"> significantly more strongly than euploid cell lines (</w:t>
      </w:r>
      <w:r w:rsidRPr="001E4C69">
        <w:rPr>
          <w:rFonts w:asciiTheme="majorBidi" w:hAnsiTheme="majorBidi" w:cstheme="majorBidi"/>
          <w:b/>
          <w:bCs/>
          <w:color w:val="auto"/>
          <w:sz w:val="24"/>
          <w:szCs w:val="24"/>
        </w:rPr>
        <w:t xml:space="preserve">Fig. </w:t>
      </w:r>
      <w:r>
        <w:rPr>
          <w:rFonts w:asciiTheme="majorBidi" w:hAnsiTheme="majorBidi" w:cstheme="majorBidi"/>
          <w:b/>
          <w:bCs/>
          <w:color w:val="auto"/>
          <w:sz w:val="24"/>
          <w:szCs w:val="24"/>
        </w:rPr>
        <w:t>4e</w:t>
      </w:r>
      <w:r w:rsidRPr="001E4C69">
        <w:rPr>
          <w:rFonts w:asciiTheme="majorBidi" w:hAnsiTheme="majorBidi" w:cstheme="majorBidi"/>
          <w:color w:val="auto"/>
          <w:sz w:val="24"/>
          <w:szCs w:val="24"/>
        </w:rPr>
        <w:t xml:space="preserve">; p=3e-04, two-tailed </w:t>
      </w:r>
      <w:r>
        <w:rPr>
          <w:rFonts w:asciiTheme="majorBidi" w:hAnsiTheme="majorBidi" w:cstheme="majorBidi"/>
          <w:color w:val="auto"/>
          <w:sz w:val="24"/>
          <w:szCs w:val="24"/>
        </w:rPr>
        <w:t>t-test</w:t>
      </w:r>
      <w:r w:rsidRPr="001E4C69">
        <w:rPr>
          <w:rFonts w:asciiTheme="majorBidi" w:hAnsiTheme="majorBidi" w:cstheme="majorBidi"/>
          <w:color w:val="auto"/>
          <w:sz w:val="24"/>
          <w:szCs w:val="24"/>
        </w:rPr>
        <w:t xml:space="preserve">;). To test in how many of these cell lines </w:t>
      </w:r>
      <w:r w:rsidRPr="001E4C69">
        <w:rPr>
          <w:rFonts w:asciiTheme="majorBidi" w:hAnsiTheme="majorBidi" w:cstheme="majorBidi"/>
          <w:i/>
          <w:iCs/>
          <w:color w:val="auto"/>
          <w:sz w:val="24"/>
          <w:szCs w:val="24"/>
        </w:rPr>
        <w:t>KIF18A</w:t>
      </w:r>
      <w:r w:rsidRPr="001E4C69">
        <w:rPr>
          <w:rFonts w:asciiTheme="majorBidi" w:hAnsiTheme="majorBidi" w:cstheme="majorBidi"/>
          <w:color w:val="auto"/>
          <w:sz w:val="24"/>
          <w:szCs w:val="24"/>
        </w:rPr>
        <w:t xml:space="preserve"> is actually considered to be an “essential gene”, we applied the method by </w:t>
      </w:r>
      <w:proofErr w:type="spellStart"/>
      <w:r w:rsidRPr="001E4C69">
        <w:rPr>
          <w:rFonts w:asciiTheme="majorBidi" w:hAnsiTheme="majorBidi" w:cstheme="majorBidi"/>
          <w:color w:val="auto"/>
          <w:sz w:val="24"/>
          <w:szCs w:val="24"/>
        </w:rPr>
        <w:t>Dempster</w:t>
      </w:r>
      <w:proofErr w:type="spellEnd"/>
      <w:r w:rsidRPr="001E4C69">
        <w:rPr>
          <w:rFonts w:asciiTheme="majorBidi" w:hAnsiTheme="majorBidi" w:cstheme="majorBidi"/>
          <w:color w:val="auto"/>
          <w:sz w:val="24"/>
          <w:szCs w:val="24"/>
        </w:rPr>
        <w:t xml:space="preserve"> et al.</w:t>
      </w:r>
      <w:r w:rsidRPr="001E4C69">
        <w:rPr>
          <w:rFonts w:asciiTheme="majorBidi" w:hAnsiTheme="majorBidi" w:cstheme="majorBidi"/>
          <w:color w:val="auto"/>
          <w:sz w:val="24"/>
          <w:szCs w:val="24"/>
        </w:rPr>
        <w:fldChar w:fldCharType="begin" w:fldLock="1"/>
      </w:r>
      <w:r>
        <w:rPr>
          <w:rFonts w:asciiTheme="majorBidi" w:hAnsiTheme="majorBidi" w:cstheme="majorBidi"/>
          <w:color w:val="auto"/>
          <w:sz w:val="24"/>
          <w:szCs w:val="24"/>
        </w:rPr>
        <w:instrText>ADDIN CSL_CITATION {"citationItems":[{"id":"ITEM-1","itemData":{"DOI":"10.1101/720243 %J bioRxiv","abstract":"One of the main goals of the Cancer Dependency Map project is to systematically identify cancer vulnerabilities across cancer types to accelerate therapeutic discovery. Project Achilles serves this goal through the in vitro study of genetic dependencies in cancer cell lines using CRISPR/Cas9 (and, previously, RNAi) loss-of-function screens. The project is committed to the public release of its experimental results quarterly on the DepMap Portal (https://depmap.org), on a pre-publication basis. As the experiment has evolved, data processing procedures have changed. Here we present the current and projected Achilles processing pipeline, including recent improvements and the analyses that led us to adopt them, spanning data releases from early 2018 to the first quarter of 2020. Notable changes include quality control metrics, calculation of probabilities of dependency, and correction for screen quality and other biases. Developing and improving methods for extracting biologically-meaningful scores from Achilles experiments is an ongoing process, and we will continue to evaluate and revise data processing procedures to produce the best results.","author":[{"dropping-particle":"","family":"Dempster","given":"Joshua M","non-dropping-particle":"","parse-names":false,"suffix":""},{"dropping-particle":"","family":"Rossen","given":"Jordan","non-dropping-particle":"","parse-names":false,"suffix":""},{"dropping-particle":"","family":"Kazachkova","given":"Mariya","non-dropping-particle":"","parse-names":false,"suffix":""},{"dropping-particle":"","family":"Pan","given":"Joshua","non-dropping-particle":"","parse-names":false,"suffix":""},{"dropping-particle":"","family":"Kugener","given":"Guillaume","non-dropping-particle":"","parse-names":false,"suffix":""},{"dropping-particle":"","family":"Root","given":"David E","non-dropping-particle":"","parse-names":false,"suffix":""},{"dropping-particle":"","family":"Tsherniak","given":"Aviad","non-dropping-particle":"","parse-names":false,"suffix":""}],"container-title":"bioRxiv","id":"ITEM-1","issued":{"date-parts":[["2019"]]},"page":"720243","title":"Extracting Biological Insights from the Project Achilles Genome-Scale CRISPR Screens in Cancer Cell Lines","type":"article-journal"},"uris":["http://www.mendeley.com/documents/?uuid=2afdf163-a814-406d-9f50-db96cd55734c"]}],"mendeley":{"formattedCitation":"&lt;sup&gt;63&lt;/sup&gt;","plainTextFormattedCitation":"63","previouslyFormattedCitation":"&lt;sup&gt;64&lt;/sup&gt;"},"properties":{"noteIndex":0},"schema":"https://github.com/citation-style-language/schema/raw/master/csl-citation.json"}</w:instrText>
      </w:r>
      <w:r w:rsidRPr="001E4C69">
        <w:rPr>
          <w:rFonts w:asciiTheme="majorBidi" w:hAnsiTheme="majorBidi" w:cstheme="majorBidi"/>
          <w:color w:val="auto"/>
          <w:sz w:val="24"/>
          <w:szCs w:val="24"/>
        </w:rPr>
        <w:fldChar w:fldCharType="separate"/>
      </w:r>
      <w:r w:rsidRPr="00070E8F">
        <w:rPr>
          <w:rFonts w:asciiTheme="majorBidi" w:hAnsiTheme="majorBidi" w:cstheme="majorBidi"/>
          <w:noProof/>
          <w:color w:val="auto"/>
          <w:sz w:val="24"/>
          <w:szCs w:val="24"/>
          <w:vertAlign w:val="superscript"/>
        </w:rPr>
        <w:t>6</w:t>
      </w:r>
      <w:r w:rsidR="008D4307">
        <w:rPr>
          <w:rFonts w:asciiTheme="majorBidi" w:hAnsiTheme="majorBidi" w:cstheme="majorBidi"/>
          <w:noProof/>
          <w:color w:val="auto"/>
          <w:sz w:val="24"/>
          <w:szCs w:val="24"/>
          <w:vertAlign w:val="superscript"/>
        </w:rPr>
        <w:t>0</w:t>
      </w:r>
      <w:r w:rsidRPr="001E4C69">
        <w:rPr>
          <w:rFonts w:asciiTheme="majorBidi" w:hAnsiTheme="majorBidi" w:cstheme="majorBidi"/>
          <w:color w:val="auto"/>
          <w:sz w:val="24"/>
          <w:szCs w:val="24"/>
        </w:rPr>
        <w:fldChar w:fldCharType="end"/>
      </w:r>
      <w:r w:rsidRPr="001E4C69">
        <w:rPr>
          <w:rFonts w:asciiTheme="majorBidi" w:hAnsiTheme="majorBidi" w:cstheme="majorBidi"/>
          <w:color w:val="auto"/>
          <w:sz w:val="24"/>
          <w:szCs w:val="24"/>
        </w:rPr>
        <w:t xml:space="preserve"> This analysis revealed that 48 out of 101 (47.5%) highly-aneuploid cell lines are dependent on </w:t>
      </w:r>
      <w:r w:rsidRPr="00D27CA5">
        <w:rPr>
          <w:rFonts w:asciiTheme="majorBidi" w:hAnsiTheme="majorBidi" w:cstheme="majorBidi"/>
          <w:i/>
          <w:iCs/>
          <w:color w:val="auto"/>
          <w:sz w:val="24"/>
          <w:szCs w:val="24"/>
        </w:rPr>
        <w:t>KIF18A</w:t>
      </w:r>
      <w:r>
        <w:rPr>
          <w:rFonts w:asciiTheme="majorBidi" w:hAnsiTheme="majorBidi" w:cstheme="majorBidi"/>
          <w:color w:val="auto"/>
          <w:sz w:val="24"/>
          <w:szCs w:val="24"/>
        </w:rPr>
        <w:t xml:space="preserve"> in the </w:t>
      </w:r>
      <w:r w:rsidRPr="001E4C69">
        <w:rPr>
          <w:rFonts w:asciiTheme="majorBidi" w:hAnsiTheme="majorBidi" w:cstheme="majorBidi"/>
          <w:color w:val="auto"/>
          <w:sz w:val="24"/>
          <w:szCs w:val="24"/>
        </w:rPr>
        <w:t>RNA</w:t>
      </w:r>
      <w:r>
        <w:rPr>
          <w:rFonts w:asciiTheme="majorBidi" w:hAnsiTheme="majorBidi" w:cstheme="majorBidi"/>
          <w:color w:val="auto"/>
          <w:sz w:val="24"/>
          <w:szCs w:val="24"/>
        </w:rPr>
        <w:t>i</w:t>
      </w:r>
      <w:r w:rsidRPr="001E4C69">
        <w:rPr>
          <w:rFonts w:asciiTheme="majorBidi" w:hAnsiTheme="majorBidi" w:cstheme="majorBidi"/>
          <w:color w:val="auto"/>
          <w:sz w:val="24"/>
          <w:szCs w:val="24"/>
        </w:rPr>
        <w:t xml:space="preserve"> data shown in </w:t>
      </w:r>
      <w:r w:rsidRPr="001E4C69">
        <w:rPr>
          <w:rFonts w:asciiTheme="majorBidi" w:hAnsiTheme="majorBidi" w:cstheme="majorBidi"/>
          <w:b/>
          <w:bCs/>
          <w:color w:val="auto"/>
          <w:sz w:val="24"/>
          <w:szCs w:val="24"/>
        </w:rPr>
        <w:t xml:space="preserve">Fig. </w:t>
      </w:r>
      <w:r>
        <w:rPr>
          <w:rFonts w:asciiTheme="majorBidi" w:hAnsiTheme="majorBidi" w:cstheme="majorBidi"/>
          <w:b/>
          <w:bCs/>
          <w:color w:val="auto"/>
          <w:sz w:val="24"/>
          <w:szCs w:val="24"/>
        </w:rPr>
        <w:t>4e</w:t>
      </w:r>
      <w:r w:rsidRPr="001E4C69">
        <w:rPr>
          <w:rFonts w:asciiTheme="majorBidi" w:hAnsiTheme="majorBidi" w:cstheme="majorBidi"/>
          <w:color w:val="auto"/>
          <w:sz w:val="24"/>
          <w:szCs w:val="24"/>
        </w:rPr>
        <w:t>, compared to only 18 out of 81 (22%) near-euploid cell lines (p=6e-04; two-tailed Fisher Exact test).</w:t>
      </w:r>
    </w:p>
    <w:p w:rsidR="001638EE" w:rsidRPr="001E4C69" w:rsidRDefault="001638EE" w:rsidP="001638EE">
      <w:pPr>
        <w:spacing w:after="160"/>
        <w:jc w:val="both"/>
        <w:rPr>
          <w:rFonts w:ascii="Times New Roman" w:hAnsi="Times New Roman" w:cs="Times New Roman"/>
          <w:b/>
          <w:bCs/>
          <w:color w:val="auto"/>
          <w:sz w:val="24"/>
          <w:szCs w:val="24"/>
          <w:lang w:bidi="ar-SA"/>
        </w:rPr>
      </w:pPr>
      <w:r w:rsidRPr="001E4C69">
        <w:rPr>
          <w:rFonts w:ascii="Times New Roman" w:hAnsi="Times New Roman" w:cs="Times New Roman"/>
          <w:b/>
          <w:bCs/>
          <w:color w:val="auto"/>
          <w:sz w:val="24"/>
          <w:szCs w:val="24"/>
          <w:lang w:bidi="ar-SA"/>
        </w:rPr>
        <w:t xml:space="preserve">Supplementary Note </w:t>
      </w:r>
      <w:r>
        <w:rPr>
          <w:rFonts w:ascii="Times New Roman" w:hAnsi="Times New Roman" w:cs="Times New Roman"/>
          <w:b/>
          <w:bCs/>
          <w:color w:val="auto"/>
          <w:sz w:val="24"/>
          <w:szCs w:val="24"/>
          <w:lang w:bidi="ar-SA"/>
        </w:rPr>
        <w:t>10</w:t>
      </w:r>
      <w:r w:rsidRPr="001E4C69">
        <w:rPr>
          <w:rFonts w:ascii="Times New Roman" w:hAnsi="Times New Roman" w:cs="Times New Roman"/>
          <w:b/>
          <w:bCs/>
          <w:color w:val="auto"/>
          <w:sz w:val="24"/>
          <w:szCs w:val="24"/>
          <w:lang w:bidi="ar-SA"/>
        </w:rPr>
        <w:t xml:space="preserve">: Analysis of the association between aneuploidy, </w:t>
      </w:r>
      <w:r w:rsidRPr="001E4C69">
        <w:rPr>
          <w:rFonts w:ascii="Times New Roman" w:hAnsi="Times New Roman" w:cs="Times New Roman"/>
          <w:b/>
          <w:bCs/>
          <w:i/>
          <w:iCs/>
          <w:color w:val="auto"/>
          <w:sz w:val="24"/>
          <w:szCs w:val="24"/>
          <w:lang w:bidi="ar-SA"/>
        </w:rPr>
        <w:t>KIF18A</w:t>
      </w:r>
      <w:r w:rsidRPr="001E4C69">
        <w:rPr>
          <w:rFonts w:ascii="Times New Roman" w:hAnsi="Times New Roman" w:cs="Times New Roman"/>
          <w:b/>
          <w:bCs/>
          <w:color w:val="auto"/>
          <w:sz w:val="24"/>
          <w:szCs w:val="24"/>
          <w:lang w:bidi="ar-SA"/>
        </w:rPr>
        <w:t xml:space="preserve"> expression and </w:t>
      </w:r>
      <w:r w:rsidRPr="001E4C69">
        <w:rPr>
          <w:rFonts w:ascii="Times New Roman" w:hAnsi="Times New Roman" w:cs="Times New Roman"/>
          <w:b/>
          <w:bCs/>
          <w:i/>
          <w:iCs/>
          <w:color w:val="auto"/>
          <w:sz w:val="24"/>
          <w:szCs w:val="24"/>
          <w:lang w:bidi="ar-SA"/>
        </w:rPr>
        <w:t>KIF18A</w:t>
      </w:r>
      <w:r w:rsidRPr="001E4C69">
        <w:rPr>
          <w:rFonts w:ascii="Times New Roman" w:hAnsi="Times New Roman" w:cs="Times New Roman"/>
          <w:b/>
          <w:bCs/>
          <w:color w:val="auto"/>
          <w:sz w:val="24"/>
          <w:szCs w:val="24"/>
          <w:lang w:bidi="ar-SA"/>
        </w:rPr>
        <w:t xml:space="preserve"> dependency</w:t>
      </w:r>
    </w:p>
    <w:p w:rsidR="001638EE" w:rsidRPr="001E4C69" w:rsidRDefault="001638EE" w:rsidP="001638EE">
      <w:pPr>
        <w:spacing w:after="160"/>
        <w:jc w:val="both"/>
        <w:rPr>
          <w:rFonts w:asciiTheme="majorBidi" w:hAnsiTheme="majorBidi" w:cstheme="majorBidi"/>
          <w:color w:val="auto"/>
          <w:sz w:val="24"/>
          <w:szCs w:val="24"/>
          <w:shd w:val="clear" w:color="auto" w:fill="FFFFFF"/>
        </w:rPr>
      </w:pPr>
      <w:r w:rsidRPr="001E4C69">
        <w:rPr>
          <w:rFonts w:ascii="Times New Roman" w:hAnsi="Times New Roman" w:cs="Times New Roman"/>
          <w:color w:val="auto"/>
          <w:sz w:val="24"/>
          <w:szCs w:val="24"/>
          <w:lang w:bidi="ar-SA"/>
        </w:rPr>
        <w:t>In the HCT116- and RPE</w:t>
      </w:r>
      <w:r w:rsidR="00433F66">
        <w:rPr>
          <w:rFonts w:ascii="Times New Roman" w:hAnsi="Times New Roman" w:cs="Times New Roman"/>
          <w:color w:val="auto"/>
          <w:sz w:val="24"/>
          <w:szCs w:val="24"/>
          <w:lang w:bidi="ar-SA"/>
        </w:rPr>
        <w:t>1</w:t>
      </w:r>
      <w:r w:rsidRPr="001E4C69">
        <w:rPr>
          <w:rFonts w:ascii="Times New Roman" w:hAnsi="Times New Roman" w:cs="Times New Roman"/>
          <w:color w:val="auto"/>
          <w:sz w:val="24"/>
          <w:szCs w:val="24"/>
          <w:lang w:bidi="ar-SA"/>
        </w:rPr>
        <w:t xml:space="preserve">-based isogenic systems, </w:t>
      </w:r>
      <w:r w:rsidRPr="001E4C69">
        <w:rPr>
          <w:rFonts w:ascii="Times New Roman" w:hAnsi="Times New Roman" w:cs="Times New Roman"/>
          <w:i/>
          <w:iCs/>
          <w:color w:val="auto"/>
          <w:sz w:val="24"/>
          <w:szCs w:val="24"/>
          <w:lang w:bidi="ar-SA"/>
        </w:rPr>
        <w:t>KIF18A</w:t>
      </w:r>
      <w:r w:rsidRPr="001E4C69">
        <w:rPr>
          <w:rFonts w:ascii="Times New Roman" w:hAnsi="Times New Roman" w:cs="Times New Roman"/>
          <w:color w:val="auto"/>
          <w:sz w:val="24"/>
          <w:szCs w:val="24"/>
          <w:lang w:bidi="ar-SA"/>
        </w:rPr>
        <w:t xml:space="preserve"> mRNA and protein expression levels were lower in the highly-aneuploid cells (</w:t>
      </w:r>
      <w:r w:rsidRPr="001E4C69">
        <w:rPr>
          <w:rFonts w:ascii="Times New Roman" w:hAnsi="Times New Roman" w:cs="Times New Roman"/>
          <w:b/>
          <w:bCs/>
          <w:color w:val="auto"/>
          <w:sz w:val="24"/>
          <w:szCs w:val="24"/>
          <w:lang w:bidi="ar-SA"/>
        </w:rPr>
        <w:t xml:space="preserve">Fig. </w:t>
      </w:r>
      <w:r>
        <w:rPr>
          <w:rFonts w:ascii="Times New Roman" w:hAnsi="Times New Roman" w:cs="Times New Roman"/>
          <w:b/>
          <w:bCs/>
          <w:color w:val="auto"/>
          <w:sz w:val="24"/>
          <w:szCs w:val="24"/>
          <w:lang w:bidi="ar-SA"/>
        </w:rPr>
        <w:t>4</w:t>
      </w:r>
      <w:r w:rsidRPr="001E4C69">
        <w:rPr>
          <w:rFonts w:ascii="Times New Roman" w:hAnsi="Times New Roman" w:cs="Times New Roman"/>
          <w:b/>
          <w:bCs/>
          <w:color w:val="auto"/>
          <w:sz w:val="24"/>
          <w:szCs w:val="24"/>
          <w:lang w:bidi="ar-SA"/>
        </w:rPr>
        <w:t>a</w:t>
      </w:r>
      <w:r>
        <w:rPr>
          <w:rFonts w:ascii="Times New Roman" w:hAnsi="Times New Roman" w:cs="Times New Roman"/>
          <w:color w:val="auto"/>
          <w:sz w:val="24"/>
          <w:szCs w:val="24"/>
          <w:lang w:bidi="ar-SA"/>
        </w:rPr>
        <w:t>,</w:t>
      </w:r>
      <w:r w:rsidRPr="001E4C69">
        <w:rPr>
          <w:rFonts w:ascii="Times New Roman" w:hAnsi="Times New Roman" w:cs="Times New Roman"/>
          <w:b/>
          <w:bCs/>
          <w:color w:val="auto"/>
          <w:sz w:val="24"/>
          <w:szCs w:val="24"/>
          <w:lang w:bidi="ar-SA"/>
        </w:rPr>
        <w:t xml:space="preserve"> Extended Data Fig. </w:t>
      </w:r>
      <w:r>
        <w:rPr>
          <w:rFonts w:ascii="Times New Roman" w:hAnsi="Times New Roman" w:cs="Times New Roman"/>
          <w:b/>
          <w:bCs/>
          <w:color w:val="auto"/>
          <w:sz w:val="24"/>
          <w:szCs w:val="24"/>
          <w:lang w:bidi="ar-SA"/>
        </w:rPr>
        <w:t>9</w:t>
      </w:r>
      <w:proofErr w:type="gramStart"/>
      <w:r w:rsidRPr="001E4C69">
        <w:rPr>
          <w:rFonts w:ascii="Times New Roman" w:hAnsi="Times New Roman" w:cs="Times New Roman"/>
          <w:b/>
          <w:bCs/>
          <w:color w:val="auto"/>
          <w:sz w:val="24"/>
          <w:szCs w:val="24"/>
          <w:lang w:bidi="ar-SA"/>
        </w:rPr>
        <w:t>a</w:t>
      </w:r>
      <w:r>
        <w:rPr>
          <w:rFonts w:ascii="Times New Roman" w:hAnsi="Times New Roman" w:cs="Times New Roman"/>
          <w:b/>
          <w:bCs/>
          <w:color w:val="auto"/>
          <w:sz w:val="24"/>
          <w:szCs w:val="24"/>
          <w:lang w:bidi="ar-SA"/>
        </w:rPr>
        <w:t>,b</w:t>
      </w:r>
      <w:proofErr w:type="gramEnd"/>
      <w:r>
        <w:rPr>
          <w:rFonts w:ascii="Times New Roman" w:hAnsi="Times New Roman" w:cs="Times New Roman"/>
          <w:color w:val="auto"/>
          <w:sz w:val="24"/>
          <w:szCs w:val="24"/>
          <w:lang w:bidi="ar-SA"/>
        </w:rPr>
        <w:t xml:space="preserve"> and </w:t>
      </w:r>
      <w:r w:rsidRPr="0067606A">
        <w:rPr>
          <w:rFonts w:ascii="Times New Roman" w:hAnsi="Times New Roman" w:cs="Times New Roman"/>
          <w:b/>
          <w:bCs/>
          <w:color w:val="auto"/>
          <w:sz w:val="24"/>
          <w:szCs w:val="24"/>
          <w:lang w:bidi="ar-SA"/>
        </w:rPr>
        <w:t>Extended Data Fig. 1</w:t>
      </w:r>
      <w:r>
        <w:rPr>
          <w:rFonts w:ascii="Times New Roman" w:hAnsi="Times New Roman" w:cs="Times New Roman"/>
          <w:b/>
          <w:bCs/>
          <w:color w:val="auto"/>
          <w:sz w:val="24"/>
          <w:szCs w:val="24"/>
          <w:lang w:bidi="ar-SA"/>
        </w:rPr>
        <w:t>0j</w:t>
      </w:r>
      <w:r w:rsidRPr="001E4C69">
        <w:rPr>
          <w:rFonts w:ascii="Times New Roman" w:hAnsi="Times New Roman" w:cs="Times New Roman"/>
          <w:color w:val="auto"/>
          <w:sz w:val="24"/>
          <w:szCs w:val="24"/>
          <w:lang w:bidi="ar-SA"/>
        </w:rPr>
        <w:t xml:space="preserve">). In cancer cell lines, however, </w:t>
      </w:r>
      <w:r w:rsidRPr="001E4C69">
        <w:rPr>
          <w:rFonts w:asciiTheme="majorBidi" w:hAnsiTheme="majorBidi" w:cstheme="majorBidi"/>
          <w:color w:val="auto"/>
          <w:sz w:val="24"/>
          <w:szCs w:val="24"/>
          <w:shd w:val="clear" w:color="auto" w:fill="FFFFFF"/>
        </w:rPr>
        <w:t xml:space="preserve">we did not observe a significant association between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mRNA or protein expression levels and aneuploidy in most tissues (</w:t>
      </w:r>
      <w:r w:rsidRPr="001E4C69">
        <w:rPr>
          <w:rFonts w:asciiTheme="majorBidi" w:hAnsiTheme="majorBidi" w:cstheme="majorBidi"/>
          <w:b/>
          <w:bCs/>
          <w:color w:val="auto"/>
          <w:sz w:val="24"/>
          <w:szCs w:val="24"/>
          <w:shd w:val="clear" w:color="auto" w:fill="FFFFFF"/>
        </w:rPr>
        <w:t xml:space="preserve">Extended Data Fig. </w:t>
      </w:r>
      <w:r>
        <w:rPr>
          <w:rFonts w:asciiTheme="majorBidi" w:hAnsiTheme="majorBidi" w:cstheme="majorBidi"/>
          <w:b/>
          <w:bCs/>
          <w:color w:val="auto"/>
          <w:sz w:val="24"/>
          <w:szCs w:val="24"/>
          <w:shd w:val="clear" w:color="auto" w:fill="FFFFFF"/>
        </w:rPr>
        <w:t>9</w:t>
      </w:r>
      <w:proofErr w:type="gramStart"/>
      <w:r>
        <w:rPr>
          <w:rFonts w:asciiTheme="majorBidi" w:hAnsiTheme="majorBidi" w:cstheme="majorBidi"/>
          <w:b/>
          <w:bCs/>
          <w:color w:val="auto"/>
          <w:sz w:val="24"/>
          <w:szCs w:val="24"/>
          <w:shd w:val="clear" w:color="auto" w:fill="FFFFFF"/>
        </w:rPr>
        <w:t>h</w:t>
      </w:r>
      <w:r w:rsidRPr="001E4C69">
        <w:rPr>
          <w:rFonts w:asciiTheme="majorBidi" w:hAnsiTheme="majorBidi" w:cstheme="majorBidi"/>
          <w:b/>
          <w:bCs/>
          <w:color w:val="auto"/>
          <w:sz w:val="24"/>
          <w:szCs w:val="24"/>
          <w:shd w:val="clear" w:color="auto" w:fill="FFFFFF"/>
        </w:rPr>
        <w:t>,</w:t>
      </w:r>
      <w:r>
        <w:rPr>
          <w:rFonts w:asciiTheme="majorBidi" w:hAnsiTheme="majorBidi" w:cstheme="majorBidi"/>
          <w:b/>
          <w:bCs/>
          <w:color w:val="auto"/>
          <w:sz w:val="24"/>
          <w:szCs w:val="24"/>
          <w:shd w:val="clear" w:color="auto" w:fill="FFFFFF"/>
        </w:rPr>
        <w:t>i</w:t>
      </w:r>
      <w:proofErr w:type="gramEnd"/>
      <w:r w:rsidRPr="001E4C69">
        <w:rPr>
          <w:rFonts w:asciiTheme="majorBidi" w:hAnsiTheme="majorBidi" w:cstheme="majorBidi"/>
          <w:color w:val="auto"/>
          <w:sz w:val="24"/>
          <w:szCs w:val="24"/>
          <w:shd w:val="clear" w:color="auto" w:fill="FFFFFF"/>
        </w:rPr>
        <w:t xml:space="preserve"> and </w:t>
      </w:r>
      <w:r>
        <w:rPr>
          <w:rFonts w:asciiTheme="majorBidi" w:hAnsiTheme="majorBidi" w:cstheme="majorBidi"/>
          <w:b/>
          <w:bCs/>
          <w:color w:val="auto"/>
          <w:sz w:val="24"/>
          <w:szCs w:val="24"/>
          <w:shd w:val="clear" w:color="auto" w:fill="FFFFFF"/>
        </w:rPr>
        <w:t>Supplementary Table</w:t>
      </w:r>
      <w:r w:rsidRPr="001E4C69">
        <w:rPr>
          <w:rFonts w:asciiTheme="majorBidi" w:hAnsiTheme="majorBidi" w:cstheme="majorBidi"/>
          <w:b/>
          <w:bCs/>
          <w:color w:val="auto"/>
          <w:sz w:val="24"/>
          <w:szCs w:val="24"/>
          <w:shd w:val="clear" w:color="auto" w:fill="FFFFFF"/>
        </w:rPr>
        <w:t xml:space="preserve"> 8</w:t>
      </w:r>
      <w:r w:rsidRPr="001E4C69">
        <w:rPr>
          <w:rFonts w:asciiTheme="majorBidi" w:hAnsiTheme="majorBidi" w:cstheme="majorBidi"/>
          <w:color w:val="auto"/>
          <w:sz w:val="24"/>
          <w:szCs w:val="24"/>
          <w:shd w:val="clear" w:color="auto" w:fill="FFFFFF"/>
        </w:rPr>
        <w:t xml:space="preserve">). Importantly,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mRNA and protein expression levels both significantly (albeit modestly) correlate with the genetic dependency on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KD – the lower the expression of the gene the more sensitive to its perturbation cell lines tend to be (</w:t>
      </w:r>
      <w:r w:rsidRPr="001E4C69">
        <w:rPr>
          <w:rFonts w:asciiTheme="majorBidi" w:hAnsiTheme="majorBidi" w:cstheme="majorBidi"/>
          <w:b/>
          <w:bCs/>
          <w:color w:val="auto"/>
          <w:sz w:val="24"/>
          <w:szCs w:val="24"/>
          <w:shd w:val="clear" w:color="auto" w:fill="FFFFFF"/>
        </w:rPr>
        <w:t xml:space="preserve">Extended Data Fig. </w:t>
      </w:r>
      <w:r>
        <w:rPr>
          <w:rFonts w:asciiTheme="majorBidi" w:hAnsiTheme="majorBidi" w:cstheme="majorBidi"/>
          <w:b/>
          <w:bCs/>
          <w:color w:val="auto"/>
          <w:sz w:val="24"/>
          <w:szCs w:val="24"/>
          <w:shd w:val="clear" w:color="auto" w:fill="FFFFFF"/>
        </w:rPr>
        <w:t>9</w:t>
      </w:r>
      <w:proofErr w:type="gramStart"/>
      <w:r>
        <w:rPr>
          <w:rFonts w:asciiTheme="majorBidi" w:hAnsiTheme="majorBidi" w:cstheme="majorBidi"/>
          <w:b/>
          <w:bCs/>
          <w:color w:val="auto"/>
          <w:sz w:val="24"/>
          <w:szCs w:val="24"/>
          <w:shd w:val="clear" w:color="auto" w:fill="FFFFFF"/>
        </w:rPr>
        <w:t>j</w:t>
      </w:r>
      <w:r w:rsidRPr="001E4C69">
        <w:rPr>
          <w:rFonts w:asciiTheme="majorBidi" w:hAnsiTheme="majorBidi" w:cstheme="majorBidi"/>
          <w:b/>
          <w:bCs/>
          <w:color w:val="auto"/>
          <w:sz w:val="24"/>
          <w:szCs w:val="24"/>
          <w:shd w:val="clear" w:color="auto" w:fill="FFFFFF"/>
        </w:rPr>
        <w:t>,</w:t>
      </w:r>
      <w:r>
        <w:rPr>
          <w:rFonts w:asciiTheme="majorBidi" w:hAnsiTheme="majorBidi" w:cstheme="majorBidi"/>
          <w:b/>
          <w:bCs/>
          <w:color w:val="auto"/>
          <w:sz w:val="24"/>
          <w:szCs w:val="24"/>
          <w:shd w:val="clear" w:color="auto" w:fill="FFFFFF"/>
        </w:rPr>
        <w:t>k</w:t>
      </w:r>
      <w:proofErr w:type="gramEnd"/>
      <w:r w:rsidRPr="001E4C69">
        <w:rPr>
          <w:rFonts w:asciiTheme="majorBidi" w:hAnsiTheme="majorBidi" w:cstheme="majorBidi"/>
          <w:color w:val="auto"/>
          <w:sz w:val="24"/>
          <w:szCs w:val="24"/>
          <w:shd w:val="clear" w:color="auto" w:fill="FFFFFF"/>
        </w:rPr>
        <w:t>). The significant associations between mRNA/protein levels and dependency indicate that</w:t>
      </w:r>
      <w:r>
        <w:rPr>
          <w:rFonts w:asciiTheme="majorBidi" w:hAnsiTheme="majorBidi" w:cstheme="majorBidi"/>
          <w:color w:val="auto"/>
          <w:sz w:val="24"/>
          <w:szCs w:val="24"/>
          <w:shd w:val="clear" w:color="auto" w:fill="FFFFFF"/>
        </w:rPr>
        <w:t xml:space="preserve"> lower</w:t>
      </w:r>
      <w:r w:rsidRPr="001E4C69">
        <w:rPr>
          <w:rFonts w:asciiTheme="majorBidi" w:hAnsiTheme="majorBidi" w:cstheme="majorBidi"/>
          <w:color w:val="auto"/>
          <w:sz w:val="24"/>
          <w:szCs w:val="24"/>
          <w:shd w:val="clear" w:color="auto" w:fill="FFFFFF"/>
        </w:rPr>
        <w:t xml:space="preserve"> </w:t>
      </w:r>
      <w:r w:rsidRPr="001E4C69">
        <w:rPr>
          <w:rFonts w:asciiTheme="majorBidi" w:hAnsiTheme="majorBidi" w:cstheme="majorBidi"/>
          <w:i/>
          <w:iCs/>
          <w:color w:val="auto"/>
          <w:sz w:val="24"/>
          <w:szCs w:val="24"/>
          <w:shd w:val="clear" w:color="auto" w:fill="FFFFFF"/>
        </w:rPr>
        <w:lastRenderedPageBreak/>
        <w:t>KIF18A</w:t>
      </w:r>
      <w:r w:rsidRPr="001E4C69">
        <w:rPr>
          <w:rFonts w:asciiTheme="majorBidi" w:hAnsiTheme="majorBidi" w:cstheme="majorBidi"/>
          <w:color w:val="auto"/>
          <w:sz w:val="24"/>
          <w:szCs w:val="24"/>
          <w:shd w:val="clear" w:color="auto" w:fill="FFFFFF"/>
        </w:rPr>
        <w:t xml:space="preserve"> express</w:t>
      </w:r>
      <w:r>
        <w:rPr>
          <w:rFonts w:asciiTheme="majorBidi" w:hAnsiTheme="majorBidi" w:cstheme="majorBidi"/>
          <w:color w:val="auto"/>
          <w:sz w:val="24"/>
          <w:szCs w:val="24"/>
          <w:shd w:val="clear" w:color="auto" w:fill="FFFFFF"/>
        </w:rPr>
        <w:t>ion levels sensitize cells</w:t>
      </w:r>
      <w:r w:rsidRPr="001E4C69">
        <w:rPr>
          <w:rFonts w:asciiTheme="majorBidi" w:hAnsiTheme="majorBidi" w:cstheme="majorBidi"/>
          <w:color w:val="auto"/>
          <w:sz w:val="24"/>
          <w:szCs w:val="24"/>
          <w:shd w:val="clear" w:color="auto" w:fill="FFFFFF"/>
        </w:rPr>
        <w:t xml:space="preserve"> to its depletion. However, the weak nature of this correlation suggests that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essentiality is not determined by its expression alone. A reduction of KIF18A levels seems to be only one wa</w:t>
      </w:r>
      <w:r>
        <w:rPr>
          <w:rFonts w:asciiTheme="majorBidi" w:hAnsiTheme="majorBidi" w:cstheme="majorBidi"/>
          <w:color w:val="auto"/>
          <w:sz w:val="24"/>
          <w:szCs w:val="24"/>
          <w:shd w:val="clear" w:color="auto" w:fill="FFFFFF"/>
        </w:rPr>
        <w:t xml:space="preserve">y to influence the function of KIF18A </w:t>
      </w:r>
      <w:r w:rsidRPr="001E4C69">
        <w:rPr>
          <w:rFonts w:asciiTheme="majorBidi" w:hAnsiTheme="majorBidi" w:cstheme="majorBidi"/>
          <w:color w:val="auto"/>
          <w:sz w:val="24"/>
          <w:szCs w:val="24"/>
          <w:shd w:val="clear" w:color="auto" w:fill="FFFFFF"/>
        </w:rPr>
        <w:t>and increase</w:t>
      </w:r>
      <w:r>
        <w:rPr>
          <w:rFonts w:asciiTheme="majorBidi" w:hAnsiTheme="majorBidi" w:cstheme="majorBidi"/>
          <w:color w:val="auto"/>
          <w:sz w:val="24"/>
          <w:szCs w:val="24"/>
          <w:shd w:val="clear" w:color="auto" w:fill="FFFFFF"/>
        </w:rPr>
        <w:t xml:space="preserve"> the vulnerability to its perturbation</w:t>
      </w:r>
      <w:r w:rsidRPr="001E4C69">
        <w:rPr>
          <w:rFonts w:asciiTheme="majorBidi" w:hAnsiTheme="majorBidi" w:cstheme="majorBidi"/>
          <w:color w:val="auto"/>
          <w:sz w:val="24"/>
          <w:szCs w:val="24"/>
          <w:shd w:val="clear" w:color="auto" w:fill="FFFFFF"/>
        </w:rPr>
        <w:t xml:space="preserve">. Aneuploid cells can therefore become more dependent on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even in the absence of </w:t>
      </w:r>
      <w:r w:rsidRPr="001E4C69">
        <w:rPr>
          <w:rFonts w:asciiTheme="majorBidi" w:hAnsiTheme="majorBidi" w:cstheme="majorBidi"/>
          <w:i/>
          <w:iCs/>
          <w:color w:val="auto"/>
          <w:sz w:val="24"/>
          <w:szCs w:val="24"/>
          <w:shd w:val="clear" w:color="auto" w:fill="FFFFFF"/>
        </w:rPr>
        <w:t>KIF18A</w:t>
      </w:r>
      <w:r w:rsidRPr="001E4C69">
        <w:rPr>
          <w:rFonts w:asciiTheme="majorBidi" w:hAnsiTheme="majorBidi" w:cstheme="majorBidi"/>
          <w:color w:val="auto"/>
          <w:sz w:val="24"/>
          <w:szCs w:val="24"/>
          <w:shd w:val="clear" w:color="auto" w:fill="FFFFFF"/>
        </w:rPr>
        <w:t xml:space="preserve"> expression changes.</w:t>
      </w:r>
    </w:p>
    <w:p w:rsidR="001638EE" w:rsidRPr="001E4C69" w:rsidRDefault="001638EE" w:rsidP="001638EE">
      <w:pPr>
        <w:spacing w:after="160" w:line="259" w:lineRule="auto"/>
        <w:rPr>
          <w:rFonts w:asciiTheme="majorBidi" w:hAnsiTheme="majorBidi" w:cstheme="majorBidi"/>
          <w:b/>
          <w:bCs/>
          <w:color w:val="auto"/>
          <w:sz w:val="24"/>
          <w:szCs w:val="24"/>
        </w:rPr>
      </w:pPr>
      <w:r w:rsidRPr="001E4C69">
        <w:rPr>
          <w:rFonts w:asciiTheme="majorBidi" w:hAnsiTheme="majorBidi" w:cstheme="majorBidi"/>
          <w:b/>
          <w:bCs/>
          <w:color w:val="auto"/>
          <w:sz w:val="24"/>
          <w:szCs w:val="24"/>
        </w:rPr>
        <w:t xml:space="preserve">Supplementary Note </w:t>
      </w:r>
      <w:r>
        <w:rPr>
          <w:rFonts w:asciiTheme="majorBidi" w:hAnsiTheme="majorBidi" w:cstheme="majorBidi"/>
          <w:b/>
          <w:bCs/>
          <w:color w:val="auto"/>
          <w:sz w:val="24"/>
          <w:szCs w:val="24"/>
        </w:rPr>
        <w:t>11</w:t>
      </w:r>
      <w:r w:rsidRPr="001E4C69">
        <w:rPr>
          <w:rFonts w:asciiTheme="majorBidi" w:hAnsiTheme="majorBidi" w:cstheme="majorBidi"/>
          <w:b/>
          <w:bCs/>
          <w:color w:val="auto"/>
          <w:sz w:val="24"/>
          <w:szCs w:val="24"/>
        </w:rPr>
        <w:t xml:space="preserve">: Discussion of the common-essentiality of </w:t>
      </w:r>
      <w:r w:rsidRPr="0093520E">
        <w:rPr>
          <w:rFonts w:asciiTheme="majorBidi" w:hAnsiTheme="majorBidi" w:cstheme="majorBidi"/>
          <w:b/>
          <w:bCs/>
          <w:i/>
          <w:iCs/>
          <w:color w:val="auto"/>
          <w:sz w:val="24"/>
          <w:szCs w:val="24"/>
        </w:rPr>
        <w:t>BUB1B</w:t>
      </w:r>
      <w:r w:rsidRPr="001E4C69">
        <w:rPr>
          <w:rFonts w:asciiTheme="majorBidi" w:hAnsiTheme="majorBidi" w:cstheme="majorBidi"/>
          <w:b/>
          <w:bCs/>
          <w:color w:val="auto"/>
          <w:sz w:val="24"/>
          <w:szCs w:val="24"/>
        </w:rPr>
        <w:t xml:space="preserve"> and </w:t>
      </w:r>
      <w:r w:rsidRPr="0093520E">
        <w:rPr>
          <w:rFonts w:asciiTheme="majorBidi" w:hAnsiTheme="majorBidi" w:cstheme="majorBidi"/>
          <w:b/>
          <w:bCs/>
          <w:i/>
          <w:iCs/>
          <w:color w:val="auto"/>
          <w:sz w:val="24"/>
          <w:szCs w:val="24"/>
        </w:rPr>
        <w:t>MAD2</w:t>
      </w:r>
    </w:p>
    <w:p w:rsidR="001638EE" w:rsidRDefault="001638EE" w:rsidP="008A3A17">
      <w:pPr>
        <w:spacing w:after="160"/>
        <w:jc w:val="both"/>
        <w:rPr>
          <w:rFonts w:asciiTheme="majorBidi" w:hAnsiTheme="majorBidi" w:cstheme="majorBidi"/>
          <w:color w:val="auto"/>
          <w:sz w:val="24"/>
          <w:szCs w:val="24"/>
        </w:rPr>
      </w:pPr>
      <w:r w:rsidRPr="001E4C69">
        <w:rPr>
          <w:rFonts w:asciiTheme="majorBidi" w:hAnsiTheme="majorBidi" w:cstheme="majorBidi"/>
          <w:i/>
          <w:iCs/>
          <w:color w:val="auto"/>
          <w:sz w:val="24"/>
          <w:szCs w:val="24"/>
        </w:rPr>
        <w:t>BUB1B</w:t>
      </w:r>
      <w:r w:rsidRPr="001E4C69">
        <w:rPr>
          <w:rFonts w:asciiTheme="majorBidi" w:hAnsiTheme="majorBidi" w:cstheme="majorBidi"/>
          <w:color w:val="auto"/>
          <w:sz w:val="24"/>
          <w:szCs w:val="24"/>
        </w:rPr>
        <w:t xml:space="preserve"> and </w:t>
      </w:r>
      <w:r w:rsidRPr="001E4C69">
        <w:rPr>
          <w:rFonts w:asciiTheme="majorBidi" w:hAnsiTheme="majorBidi" w:cstheme="majorBidi"/>
          <w:i/>
          <w:iCs/>
          <w:color w:val="auto"/>
          <w:sz w:val="24"/>
          <w:szCs w:val="24"/>
        </w:rPr>
        <w:t>MAD2</w:t>
      </w:r>
      <w:r w:rsidRPr="001E4C69">
        <w:rPr>
          <w:rFonts w:asciiTheme="majorBidi" w:hAnsiTheme="majorBidi" w:cstheme="majorBidi"/>
          <w:color w:val="auto"/>
          <w:sz w:val="24"/>
          <w:szCs w:val="24"/>
        </w:rPr>
        <w:t xml:space="preserve"> are classified as common-essential genes (</w:t>
      </w:r>
      <w:hyperlink r:id="rId7" w:history="1">
        <w:r w:rsidRPr="00F06E94">
          <w:rPr>
            <w:rStyle w:val="Hyperlink"/>
            <w:rFonts w:asciiTheme="majorBidi" w:hAnsiTheme="majorBidi" w:cstheme="majorBidi"/>
            <w:sz w:val="24"/>
            <w:szCs w:val="24"/>
          </w:rPr>
          <w:t>www.depmap.org/portal/</w:t>
        </w:r>
      </w:hyperlink>
      <w:r w:rsidRPr="001E4C69">
        <w:rPr>
          <w:rFonts w:asciiTheme="majorBidi" w:hAnsiTheme="majorBidi" w:cstheme="majorBidi"/>
          <w:color w:val="auto"/>
          <w:sz w:val="24"/>
          <w:szCs w:val="24"/>
        </w:rPr>
        <w:t>).</w:t>
      </w:r>
      <w:r w:rsidRPr="001E4C69">
        <w:rPr>
          <w:rFonts w:asciiTheme="majorBidi" w:hAnsiTheme="majorBidi" w:cstheme="majorBidi"/>
          <w:b/>
          <w:bCs/>
          <w:color w:val="auto"/>
          <w:sz w:val="24"/>
          <w:szCs w:val="24"/>
        </w:rPr>
        <w:t xml:space="preserve"> </w:t>
      </w:r>
      <w:r w:rsidRPr="001E4C69">
        <w:rPr>
          <w:rFonts w:asciiTheme="majorBidi" w:hAnsiTheme="majorBidi" w:cstheme="majorBidi"/>
          <w:color w:val="auto"/>
          <w:sz w:val="24"/>
          <w:szCs w:val="24"/>
        </w:rPr>
        <w:t>Despite their common essentiality, we found that aneuploid cells were more strongly dependent on the depletion of these two genes (</w:t>
      </w:r>
      <w:r w:rsidRPr="001E4C69">
        <w:rPr>
          <w:rFonts w:asciiTheme="majorBidi" w:hAnsiTheme="majorBidi" w:cstheme="majorBidi"/>
          <w:b/>
          <w:bCs/>
          <w:color w:val="auto"/>
          <w:sz w:val="24"/>
          <w:szCs w:val="24"/>
        </w:rPr>
        <w:t>Fig. 1</w:t>
      </w:r>
      <w:proofErr w:type="gramStart"/>
      <w:r w:rsidRPr="001E4C69">
        <w:rPr>
          <w:rFonts w:asciiTheme="majorBidi" w:hAnsiTheme="majorBidi" w:cstheme="majorBidi"/>
          <w:b/>
          <w:bCs/>
          <w:color w:val="auto"/>
          <w:sz w:val="24"/>
          <w:szCs w:val="24"/>
        </w:rPr>
        <w:t>b</w:t>
      </w:r>
      <w:r w:rsidRPr="001E4C69">
        <w:rPr>
          <w:rFonts w:asciiTheme="majorBidi" w:hAnsiTheme="majorBidi" w:cstheme="majorBidi"/>
          <w:color w:val="auto"/>
          <w:sz w:val="24"/>
          <w:szCs w:val="24"/>
        </w:rPr>
        <w:t>,</w:t>
      </w:r>
      <w:r w:rsidRPr="001E4C69">
        <w:rPr>
          <w:rFonts w:asciiTheme="majorBidi" w:hAnsiTheme="majorBidi" w:cstheme="majorBidi"/>
          <w:b/>
          <w:bCs/>
          <w:color w:val="auto"/>
          <w:sz w:val="24"/>
          <w:szCs w:val="24"/>
        </w:rPr>
        <w:t>d</w:t>
      </w:r>
      <w:proofErr w:type="gramEnd"/>
      <w:r w:rsidRPr="001E4C69">
        <w:rPr>
          <w:rFonts w:asciiTheme="majorBidi" w:hAnsiTheme="majorBidi" w:cstheme="majorBidi"/>
          <w:color w:val="auto"/>
          <w:sz w:val="24"/>
          <w:szCs w:val="24"/>
        </w:rPr>
        <w:t xml:space="preserve">, </w:t>
      </w:r>
      <w:r w:rsidRPr="001E4C69">
        <w:rPr>
          <w:rFonts w:asciiTheme="majorBidi" w:hAnsiTheme="majorBidi" w:cstheme="majorBidi"/>
          <w:b/>
          <w:bCs/>
          <w:color w:val="auto"/>
          <w:sz w:val="24"/>
          <w:szCs w:val="24"/>
        </w:rPr>
        <w:t>Extended Data Fig. 1b,e</w:t>
      </w:r>
      <w:r>
        <w:rPr>
          <w:rFonts w:asciiTheme="majorBidi" w:hAnsiTheme="majorBidi" w:cstheme="majorBidi"/>
          <w:color w:val="auto"/>
          <w:sz w:val="24"/>
          <w:szCs w:val="24"/>
        </w:rPr>
        <w:t xml:space="preserve"> and</w:t>
      </w:r>
      <w:r w:rsidRPr="001E4C69">
        <w:rPr>
          <w:rFonts w:asciiTheme="majorBidi" w:hAnsiTheme="majorBidi" w:cstheme="majorBidi"/>
          <w:b/>
          <w:bCs/>
          <w:color w:val="auto"/>
          <w:sz w:val="24"/>
          <w:szCs w:val="24"/>
        </w:rPr>
        <w:t xml:space="preserve"> </w:t>
      </w:r>
      <w:r>
        <w:rPr>
          <w:rFonts w:asciiTheme="majorBidi" w:hAnsiTheme="majorBidi" w:cstheme="majorBidi"/>
          <w:b/>
          <w:bCs/>
          <w:color w:val="auto"/>
          <w:sz w:val="24"/>
          <w:szCs w:val="24"/>
        </w:rPr>
        <w:t>Supplementary Table</w:t>
      </w:r>
      <w:r w:rsidRPr="001E4C69">
        <w:rPr>
          <w:rFonts w:asciiTheme="majorBidi" w:hAnsiTheme="majorBidi" w:cstheme="majorBidi"/>
          <w:b/>
          <w:bCs/>
          <w:color w:val="auto"/>
          <w:sz w:val="24"/>
          <w:szCs w:val="24"/>
        </w:rPr>
        <w:t xml:space="preserve"> 2</w:t>
      </w:r>
      <w:r w:rsidRPr="001E4C69">
        <w:rPr>
          <w:rFonts w:asciiTheme="majorBidi" w:hAnsiTheme="majorBidi" w:cstheme="majorBidi"/>
          <w:color w:val="auto"/>
          <w:sz w:val="24"/>
          <w:szCs w:val="24"/>
        </w:rPr>
        <w:t xml:space="preserve">). This raises two important questions: 1) Can common-essential genes make for interesting therapeutic targets? 2) Is the variability in the dependency </w:t>
      </w:r>
      <w:r>
        <w:rPr>
          <w:rFonts w:asciiTheme="majorBidi" w:hAnsiTheme="majorBidi" w:cstheme="majorBidi"/>
          <w:color w:val="auto"/>
          <w:sz w:val="24"/>
          <w:szCs w:val="24"/>
        </w:rPr>
        <w:t xml:space="preserve">scores </w:t>
      </w:r>
      <w:r w:rsidRPr="001E4C69">
        <w:rPr>
          <w:rFonts w:asciiTheme="majorBidi" w:hAnsiTheme="majorBidi" w:cstheme="majorBidi"/>
          <w:color w:val="auto"/>
          <w:sz w:val="24"/>
          <w:szCs w:val="24"/>
        </w:rPr>
        <w:t>of cancer cell lines on such genes biologically meaningful? The answers to both questions are positive. Many clinical</w:t>
      </w:r>
      <w:r>
        <w:rPr>
          <w:rFonts w:asciiTheme="majorBidi" w:hAnsiTheme="majorBidi" w:cstheme="majorBidi"/>
          <w:color w:val="auto"/>
          <w:sz w:val="24"/>
          <w:szCs w:val="24"/>
        </w:rPr>
        <w:t>ly-relevant drugs</w:t>
      </w:r>
      <w:r w:rsidR="008A3A17">
        <w:rPr>
          <w:rFonts w:asciiTheme="majorBidi" w:hAnsiTheme="majorBidi" w:cstheme="majorBidi"/>
          <w:color w:val="auto"/>
          <w:sz w:val="24"/>
          <w:szCs w:val="24"/>
        </w:rPr>
        <w:t>, which are either already in clinical use or undergoing clinical trials,</w:t>
      </w:r>
      <w:r>
        <w:rPr>
          <w:rFonts w:asciiTheme="majorBidi" w:hAnsiTheme="majorBidi" w:cstheme="majorBidi"/>
          <w:color w:val="auto"/>
          <w:sz w:val="24"/>
          <w:szCs w:val="24"/>
        </w:rPr>
        <w:t xml:space="preserve"> target common-</w:t>
      </w:r>
      <w:r w:rsidRPr="001E4C69">
        <w:rPr>
          <w:rFonts w:asciiTheme="majorBidi" w:hAnsiTheme="majorBidi" w:cstheme="majorBidi"/>
          <w:color w:val="auto"/>
          <w:sz w:val="24"/>
          <w:szCs w:val="24"/>
        </w:rPr>
        <w:t>essential gen</w:t>
      </w:r>
      <w:r>
        <w:rPr>
          <w:rFonts w:asciiTheme="majorBidi" w:hAnsiTheme="majorBidi" w:cstheme="majorBidi"/>
          <w:color w:val="auto"/>
          <w:sz w:val="24"/>
          <w:szCs w:val="24"/>
        </w:rPr>
        <w:t>es</w:t>
      </w:r>
      <w:r w:rsidRPr="001E4C69">
        <w:rPr>
          <w:rFonts w:asciiTheme="majorBidi" w:hAnsiTheme="majorBidi" w:cstheme="majorBidi"/>
          <w:color w:val="auto"/>
          <w:sz w:val="24"/>
          <w:szCs w:val="24"/>
        </w:rPr>
        <w:t>,</w:t>
      </w:r>
      <w:r>
        <w:rPr>
          <w:rFonts w:asciiTheme="majorBidi" w:hAnsiTheme="majorBidi" w:cstheme="majorBidi"/>
          <w:color w:val="auto"/>
          <w:sz w:val="24"/>
          <w:szCs w:val="24"/>
        </w:rPr>
        <w:t xml:space="preserve"> e.g.</w:t>
      </w:r>
      <w:r w:rsidRPr="001E4C69">
        <w:rPr>
          <w:rFonts w:asciiTheme="majorBidi" w:hAnsiTheme="majorBidi" w:cstheme="majorBidi"/>
          <w:color w:val="auto"/>
          <w:sz w:val="24"/>
          <w:szCs w:val="24"/>
        </w:rPr>
        <w:t xml:space="preserve"> </w:t>
      </w:r>
      <w:r w:rsidRPr="001E4C69">
        <w:rPr>
          <w:rFonts w:asciiTheme="majorBidi" w:hAnsiTheme="majorBidi" w:cstheme="majorBidi"/>
          <w:i/>
          <w:iCs/>
          <w:color w:val="auto"/>
          <w:sz w:val="24"/>
          <w:szCs w:val="24"/>
        </w:rPr>
        <w:t>TOP2A</w:t>
      </w:r>
      <w:r w:rsidRPr="001E4C69">
        <w:rPr>
          <w:rFonts w:asciiTheme="majorBidi" w:hAnsiTheme="majorBidi" w:cstheme="majorBidi"/>
          <w:color w:val="auto"/>
          <w:sz w:val="24"/>
          <w:szCs w:val="24"/>
        </w:rPr>
        <w:t xml:space="preserve">, </w:t>
      </w:r>
      <w:r w:rsidRPr="001E4C69">
        <w:rPr>
          <w:rFonts w:asciiTheme="majorBidi" w:hAnsiTheme="majorBidi" w:cstheme="majorBidi"/>
          <w:i/>
          <w:iCs/>
          <w:color w:val="auto"/>
          <w:sz w:val="24"/>
          <w:szCs w:val="24"/>
        </w:rPr>
        <w:t>ATR</w:t>
      </w:r>
      <w:r w:rsidRPr="001E4C69">
        <w:rPr>
          <w:rFonts w:asciiTheme="majorBidi" w:hAnsiTheme="majorBidi" w:cstheme="majorBidi"/>
          <w:color w:val="auto"/>
          <w:sz w:val="24"/>
          <w:szCs w:val="24"/>
        </w:rPr>
        <w:t xml:space="preserve">, </w:t>
      </w:r>
      <w:r w:rsidRPr="001E4C69">
        <w:rPr>
          <w:rFonts w:asciiTheme="majorBidi" w:hAnsiTheme="majorBidi" w:cstheme="majorBidi"/>
          <w:i/>
          <w:iCs/>
          <w:color w:val="auto"/>
          <w:sz w:val="24"/>
          <w:szCs w:val="24"/>
        </w:rPr>
        <w:t>CDK2</w:t>
      </w:r>
      <w:r w:rsidRPr="001E4C69">
        <w:rPr>
          <w:rFonts w:asciiTheme="majorBidi" w:hAnsiTheme="majorBidi" w:cstheme="majorBidi"/>
          <w:color w:val="auto"/>
          <w:sz w:val="24"/>
          <w:szCs w:val="24"/>
        </w:rPr>
        <w:t xml:space="preserve"> and </w:t>
      </w:r>
      <w:r w:rsidRPr="001E4C69">
        <w:rPr>
          <w:rFonts w:asciiTheme="majorBidi" w:hAnsiTheme="majorBidi" w:cstheme="majorBidi"/>
          <w:i/>
          <w:iCs/>
          <w:color w:val="auto"/>
          <w:sz w:val="24"/>
          <w:szCs w:val="24"/>
        </w:rPr>
        <w:t>BRD4</w:t>
      </w:r>
      <w:r w:rsidRPr="00AC28FF">
        <w:rPr>
          <w:rFonts w:asciiTheme="majorBidi" w:hAnsiTheme="majorBidi" w:cstheme="majorBidi"/>
          <w:color w:val="auto"/>
          <w:sz w:val="24"/>
          <w:szCs w:val="24"/>
        </w:rPr>
        <w:t xml:space="preserve"> (</w:t>
      </w:r>
      <w:r w:rsidRPr="00F12D74">
        <w:rPr>
          <w:rFonts w:asciiTheme="majorBidi" w:hAnsiTheme="majorBidi" w:cstheme="majorBidi"/>
          <w:b/>
          <w:bCs/>
          <w:color w:val="auto"/>
          <w:sz w:val="24"/>
          <w:szCs w:val="24"/>
        </w:rPr>
        <w:t>Supplementary Fig. 1</w:t>
      </w:r>
      <w:r w:rsidRPr="00F12D74">
        <w:rPr>
          <w:rFonts w:asciiTheme="majorBidi" w:hAnsiTheme="majorBidi" w:cstheme="majorBidi"/>
          <w:color w:val="auto"/>
          <w:sz w:val="24"/>
          <w:szCs w:val="24"/>
        </w:rPr>
        <w:t>)</w:t>
      </w:r>
      <w:r w:rsidRPr="001E4C69">
        <w:rPr>
          <w:rFonts w:asciiTheme="majorBidi" w:hAnsiTheme="majorBidi" w:cstheme="majorBidi"/>
          <w:color w:val="auto"/>
          <w:sz w:val="24"/>
          <w:szCs w:val="24"/>
        </w:rPr>
        <w:t xml:space="preserve">. Moreover, despite being common-essential, the variability in their dependency scores across cell lines is associated with relevant molecular features of the cell lines, and with relevant drug response. For example, the dependency on </w:t>
      </w:r>
      <w:r w:rsidRPr="001E4C69">
        <w:rPr>
          <w:rFonts w:asciiTheme="majorBidi" w:hAnsiTheme="majorBidi" w:cstheme="majorBidi"/>
          <w:i/>
          <w:iCs/>
          <w:color w:val="auto"/>
          <w:sz w:val="24"/>
          <w:szCs w:val="24"/>
        </w:rPr>
        <w:t>CDK2</w:t>
      </w:r>
      <w:r w:rsidRPr="001E4C69">
        <w:rPr>
          <w:rFonts w:asciiTheme="majorBidi" w:hAnsiTheme="majorBidi" w:cstheme="majorBidi"/>
          <w:color w:val="auto"/>
          <w:sz w:val="24"/>
          <w:szCs w:val="24"/>
        </w:rPr>
        <w:t xml:space="preserve"> is strongly associated with the expression of </w:t>
      </w:r>
      <w:r w:rsidRPr="001E4C69">
        <w:rPr>
          <w:rFonts w:asciiTheme="majorBidi" w:hAnsiTheme="majorBidi" w:cstheme="majorBidi"/>
          <w:i/>
          <w:iCs/>
          <w:color w:val="auto"/>
          <w:sz w:val="24"/>
          <w:szCs w:val="24"/>
        </w:rPr>
        <w:t>CCNE1</w:t>
      </w:r>
      <w:r w:rsidRPr="001E4C69">
        <w:rPr>
          <w:rFonts w:asciiTheme="majorBidi" w:hAnsiTheme="majorBidi" w:cstheme="majorBidi"/>
          <w:color w:val="auto"/>
          <w:sz w:val="24"/>
          <w:szCs w:val="24"/>
        </w:rPr>
        <w:t xml:space="preserve"> (</w:t>
      </w:r>
      <w:r w:rsidRPr="001E4C69">
        <w:rPr>
          <w:rFonts w:asciiTheme="majorBidi" w:hAnsiTheme="majorBidi" w:cstheme="majorBidi"/>
          <w:b/>
          <w:bCs/>
          <w:color w:val="auto"/>
          <w:sz w:val="24"/>
          <w:szCs w:val="24"/>
        </w:rPr>
        <w:t>Supplementary Fig. 2a</w:t>
      </w:r>
      <w:r w:rsidRPr="001E4C69">
        <w:rPr>
          <w:rFonts w:asciiTheme="majorBidi" w:hAnsiTheme="majorBidi" w:cstheme="majorBidi"/>
          <w:color w:val="auto"/>
          <w:sz w:val="24"/>
          <w:szCs w:val="24"/>
        </w:rPr>
        <w:t xml:space="preserve">); the dependency on </w:t>
      </w:r>
      <w:r w:rsidRPr="001E4C69">
        <w:rPr>
          <w:rFonts w:asciiTheme="majorBidi" w:hAnsiTheme="majorBidi" w:cstheme="majorBidi"/>
          <w:i/>
          <w:iCs/>
          <w:color w:val="auto"/>
          <w:sz w:val="24"/>
          <w:szCs w:val="24"/>
        </w:rPr>
        <w:t>ATR</w:t>
      </w:r>
      <w:r w:rsidRPr="001E4C69">
        <w:rPr>
          <w:rFonts w:asciiTheme="majorBidi" w:hAnsiTheme="majorBidi" w:cstheme="majorBidi"/>
          <w:color w:val="auto"/>
          <w:sz w:val="24"/>
          <w:szCs w:val="24"/>
        </w:rPr>
        <w:t xml:space="preserve"> is strongly associated with cell line response to an ATR kinase inhibitor (</w:t>
      </w:r>
      <w:r w:rsidRPr="001E4C69">
        <w:rPr>
          <w:rFonts w:asciiTheme="majorBidi" w:hAnsiTheme="majorBidi" w:cstheme="majorBidi"/>
          <w:b/>
          <w:bCs/>
          <w:color w:val="auto"/>
          <w:sz w:val="24"/>
          <w:szCs w:val="24"/>
        </w:rPr>
        <w:t>Supplementary Fig. 2b</w:t>
      </w:r>
      <w:r w:rsidRPr="001E4C69">
        <w:rPr>
          <w:rFonts w:asciiTheme="majorBidi" w:hAnsiTheme="majorBidi" w:cstheme="majorBidi"/>
          <w:color w:val="auto"/>
          <w:sz w:val="24"/>
          <w:szCs w:val="24"/>
        </w:rPr>
        <w:t xml:space="preserve">); the dependency on </w:t>
      </w:r>
      <w:r w:rsidRPr="001E4C69">
        <w:rPr>
          <w:rFonts w:asciiTheme="majorBidi" w:hAnsiTheme="majorBidi" w:cstheme="majorBidi"/>
          <w:i/>
          <w:iCs/>
          <w:color w:val="auto"/>
          <w:sz w:val="24"/>
          <w:szCs w:val="24"/>
        </w:rPr>
        <w:t>BRD4</w:t>
      </w:r>
      <w:r w:rsidRPr="001E4C69">
        <w:rPr>
          <w:rFonts w:asciiTheme="majorBidi" w:hAnsiTheme="majorBidi" w:cstheme="majorBidi"/>
          <w:color w:val="auto"/>
          <w:sz w:val="24"/>
          <w:szCs w:val="24"/>
        </w:rPr>
        <w:t xml:space="preserve"> is strongly associated with cell line response to a </w:t>
      </w:r>
      <w:proofErr w:type="spellStart"/>
      <w:r w:rsidRPr="001E4C69">
        <w:rPr>
          <w:rFonts w:asciiTheme="majorBidi" w:hAnsiTheme="majorBidi" w:cstheme="majorBidi"/>
          <w:color w:val="auto"/>
          <w:sz w:val="24"/>
          <w:szCs w:val="24"/>
        </w:rPr>
        <w:t>bromodomain</w:t>
      </w:r>
      <w:proofErr w:type="spellEnd"/>
      <w:r w:rsidRPr="001E4C69">
        <w:rPr>
          <w:rFonts w:asciiTheme="majorBidi" w:hAnsiTheme="majorBidi" w:cstheme="majorBidi"/>
          <w:color w:val="auto"/>
          <w:sz w:val="24"/>
          <w:szCs w:val="24"/>
        </w:rPr>
        <w:t xml:space="preserve"> inhibitor (</w:t>
      </w:r>
      <w:r w:rsidRPr="001E4C69">
        <w:rPr>
          <w:rFonts w:asciiTheme="majorBidi" w:hAnsiTheme="majorBidi" w:cstheme="majorBidi"/>
          <w:b/>
          <w:bCs/>
          <w:color w:val="auto"/>
          <w:sz w:val="24"/>
          <w:szCs w:val="24"/>
        </w:rPr>
        <w:t>Supplementary Fig. 2c</w:t>
      </w:r>
      <w:r w:rsidRPr="001E4C69">
        <w:rPr>
          <w:rFonts w:asciiTheme="majorBidi" w:hAnsiTheme="majorBidi" w:cstheme="majorBidi"/>
          <w:color w:val="auto"/>
          <w:sz w:val="24"/>
          <w:szCs w:val="24"/>
        </w:rPr>
        <w:t xml:space="preserve">); the dependency on </w:t>
      </w:r>
      <w:r w:rsidRPr="001E4C69">
        <w:rPr>
          <w:rFonts w:asciiTheme="majorBidi" w:hAnsiTheme="majorBidi" w:cstheme="majorBidi"/>
          <w:i/>
          <w:iCs/>
          <w:color w:val="auto"/>
          <w:sz w:val="24"/>
          <w:szCs w:val="24"/>
        </w:rPr>
        <w:t>KIF11</w:t>
      </w:r>
      <w:r w:rsidRPr="001E4C69">
        <w:rPr>
          <w:rFonts w:asciiTheme="majorBidi" w:hAnsiTheme="majorBidi" w:cstheme="majorBidi"/>
          <w:color w:val="auto"/>
          <w:sz w:val="24"/>
          <w:szCs w:val="24"/>
        </w:rPr>
        <w:t xml:space="preserve"> is strongly associated with cell line response to a kinesin-like spindle protein inhibitor (</w:t>
      </w:r>
      <w:r w:rsidRPr="001E4C69">
        <w:rPr>
          <w:rFonts w:asciiTheme="majorBidi" w:hAnsiTheme="majorBidi" w:cstheme="majorBidi"/>
          <w:b/>
          <w:bCs/>
          <w:color w:val="auto"/>
          <w:sz w:val="24"/>
          <w:szCs w:val="24"/>
        </w:rPr>
        <w:t>Supplementary Fig. 2d</w:t>
      </w:r>
      <w:r w:rsidRPr="001E4C69">
        <w:rPr>
          <w:rFonts w:asciiTheme="majorBidi" w:hAnsiTheme="majorBidi" w:cstheme="majorBidi"/>
          <w:color w:val="auto"/>
          <w:sz w:val="24"/>
          <w:szCs w:val="24"/>
        </w:rPr>
        <w:t xml:space="preserve">); and the dependency on </w:t>
      </w:r>
      <w:r w:rsidRPr="001E4C69">
        <w:rPr>
          <w:rFonts w:asciiTheme="majorBidi" w:hAnsiTheme="majorBidi" w:cstheme="majorBidi"/>
          <w:i/>
          <w:iCs/>
          <w:color w:val="auto"/>
          <w:sz w:val="24"/>
          <w:szCs w:val="24"/>
        </w:rPr>
        <w:t>TOP2A</w:t>
      </w:r>
      <w:r w:rsidRPr="001E4C69">
        <w:rPr>
          <w:rFonts w:asciiTheme="majorBidi" w:hAnsiTheme="majorBidi" w:cstheme="majorBidi"/>
          <w:color w:val="auto"/>
          <w:sz w:val="24"/>
          <w:szCs w:val="24"/>
        </w:rPr>
        <w:t xml:space="preserve"> is strongly associated with cell line response to a topoisomerase inhibitor (</w:t>
      </w:r>
      <w:r w:rsidRPr="001E4C69">
        <w:rPr>
          <w:rFonts w:asciiTheme="majorBidi" w:hAnsiTheme="majorBidi" w:cstheme="majorBidi"/>
          <w:b/>
          <w:bCs/>
          <w:color w:val="auto"/>
          <w:sz w:val="24"/>
          <w:szCs w:val="24"/>
        </w:rPr>
        <w:t>Supplementary Fig. 2e</w:t>
      </w:r>
      <w:r w:rsidRPr="001E4C69">
        <w:rPr>
          <w:rFonts w:asciiTheme="majorBidi" w:hAnsiTheme="majorBidi" w:cstheme="majorBidi"/>
          <w:color w:val="auto"/>
          <w:sz w:val="24"/>
          <w:szCs w:val="24"/>
        </w:rPr>
        <w:t>). Therefore, interesting cancer targets may come up as common-essential in</w:t>
      </w:r>
      <w:r>
        <w:rPr>
          <w:rFonts w:asciiTheme="majorBidi" w:hAnsiTheme="majorBidi" w:cstheme="majorBidi"/>
          <w:color w:val="auto"/>
          <w:sz w:val="24"/>
          <w:szCs w:val="24"/>
        </w:rPr>
        <w:t xml:space="preserve"> the</w:t>
      </w:r>
      <w:r w:rsidRPr="001E4C69">
        <w:rPr>
          <w:rFonts w:asciiTheme="majorBidi" w:hAnsiTheme="majorBidi" w:cstheme="majorBidi"/>
          <w:color w:val="auto"/>
          <w:sz w:val="24"/>
          <w:szCs w:val="24"/>
        </w:rPr>
        <w:t xml:space="preserve"> </w:t>
      </w:r>
      <w:proofErr w:type="spellStart"/>
      <w:r w:rsidRPr="001E4C69">
        <w:rPr>
          <w:rFonts w:asciiTheme="majorBidi" w:hAnsiTheme="majorBidi" w:cstheme="majorBidi"/>
          <w:color w:val="auto"/>
          <w:sz w:val="24"/>
          <w:szCs w:val="24"/>
        </w:rPr>
        <w:t>DepMap</w:t>
      </w:r>
      <w:proofErr w:type="spellEnd"/>
      <w:r w:rsidRPr="001E4C69">
        <w:rPr>
          <w:rFonts w:asciiTheme="majorBidi" w:hAnsiTheme="majorBidi" w:cstheme="majorBidi"/>
          <w:color w:val="auto"/>
          <w:sz w:val="24"/>
          <w:szCs w:val="24"/>
        </w:rPr>
        <w:t>, and the variability in cell line dependency scores for such genes can reveal important biology</w:t>
      </w:r>
      <w:r>
        <w:rPr>
          <w:rFonts w:asciiTheme="majorBidi" w:hAnsiTheme="majorBidi" w:cstheme="majorBidi"/>
          <w:color w:val="auto"/>
          <w:sz w:val="24"/>
          <w:szCs w:val="24"/>
        </w:rPr>
        <w:t xml:space="preserve"> and predict drug response</w:t>
      </w:r>
      <w:r w:rsidRPr="001E4C69">
        <w:rPr>
          <w:rFonts w:asciiTheme="majorBidi" w:hAnsiTheme="majorBidi" w:cstheme="majorBidi"/>
          <w:color w:val="auto"/>
          <w:sz w:val="24"/>
          <w:szCs w:val="24"/>
        </w:rPr>
        <w:t xml:space="preserve">. Indeed, despite the SAC genes being common-essential, multiple SAC inhibitors are currently being tested in clinical trials. Therefore, the identification of aneuploidy as a potential biomarker of increased dependency to </w:t>
      </w:r>
      <w:proofErr w:type="spellStart"/>
      <w:r>
        <w:rPr>
          <w:rFonts w:asciiTheme="majorBidi" w:hAnsiTheme="majorBidi" w:cstheme="majorBidi"/>
          <w:color w:val="auto"/>
          <w:sz w:val="24"/>
          <w:szCs w:val="24"/>
        </w:rPr>
        <w:t>SACi</w:t>
      </w:r>
      <w:proofErr w:type="spellEnd"/>
      <w:r w:rsidRPr="001E4C69">
        <w:rPr>
          <w:rFonts w:asciiTheme="majorBidi" w:hAnsiTheme="majorBidi" w:cstheme="majorBidi"/>
          <w:color w:val="auto"/>
          <w:sz w:val="24"/>
          <w:szCs w:val="24"/>
        </w:rPr>
        <w:t xml:space="preserve"> may be of high therapeutic relevance.</w:t>
      </w:r>
    </w:p>
    <w:p w:rsidR="001638EE" w:rsidRPr="00951A5A" w:rsidRDefault="001638EE" w:rsidP="008141C4">
      <w:pPr>
        <w:spacing w:before="100" w:after="160"/>
        <w:jc w:val="both"/>
        <w:rPr>
          <w:rFonts w:asciiTheme="majorBidi" w:hAnsiTheme="majorBidi" w:cstheme="majorBidi"/>
          <w:b/>
          <w:bCs/>
          <w:color w:val="auto"/>
          <w:sz w:val="24"/>
          <w:szCs w:val="24"/>
        </w:rPr>
      </w:pPr>
      <w:r w:rsidRPr="00951A5A">
        <w:rPr>
          <w:rFonts w:asciiTheme="majorBidi" w:hAnsiTheme="majorBidi" w:cstheme="majorBidi"/>
          <w:b/>
          <w:bCs/>
          <w:color w:val="auto"/>
          <w:sz w:val="24"/>
          <w:szCs w:val="24"/>
        </w:rPr>
        <w:t xml:space="preserve">Supplementary Note 12: </w:t>
      </w:r>
      <w:r>
        <w:rPr>
          <w:rFonts w:asciiTheme="majorBidi" w:hAnsiTheme="majorBidi" w:cstheme="majorBidi"/>
          <w:b/>
          <w:bCs/>
          <w:sz w:val="24"/>
          <w:szCs w:val="24"/>
        </w:rPr>
        <w:t>A m</w:t>
      </w:r>
      <w:r w:rsidRPr="00EB48BE">
        <w:rPr>
          <w:rFonts w:asciiTheme="majorBidi" w:hAnsiTheme="majorBidi" w:cstheme="majorBidi"/>
          <w:b/>
          <w:bCs/>
          <w:sz w:val="24"/>
          <w:szCs w:val="24"/>
        </w:rPr>
        <w:t xml:space="preserve">odel of the evolving response of aneuploid cancer cells to </w:t>
      </w:r>
      <w:proofErr w:type="spellStart"/>
      <w:r>
        <w:rPr>
          <w:rFonts w:asciiTheme="majorBidi" w:hAnsiTheme="majorBidi" w:cstheme="majorBidi"/>
          <w:b/>
          <w:bCs/>
          <w:sz w:val="24"/>
          <w:szCs w:val="24"/>
        </w:rPr>
        <w:t>SACi</w:t>
      </w:r>
      <w:proofErr w:type="spellEnd"/>
      <w:r>
        <w:rPr>
          <w:rFonts w:asciiTheme="majorBidi" w:hAnsiTheme="majorBidi" w:cstheme="majorBidi"/>
          <w:sz w:val="24"/>
          <w:szCs w:val="24"/>
        </w:rPr>
        <w:t xml:space="preserve"> </w:t>
      </w:r>
    </w:p>
    <w:p w:rsidR="001638EE" w:rsidRDefault="001638EE" w:rsidP="001638EE">
      <w:pPr>
        <w:spacing w:after="160"/>
        <w:jc w:val="both"/>
        <w:rPr>
          <w:rFonts w:asciiTheme="majorBidi" w:hAnsiTheme="majorBidi" w:cstheme="majorBidi"/>
          <w:color w:val="auto"/>
          <w:sz w:val="24"/>
          <w:szCs w:val="24"/>
        </w:rPr>
      </w:pPr>
      <w:r>
        <w:rPr>
          <w:rFonts w:asciiTheme="majorBidi" w:hAnsiTheme="majorBidi" w:cstheme="majorBidi"/>
          <w:sz w:val="24"/>
          <w:szCs w:val="24"/>
        </w:rPr>
        <w:t xml:space="preserve">Aneuploid cells have an altered spindle and altered activity of KIF18A. Aneuploid cells overcome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more rapidly than diploid cells, leading to their apparent reduced sensitivity to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when viability is assessed early on (3-5 </w:t>
      </w:r>
      <w:proofErr w:type="gramStart"/>
      <w:r>
        <w:rPr>
          <w:rFonts w:asciiTheme="majorBidi" w:hAnsiTheme="majorBidi" w:cstheme="majorBidi"/>
          <w:sz w:val="24"/>
          <w:szCs w:val="24"/>
        </w:rPr>
        <w:t>days</w:t>
      </w:r>
      <w:proofErr w:type="gramEnd"/>
      <w:r>
        <w:rPr>
          <w:rFonts w:asciiTheme="majorBidi" w:hAnsiTheme="majorBidi" w:cstheme="majorBidi"/>
          <w:sz w:val="24"/>
          <w:szCs w:val="24"/>
        </w:rPr>
        <w:t xml:space="preserve"> post treatment). However, this results in a significant increase of aberrant mitoses, giving rise to abnormal cell fates (e.g., detrimental karyotypes, micronuclei formation, failed cytokinesis) that lead to increased cell death. Consequently, aneuploid cancer cells are more sensitive to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when viability is assessed after a few cell divisions (14-21 </w:t>
      </w:r>
      <w:proofErr w:type="gramStart"/>
      <w:r>
        <w:rPr>
          <w:rFonts w:asciiTheme="majorBidi" w:hAnsiTheme="majorBidi" w:cstheme="majorBidi"/>
          <w:sz w:val="24"/>
          <w:szCs w:val="24"/>
        </w:rPr>
        <w:t>days</w:t>
      </w:r>
      <w:proofErr w:type="gramEnd"/>
      <w:r>
        <w:rPr>
          <w:rFonts w:asciiTheme="majorBidi" w:hAnsiTheme="majorBidi" w:cstheme="majorBidi"/>
          <w:sz w:val="24"/>
          <w:szCs w:val="24"/>
        </w:rPr>
        <w:t xml:space="preserve"> post treatment). The response of aneuploid cells to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is functionally associated with KIF18A activity, indicating an important role for this mitotic kinesin in SAC regulation in these cells (</w:t>
      </w:r>
      <w:r w:rsidRPr="00350F95">
        <w:rPr>
          <w:rFonts w:asciiTheme="majorBidi" w:hAnsiTheme="majorBidi" w:cstheme="majorBidi"/>
          <w:b/>
          <w:bCs/>
          <w:sz w:val="24"/>
          <w:szCs w:val="24"/>
        </w:rPr>
        <w:t>Fig. 4k</w:t>
      </w:r>
      <w:r>
        <w:rPr>
          <w:rFonts w:asciiTheme="majorBidi" w:hAnsiTheme="majorBidi" w:cstheme="majorBidi"/>
          <w:sz w:val="24"/>
          <w:szCs w:val="24"/>
        </w:rPr>
        <w:t>).</w:t>
      </w:r>
    </w:p>
    <w:p w:rsidR="001638EE" w:rsidRDefault="001638EE" w:rsidP="001638EE">
      <w:pPr>
        <w:spacing w:after="160"/>
        <w:jc w:val="both"/>
        <w:rPr>
          <w:rFonts w:asciiTheme="majorBidi" w:hAnsiTheme="majorBidi" w:cstheme="majorBidi"/>
          <w:b/>
          <w:bCs/>
          <w:color w:val="auto"/>
          <w:sz w:val="24"/>
          <w:szCs w:val="24"/>
        </w:rPr>
      </w:pPr>
      <w:r w:rsidRPr="00D863A6">
        <w:rPr>
          <w:rFonts w:asciiTheme="majorBidi" w:hAnsiTheme="majorBidi" w:cstheme="majorBidi"/>
          <w:color w:val="auto"/>
          <w:sz w:val="24"/>
          <w:szCs w:val="24"/>
        </w:rPr>
        <w:t xml:space="preserve">Why are aneuploid cells initially more resistant to </w:t>
      </w:r>
      <w:proofErr w:type="spellStart"/>
      <w:r>
        <w:rPr>
          <w:rFonts w:asciiTheme="majorBidi" w:hAnsiTheme="majorBidi" w:cstheme="majorBidi"/>
          <w:color w:val="auto"/>
          <w:sz w:val="24"/>
          <w:szCs w:val="24"/>
        </w:rPr>
        <w:t>SACi</w:t>
      </w:r>
      <w:proofErr w:type="spellEnd"/>
      <w:r w:rsidRPr="00D863A6">
        <w:rPr>
          <w:rFonts w:asciiTheme="majorBidi" w:hAnsiTheme="majorBidi" w:cstheme="majorBidi"/>
          <w:color w:val="auto"/>
          <w:sz w:val="24"/>
          <w:szCs w:val="24"/>
        </w:rPr>
        <w:t xml:space="preserve">? One possibility is that aneuploid cells have lower SAC activity to begin with, </w:t>
      </w:r>
      <w:r>
        <w:rPr>
          <w:rFonts w:asciiTheme="majorBidi" w:hAnsiTheme="majorBidi" w:cstheme="majorBidi"/>
          <w:color w:val="auto"/>
          <w:sz w:val="24"/>
          <w:szCs w:val="24"/>
        </w:rPr>
        <w:t xml:space="preserve">and </w:t>
      </w:r>
      <w:r w:rsidRPr="00D863A6">
        <w:rPr>
          <w:rFonts w:asciiTheme="majorBidi" w:hAnsiTheme="majorBidi" w:cstheme="majorBidi"/>
          <w:color w:val="auto"/>
          <w:sz w:val="24"/>
          <w:szCs w:val="24"/>
        </w:rPr>
        <w:t xml:space="preserve">therefore </w:t>
      </w:r>
      <w:r>
        <w:rPr>
          <w:rFonts w:asciiTheme="majorBidi" w:hAnsiTheme="majorBidi" w:cstheme="majorBidi"/>
          <w:color w:val="auto"/>
          <w:sz w:val="24"/>
          <w:szCs w:val="24"/>
        </w:rPr>
        <w:t xml:space="preserve">are </w:t>
      </w:r>
      <w:r w:rsidRPr="00D863A6">
        <w:rPr>
          <w:rFonts w:asciiTheme="majorBidi" w:hAnsiTheme="majorBidi" w:cstheme="majorBidi"/>
          <w:color w:val="auto"/>
          <w:sz w:val="24"/>
          <w:szCs w:val="24"/>
        </w:rPr>
        <w:t xml:space="preserve">better adapted to proliferating with a perturbed SAC. This hypothesis is supported by our findings that the mRNA and protein expression levels of </w:t>
      </w:r>
      <w:r w:rsidRPr="00D863A6">
        <w:rPr>
          <w:rFonts w:asciiTheme="majorBidi" w:hAnsiTheme="majorBidi" w:cstheme="majorBidi"/>
          <w:color w:val="auto"/>
          <w:sz w:val="24"/>
          <w:szCs w:val="24"/>
        </w:rPr>
        <w:lastRenderedPageBreak/>
        <w:t xml:space="preserve">BUB1B and MAD2 are lower on average in aneuploid </w:t>
      </w:r>
      <w:r>
        <w:rPr>
          <w:rFonts w:asciiTheme="majorBidi" w:hAnsiTheme="majorBidi" w:cstheme="majorBidi"/>
          <w:color w:val="auto"/>
          <w:sz w:val="24"/>
          <w:szCs w:val="24"/>
        </w:rPr>
        <w:t xml:space="preserve">cancer cells than they are in </w:t>
      </w:r>
      <w:r w:rsidRPr="00D863A6">
        <w:rPr>
          <w:rFonts w:asciiTheme="majorBidi" w:hAnsiTheme="majorBidi" w:cstheme="majorBidi"/>
          <w:color w:val="auto"/>
          <w:sz w:val="24"/>
          <w:szCs w:val="24"/>
        </w:rPr>
        <w:t>euploid</w:t>
      </w:r>
      <w:r>
        <w:rPr>
          <w:rFonts w:asciiTheme="majorBidi" w:hAnsiTheme="majorBidi" w:cstheme="majorBidi"/>
          <w:color w:val="auto"/>
          <w:sz w:val="24"/>
          <w:szCs w:val="24"/>
        </w:rPr>
        <w:t xml:space="preserve"> ones</w:t>
      </w:r>
      <w:r w:rsidRPr="00D863A6">
        <w:rPr>
          <w:rFonts w:asciiTheme="majorBidi" w:hAnsiTheme="majorBidi" w:cstheme="majorBidi"/>
          <w:color w:val="auto"/>
          <w:sz w:val="24"/>
          <w:szCs w:val="24"/>
        </w:rPr>
        <w:t xml:space="preserve"> (</w:t>
      </w:r>
      <w:r w:rsidRPr="00D863A6">
        <w:rPr>
          <w:rFonts w:asciiTheme="majorBidi" w:hAnsiTheme="majorBidi" w:cstheme="majorBidi"/>
          <w:b/>
          <w:bCs/>
          <w:color w:val="auto"/>
          <w:sz w:val="24"/>
          <w:szCs w:val="24"/>
        </w:rPr>
        <w:t>Fig. 1e</w:t>
      </w:r>
      <w:r w:rsidRPr="00D863A6">
        <w:rPr>
          <w:rFonts w:asciiTheme="majorBidi" w:hAnsiTheme="majorBidi" w:cstheme="majorBidi"/>
          <w:color w:val="auto"/>
          <w:sz w:val="24"/>
          <w:szCs w:val="24"/>
        </w:rPr>
        <w:t xml:space="preserve"> and </w:t>
      </w:r>
      <w:r w:rsidRPr="00D863A6">
        <w:rPr>
          <w:rFonts w:asciiTheme="majorBidi" w:hAnsiTheme="majorBidi" w:cstheme="majorBidi"/>
          <w:b/>
          <w:bCs/>
          <w:color w:val="auto"/>
          <w:sz w:val="24"/>
          <w:szCs w:val="24"/>
        </w:rPr>
        <w:t>Extended Data Fig. 1</w:t>
      </w:r>
      <w:r>
        <w:rPr>
          <w:rFonts w:asciiTheme="majorBidi" w:hAnsiTheme="majorBidi" w:cstheme="majorBidi"/>
          <w:b/>
          <w:bCs/>
          <w:color w:val="auto"/>
          <w:sz w:val="24"/>
          <w:szCs w:val="24"/>
        </w:rPr>
        <w:t>h</w:t>
      </w:r>
      <w:r w:rsidRPr="00D863A6">
        <w:rPr>
          <w:rFonts w:asciiTheme="majorBidi" w:hAnsiTheme="majorBidi" w:cstheme="majorBidi"/>
          <w:color w:val="auto"/>
          <w:sz w:val="24"/>
          <w:szCs w:val="24"/>
        </w:rPr>
        <w:t xml:space="preserve">). Another possibility is that aneuploid cells are adapted to coping with chromosome </w:t>
      </w:r>
      <w:proofErr w:type="spellStart"/>
      <w:r w:rsidRPr="00D863A6">
        <w:rPr>
          <w:rFonts w:asciiTheme="majorBidi" w:hAnsiTheme="majorBidi" w:cstheme="majorBidi"/>
          <w:color w:val="auto"/>
          <w:sz w:val="24"/>
          <w:szCs w:val="24"/>
        </w:rPr>
        <w:t>mis</w:t>
      </w:r>
      <w:proofErr w:type="spellEnd"/>
      <w:r w:rsidRPr="00D863A6">
        <w:rPr>
          <w:rFonts w:asciiTheme="majorBidi" w:hAnsiTheme="majorBidi" w:cstheme="majorBidi"/>
          <w:color w:val="auto"/>
          <w:sz w:val="24"/>
          <w:szCs w:val="24"/>
        </w:rPr>
        <w:t xml:space="preserve">-segregation and can therefore better tolerate it at first. This hypothesis is consistent with multiple studies that showed that aneuploid cells tend to </w:t>
      </w:r>
      <w:proofErr w:type="spellStart"/>
      <w:r w:rsidRPr="00D863A6">
        <w:rPr>
          <w:rFonts w:asciiTheme="majorBidi" w:hAnsiTheme="majorBidi" w:cstheme="majorBidi"/>
          <w:color w:val="auto"/>
          <w:sz w:val="24"/>
          <w:szCs w:val="24"/>
        </w:rPr>
        <w:t>mis</w:t>
      </w:r>
      <w:proofErr w:type="spellEnd"/>
      <w:r w:rsidRPr="00D863A6">
        <w:rPr>
          <w:rFonts w:asciiTheme="majorBidi" w:hAnsiTheme="majorBidi" w:cstheme="majorBidi"/>
          <w:color w:val="auto"/>
          <w:sz w:val="24"/>
          <w:szCs w:val="24"/>
        </w:rPr>
        <w:t>-segregate chromosomes more often than euploid cells</w:t>
      </w:r>
      <w:r w:rsidRPr="00D863A6">
        <w:rPr>
          <w:rFonts w:asciiTheme="majorBidi" w:hAnsiTheme="majorBidi" w:cstheme="majorBidi"/>
          <w:color w:val="auto"/>
          <w:sz w:val="24"/>
          <w:szCs w:val="24"/>
        </w:rPr>
        <w:fldChar w:fldCharType="begin" w:fldLock="1"/>
      </w:r>
      <w:r>
        <w:rPr>
          <w:rFonts w:asciiTheme="majorBidi" w:hAnsiTheme="majorBidi" w:cstheme="majorBidi"/>
          <w:color w:val="auto"/>
          <w:sz w:val="24"/>
          <w:szCs w:val="24"/>
        </w:rPr>
        <w:instrText>ADDIN CSL_CITATION {"citationItems":[{"id":"ITEM-1","itemData":{"DOI":"10.1126/science.1206412","ISSN":"00368075","PMID":"21852501","abstract":"Aneuploidy decreases cellular fitness, yet it is also associated with cancer, a disease of enhanced proliferative capacity. To investigate one mechanism by which aneuploidy could contribute to tumorigenesis, we examined the effects of aneuploidy on genomic stability. We analyzed 13 budding yeast strains that carry extra copies of single chromosomes and found that all aneuploid strains exhibited one or more forms of genomic instability. Most strains displayed increased chromosome loss and mitotic recombination, as well as defective DNA damage repair. Aneuploid fission yeast strains also exhibited defects in mitotic recombination. Aneuploidy-induced genomic instability could facilitate the development of genetic alterations that drive malignant growth in cancer.","author":[{"dropping-particle":"","family":"Sheltzer","given":"Jason M.","non-dropping-particle":"","parse-names":false,"suffix":""},{"dropping-particle":"","family":"Blank","given":"Heidi M.","non-dropping-particle":"","parse-names":false,"suffix":""},{"dropping-particle":"","family":"Pfau","given":"Sarah J.","non-dropping-particle":"","parse-names":false,"suffix":""},{"dropping-particle":"","family":"Tange","given":"Yoshie","non-dropping-particle":"","parse-names":false,"suffix":""},{"dropping-particle":"","family":"George","given":"Benson M.","non-dropping-particle":"","parse-names":false,"suffix":""},{"dropping-particle":"","family":"Humpton","given":"Timothy J.","non-dropping-particle":"","parse-names":false,"suffix":""},{"dropping-particle":"","family":"Brito","given":"Ilana L.","non-dropping-particle":"","parse-names":false,"suffix":""},{"dropping-particle":"","family":"Hiraoka","given":"Yasushi","non-dropping-particle":"","parse-names":false,"suffix":""},{"dropping-particle":"","family":"Niwa","given":"Osami","non-dropping-particle":"","parse-names":false,"suffix":""},{"dropping-particle":"","family":"Amon","given":"Angelika","non-dropping-particle":"","parse-names":false,"suffix":""}],"container-title":"Science","id":"ITEM-1","issued":{"date-parts":[["2011"]]},"title":"Aneuploidy drives genomic instability in yeast","type":"article-journal"},"uris":["http://www.mendeley.com/documents/?uuid=1b81a087-1497-48b6-ad23-32601f52bce1"]},{"id":"ITEM-2","itemData":{"DOI":"10.1038/ncomms10754","ISSN":"20411723","PMID":"26876972","abstract":"Aneuploidy is a hallmark of cancer and underlies genetic disorders characterized by severe developmental defects, yet the molecular mechanisms explaining its effects on cellular physiology remain elusive. Here we show, using a series of human cells with defined aneuploid karyotypes, that gain of a single chromosome increases genomic instability. Next-generation sequencing and SNP-array analysis reveal accumulation of chromosomal rearrangements in aneuploids, with break point junction patterns suggestive of replication defects. Trisomic and tetrasomic cells also show increased DNA damage and sensitivity to replication stress. Strikingly, we find that aneuploidy-induced genomic instability can be explained by the reduced expression of the replicative helicase MCM2-7. Accordingly, restoring near-wild-type levels of chromatin-bound MCM helicase partly rescues the genomic instability phenotypes. Thus, gain of chromosomes triggers replication stress, thereby promoting genomic instability and possibly contributing to tumorigenesis.","author":[{"dropping-particle":"","family":"Passerini","given":"Verena","non-dropping-particle":"","parse-names":false,"suffix":""},{"dropping-particle":"","family":"Ozeri-Galai","given":"Efrat","non-dropping-particle":"","parse-names":false,"suffix":""},{"dropping-particle":"","family":"Pagter","given":"Mirjam S.","non-dropping-particle":"De","parse-names":false,"suffix":""},{"dropping-particle":"","family":"Donnelly","given":"Neysan","non-dropping-particle":"","parse-names":false,"suffix":""},{"dropping-particle":"","family":"Schmalbrock","given":"Sarah","non-dropping-particle":"","parse-names":false,"suffix":""},{"dropping-particle":"","family":"Kloosterman","given":"Wigard P.","non-dropping-particle":"","parse-names":false,"suffix":""},{"dropping-particle":"","family":"Kerem","given":"Batsheva","non-dropping-particle":"","parse-names":false,"suffix":""},{"dropping-particle":"","family":"Storchová","given":"Zuzana","non-dropping-particle":"","parse-names":false,"suffix":""}],"container-title":"Nature Communications","id":"ITEM-2","issued":{"date-parts":[["2016"]]},"title":"The presence of extra chromosomes leads to genomic instability","type":"article-journal"},"uris":["http://www.mendeley.com/documents/?uuid=a6e58910-31c4-451a-bbf3-137b20cbe2b2"]},{"id":"ITEM-3","itemData":{"DOI":"10.1016/j.devcel.2017.05.022","ISBN":"1878-1551 (Electronic)\r1534-5807 (Linking)","PMID":"28633018","abstract":"Aneuploidy, a state of karyotype imbalance, is a hallmark of cancer. Changes in chromosome copy number have been proposed to drive disease by modulating the dosage of cancer driver genes and by promoting cancer genome evolution. Given the potential of cells with abnormal karyotypes to become cancerous, do pathways that limit the prevalence of such cells exist? By investigating the immediate consequences of aneuploidy on cell physiology, we identified mechanisms that eliminate aneuploid cells. We find that chromosome mis-segregation leads to further genomic instability that ultimately causes cell-cycle arrest. We further show that cells with complex karyotypes exhibit features of senescence and produce pro-inflammatory signals that promote their clearance by the immune system. We propose that cells with abnormal karyotypes generate a signal for their own elimination that may serve as a means for cancer cell immunosurveillance.","author":[{"dropping-particle":"","family":"Santaguida","given":"S","non-dropping-particle":"","parse-names":false,"suffix":""},{"dropping-particle":"","family":"Richardson","given":"A","non-dropping-particle":"","parse-names":false,"suffix":""},{"dropping-particle":"","family":"Iyer","given":"D R","non-dropping-particle":"","parse-names":false,"suffix":""},{"dropping-particle":"","family":"M'Saad","given":"O","non-dropping-particle":"","parse-names":false,"suffix":""},{"dropping-particle":"","family":"Zasadil","given":"L","non-dropping-particle":"","parse-names":false,"suffix":""},{"dropping-particle":"","family":"Knouse","given":"K A","non-dropping-particle":"","parse-names":false,"suffix":""},{"dropping-particle":"","family":"Wong","given":"Y L","non-dropping-particle":"","parse-names":false,"suffix":""},{"dropping-particle":"","family":"Rhind","given":"N","non-dropping-particle":"","parse-names":false,"suffix":""},{"dropping-particle":"","family":"Desai","given":"A","non-dropping-particle":"","parse-names":false,"suffix":""},{"dropping-particle":"","family":"Amon","given":"A","non-dropping-particle":"","parse-names":false,"suffix":""}],"container-title":"Dev Cell","id":"ITEM-3","issue":"6","issued":{"date-parts":[["2017"]]},"note":"Santaguida, Stefano\nRichardson, Amelia\nIyer, Divya Ramalingam\nM'Saad, Ons\nZasadil, Lauren\nKnouse, Kristin A\nWong, Yao Liang\nRhind, Nicholas\nDesai, Arshad\nAmon, Angelika\neng\nR01 CA206157/CA/NCI NIH HHS/\nR35 GM118066/GM/NIGMS NIH HHS/\nR01 GM098815/GM/NIGMS NIH HHS/\nR01 HD085866/HD/NICHD NIH HHS/\nR01 GM074215/GM/NIGMS NIH HHS/\nHHMI/Howard Hughes Medical Institute/\nP30 CA014051/CA/NCI NIH HHS/\nT32 GM007753/GM/NIGMS NIH HHS/\nR01 GM056800/GM/NIGMS NIH HHS/\nR01 GM062207/GM/NIGMS NIH HHS/\nT32 CA067754/CA/NCI NIH HHS/\nResearch Support, Non-U.S. Gov't\nResearch Support, N.I.H., Extramural\n2017/06/21 06:00\nDev Cell. 2017 Jun 19;41(6):638-651.e5. doi: 10.1016/j.devcel.2017.05.022.","page":"638-651 e5","title":"Chromosome Mis-segregation Generates Cell-Cycle-Arrested Cells with Complex Karyotypes that Are Eliminated by the Immune System","type":"article-journal","volume":"41"},"uris":["http://www.mendeley.com/documents/?uuid=e4c0c9c1-4699-4f78-b149-677adddab2d5"]}],"mendeley":{"formattedCitation":"&lt;sup&gt;40,84,85&lt;/sup&gt;","plainTextFormattedCitation":"40,84,85","previouslyFormattedCitation":"&lt;sup&gt;41,84,85&lt;/sup&gt;"},"properties":{"noteIndex":0},"schema":"https://github.com/citation-style-language/schema/raw/master/csl-citation.json"}</w:instrText>
      </w:r>
      <w:r w:rsidRPr="00D863A6">
        <w:rPr>
          <w:rFonts w:asciiTheme="majorBidi" w:hAnsiTheme="majorBidi" w:cstheme="majorBidi"/>
          <w:color w:val="auto"/>
          <w:sz w:val="24"/>
          <w:szCs w:val="24"/>
        </w:rPr>
        <w:fldChar w:fldCharType="separate"/>
      </w:r>
      <w:r w:rsidRPr="00070E8F">
        <w:rPr>
          <w:rFonts w:asciiTheme="majorBidi" w:hAnsiTheme="majorBidi" w:cstheme="majorBidi"/>
          <w:noProof/>
          <w:color w:val="auto"/>
          <w:sz w:val="24"/>
          <w:szCs w:val="24"/>
          <w:vertAlign w:val="superscript"/>
        </w:rPr>
        <w:t>40,84,85</w:t>
      </w:r>
      <w:r w:rsidRPr="00D863A6">
        <w:rPr>
          <w:rFonts w:asciiTheme="majorBidi" w:hAnsiTheme="majorBidi" w:cstheme="majorBidi"/>
          <w:color w:val="auto"/>
          <w:sz w:val="24"/>
          <w:szCs w:val="24"/>
        </w:rPr>
        <w:fldChar w:fldCharType="end"/>
      </w:r>
      <w:r w:rsidRPr="00D863A6">
        <w:rPr>
          <w:rFonts w:asciiTheme="majorBidi" w:hAnsiTheme="majorBidi" w:cstheme="majorBidi"/>
          <w:color w:val="auto"/>
          <w:sz w:val="24"/>
          <w:szCs w:val="24"/>
        </w:rPr>
        <w:t>, which is also supported by our own findings (</w:t>
      </w:r>
      <w:r>
        <w:rPr>
          <w:rFonts w:asciiTheme="majorBidi" w:hAnsiTheme="majorBidi" w:cstheme="majorBidi"/>
          <w:b/>
          <w:bCs/>
          <w:color w:val="auto"/>
          <w:sz w:val="24"/>
          <w:szCs w:val="24"/>
        </w:rPr>
        <w:t>Fig. 3</w:t>
      </w:r>
      <w:proofErr w:type="gramStart"/>
      <w:r>
        <w:rPr>
          <w:rFonts w:asciiTheme="majorBidi" w:hAnsiTheme="majorBidi" w:cstheme="majorBidi"/>
          <w:b/>
          <w:bCs/>
          <w:color w:val="auto"/>
          <w:sz w:val="24"/>
          <w:szCs w:val="24"/>
        </w:rPr>
        <w:t>e,f</w:t>
      </w:r>
      <w:proofErr w:type="gramEnd"/>
      <w:r w:rsidRPr="009F5F49">
        <w:rPr>
          <w:rFonts w:asciiTheme="majorBidi" w:hAnsiTheme="majorBidi" w:cstheme="majorBidi"/>
          <w:color w:val="auto"/>
          <w:sz w:val="24"/>
          <w:szCs w:val="24"/>
        </w:rPr>
        <w:t>,</w:t>
      </w:r>
      <w:r w:rsidRPr="00350F95">
        <w:rPr>
          <w:rFonts w:asciiTheme="majorBidi" w:hAnsiTheme="majorBidi" w:cstheme="majorBidi"/>
          <w:b/>
          <w:bCs/>
          <w:color w:val="auto"/>
          <w:sz w:val="24"/>
          <w:szCs w:val="24"/>
        </w:rPr>
        <w:t>h</w:t>
      </w:r>
      <w:r w:rsidRPr="00D863A6">
        <w:rPr>
          <w:rFonts w:asciiTheme="majorBidi" w:hAnsiTheme="majorBidi" w:cstheme="majorBidi"/>
          <w:b/>
          <w:bCs/>
          <w:color w:val="auto"/>
          <w:sz w:val="24"/>
          <w:szCs w:val="24"/>
        </w:rPr>
        <w:t xml:space="preserve"> </w:t>
      </w:r>
      <w:r w:rsidRPr="00D863A6">
        <w:rPr>
          <w:rFonts w:asciiTheme="majorBidi" w:hAnsiTheme="majorBidi" w:cstheme="majorBidi"/>
          <w:color w:val="auto"/>
          <w:sz w:val="24"/>
          <w:szCs w:val="24"/>
        </w:rPr>
        <w:t xml:space="preserve">and </w:t>
      </w:r>
      <w:r w:rsidRPr="00D863A6">
        <w:rPr>
          <w:rFonts w:asciiTheme="majorBidi" w:hAnsiTheme="majorBidi" w:cstheme="majorBidi"/>
          <w:b/>
          <w:bCs/>
          <w:color w:val="auto"/>
          <w:sz w:val="24"/>
          <w:szCs w:val="24"/>
        </w:rPr>
        <w:t xml:space="preserve">Extended Data Fig. </w:t>
      </w:r>
      <w:r>
        <w:rPr>
          <w:rFonts w:asciiTheme="majorBidi" w:hAnsiTheme="majorBidi" w:cstheme="majorBidi"/>
          <w:b/>
          <w:bCs/>
          <w:color w:val="auto"/>
          <w:sz w:val="24"/>
          <w:szCs w:val="24"/>
        </w:rPr>
        <w:t>8e</w:t>
      </w:r>
      <w:r w:rsidRPr="00D863A6">
        <w:rPr>
          <w:rFonts w:asciiTheme="majorBidi" w:hAnsiTheme="majorBidi" w:cstheme="majorBidi"/>
          <w:color w:val="auto"/>
          <w:sz w:val="24"/>
          <w:szCs w:val="24"/>
        </w:rPr>
        <w:t xml:space="preserve">). A third possibility is that the increased short-term resistance of aneuploid cells to </w:t>
      </w:r>
      <w:proofErr w:type="spellStart"/>
      <w:r>
        <w:rPr>
          <w:rFonts w:asciiTheme="majorBidi" w:hAnsiTheme="majorBidi" w:cstheme="majorBidi"/>
          <w:color w:val="auto"/>
          <w:sz w:val="24"/>
          <w:szCs w:val="24"/>
        </w:rPr>
        <w:t>SACi</w:t>
      </w:r>
      <w:proofErr w:type="spellEnd"/>
      <w:r>
        <w:rPr>
          <w:rFonts w:asciiTheme="majorBidi" w:hAnsiTheme="majorBidi" w:cstheme="majorBidi"/>
          <w:color w:val="auto"/>
          <w:sz w:val="24"/>
          <w:szCs w:val="24"/>
        </w:rPr>
        <w:t xml:space="preserve"> simply reflects these cells’ </w:t>
      </w:r>
      <w:r w:rsidRPr="00D863A6">
        <w:rPr>
          <w:rFonts w:asciiTheme="majorBidi" w:hAnsiTheme="majorBidi" w:cstheme="majorBidi"/>
          <w:color w:val="auto"/>
          <w:sz w:val="24"/>
          <w:szCs w:val="24"/>
        </w:rPr>
        <w:t>broad resistance to drugs in general (</w:t>
      </w:r>
      <w:r w:rsidRPr="00D863A6">
        <w:rPr>
          <w:rFonts w:asciiTheme="majorBidi" w:hAnsiTheme="majorBidi" w:cstheme="majorBidi"/>
          <w:b/>
          <w:bCs/>
          <w:color w:val="auto"/>
          <w:sz w:val="24"/>
          <w:szCs w:val="24"/>
        </w:rPr>
        <w:t>Fig. 1f</w:t>
      </w:r>
      <w:r w:rsidRPr="00D863A6">
        <w:rPr>
          <w:rFonts w:asciiTheme="majorBidi" w:hAnsiTheme="majorBidi" w:cstheme="majorBidi"/>
          <w:color w:val="auto"/>
          <w:sz w:val="24"/>
          <w:szCs w:val="24"/>
        </w:rPr>
        <w:t xml:space="preserve"> and </w:t>
      </w:r>
      <w:r w:rsidRPr="00D863A6">
        <w:rPr>
          <w:rFonts w:asciiTheme="majorBidi" w:hAnsiTheme="majorBidi" w:cstheme="majorBidi"/>
          <w:b/>
          <w:bCs/>
          <w:color w:val="auto"/>
          <w:sz w:val="24"/>
          <w:szCs w:val="24"/>
        </w:rPr>
        <w:t xml:space="preserve">Extended Data Fig. </w:t>
      </w:r>
      <w:r>
        <w:rPr>
          <w:rFonts w:asciiTheme="majorBidi" w:hAnsiTheme="majorBidi" w:cstheme="majorBidi"/>
          <w:b/>
          <w:bCs/>
          <w:color w:val="auto"/>
          <w:sz w:val="24"/>
          <w:szCs w:val="24"/>
        </w:rPr>
        <w:t>4</w:t>
      </w:r>
      <w:r w:rsidRPr="00D863A6">
        <w:rPr>
          <w:rFonts w:asciiTheme="majorBidi" w:hAnsiTheme="majorBidi" w:cstheme="majorBidi"/>
          <w:b/>
          <w:bCs/>
          <w:color w:val="auto"/>
          <w:sz w:val="24"/>
          <w:szCs w:val="24"/>
        </w:rPr>
        <w:t>a</w:t>
      </w:r>
      <w:r>
        <w:rPr>
          <w:rFonts w:asciiTheme="majorBidi" w:hAnsiTheme="majorBidi" w:cstheme="majorBidi"/>
          <w:color w:val="auto"/>
          <w:sz w:val="24"/>
          <w:szCs w:val="24"/>
        </w:rPr>
        <w:t>); hence, the cells can</w:t>
      </w:r>
      <w:r w:rsidRPr="00D863A6">
        <w:rPr>
          <w:rFonts w:asciiTheme="majorBidi" w:hAnsiTheme="majorBidi" w:cstheme="majorBidi"/>
          <w:color w:val="auto"/>
          <w:sz w:val="24"/>
          <w:szCs w:val="24"/>
        </w:rPr>
        <w:t xml:space="preserve"> survive the detrimental consequences of </w:t>
      </w:r>
      <w:proofErr w:type="spellStart"/>
      <w:r>
        <w:rPr>
          <w:rFonts w:asciiTheme="majorBidi" w:hAnsiTheme="majorBidi" w:cstheme="majorBidi"/>
          <w:color w:val="auto"/>
          <w:sz w:val="24"/>
          <w:szCs w:val="24"/>
        </w:rPr>
        <w:t>SACi</w:t>
      </w:r>
      <w:proofErr w:type="spellEnd"/>
      <w:r>
        <w:rPr>
          <w:rFonts w:asciiTheme="majorBidi" w:hAnsiTheme="majorBidi" w:cstheme="majorBidi"/>
          <w:color w:val="auto"/>
          <w:sz w:val="24"/>
          <w:szCs w:val="24"/>
        </w:rPr>
        <w:t xml:space="preserve"> initially,</w:t>
      </w:r>
      <w:r w:rsidRPr="00D863A6">
        <w:rPr>
          <w:rFonts w:asciiTheme="majorBidi" w:hAnsiTheme="majorBidi" w:cstheme="majorBidi"/>
          <w:color w:val="auto"/>
          <w:sz w:val="24"/>
          <w:szCs w:val="24"/>
        </w:rPr>
        <w:t xml:space="preserve"> due to their general resilience (similarly to their ability to tolerate better most drug treatments). Despite their initial resistance, however, the accumulating mitotic aberrations and increasingly complex karyotypes can no longer be tolerated after a few cell divisions, resulting in the observed increase in cell cycle arrest and cell death (</w:t>
      </w:r>
      <w:r w:rsidRPr="00D863A6">
        <w:rPr>
          <w:rFonts w:asciiTheme="majorBidi" w:hAnsiTheme="majorBidi" w:cstheme="majorBidi"/>
          <w:b/>
          <w:bCs/>
          <w:color w:val="auto"/>
          <w:sz w:val="24"/>
          <w:szCs w:val="24"/>
        </w:rPr>
        <w:t>Fig. 3</w:t>
      </w:r>
      <w:r w:rsidRPr="00D863A6">
        <w:rPr>
          <w:rFonts w:asciiTheme="majorBidi" w:hAnsiTheme="majorBidi" w:cstheme="majorBidi"/>
          <w:color w:val="auto"/>
          <w:sz w:val="24"/>
          <w:szCs w:val="24"/>
        </w:rPr>
        <w:t xml:space="preserve"> and </w:t>
      </w:r>
      <w:r w:rsidRPr="00D863A6">
        <w:rPr>
          <w:rFonts w:asciiTheme="majorBidi" w:hAnsiTheme="majorBidi" w:cstheme="majorBidi"/>
          <w:b/>
          <w:bCs/>
          <w:color w:val="auto"/>
          <w:sz w:val="24"/>
          <w:szCs w:val="24"/>
        </w:rPr>
        <w:t xml:space="preserve">Fig. </w:t>
      </w:r>
      <w:r>
        <w:rPr>
          <w:rFonts w:asciiTheme="majorBidi" w:hAnsiTheme="majorBidi" w:cstheme="majorBidi"/>
          <w:b/>
          <w:bCs/>
          <w:color w:val="auto"/>
          <w:sz w:val="24"/>
          <w:szCs w:val="24"/>
        </w:rPr>
        <w:t>4k</w:t>
      </w:r>
      <w:r w:rsidRPr="00D863A6">
        <w:rPr>
          <w:rFonts w:asciiTheme="majorBidi" w:hAnsiTheme="majorBidi" w:cstheme="majorBidi"/>
          <w:color w:val="auto"/>
          <w:sz w:val="24"/>
          <w:szCs w:val="24"/>
        </w:rPr>
        <w:t>).</w:t>
      </w:r>
    </w:p>
    <w:p w:rsidR="001638EE" w:rsidRDefault="001638EE" w:rsidP="001638EE">
      <w:pPr>
        <w:spacing w:after="160" w:line="259" w:lineRule="auto"/>
        <w:jc w:val="both"/>
        <w:rPr>
          <w:rFonts w:asciiTheme="majorBidi" w:hAnsiTheme="majorBidi" w:cstheme="majorBidi"/>
          <w:b/>
          <w:bCs/>
          <w:color w:val="auto"/>
          <w:sz w:val="24"/>
          <w:szCs w:val="24"/>
        </w:rPr>
      </w:pPr>
      <w:r>
        <w:rPr>
          <w:rFonts w:asciiTheme="majorBidi" w:hAnsiTheme="majorBidi" w:cstheme="majorBidi"/>
          <w:b/>
          <w:bCs/>
          <w:color w:val="auto"/>
          <w:sz w:val="24"/>
          <w:szCs w:val="24"/>
        </w:rPr>
        <w:t>Supplementary Note 13: Clinical implications of the study</w:t>
      </w:r>
    </w:p>
    <w:p w:rsidR="001638EE" w:rsidRDefault="001638EE" w:rsidP="001638EE">
      <w:pPr>
        <w:jc w:val="both"/>
        <w:rPr>
          <w:rFonts w:asciiTheme="majorBidi" w:hAnsiTheme="majorBidi" w:cstheme="majorBidi"/>
          <w:sz w:val="24"/>
          <w:szCs w:val="24"/>
        </w:rPr>
      </w:pPr>
      <w:r>
        <w:rPr>
          <w:rFonts w:asciiTheme="majorBidi" w:hAnsiTheme="majorBidi" w:cstheme="majorBidi"/>
          <w:color w:val="auto"/>
          <w:sz w:val="24"/>
          <w:szCs w:val="24"/>
        </w:rPr>
        <w:t xml:space="preserve">Our </w:t>
      </w:r>
      <w:r>
        <w:rPr>
          <w:rFonts w:asciiTheme="majorBidi" w:hAnsiTheme="majorBidi" w:cstheme="majorBidi"/>
          <w:sz w:val="24"/>
          <w:szCs w:val="24"/>
        </w:rPr>
        <w:t>findings may have several important implications for the clinical use of SAC inhibitors:</w:t>
      </w:r>
    </w:p>
    <w:p w:rsidR="001638EE" w:rsidRDefault="001638EE" w:rsidP="001638EE">
      <w:pPr>
        <w:jc w:val="both"/>
        <w:rPr>
          <w:rFonts w:asciiTheme="majorBidi" w:hAnsiTheme="majorBidi" w:cstheme="majorBidi"/>
          <w:sz w:val="24"/>
          <w:szCs w:val="24"/>
        </w:rPr>
      </w:pPr>
      <w:r>
        <w:rPr>
          <w:rFonts w:asciiTheme="majorBidi" w:hAnsiTheme="majorBidi" w:cstheme="majorBidi"/>
          <w:sz w:val="24"/>
          <w:szCs w:val="24"/>
        </w:rPr>
        <w:t xml:space="preserve">First, the degree of aneuploidy could potentially serve as a biomarker for predicting the response of patients to this class of drugs. As aneuploidy is not routinely assessed in clinical trials, future studies should test this hypothesis in a clinical setting. </w:t>
      </w:r>
    </w:p>
    <w:p w:rsidR="001638EE" w:rsidRDefault="001638EE" w:rsidP="001638EE">
      <w:pPr>
        <w:jc w:val="both"/>
        <w:rPr>
          <w:rFonts w:asciiTheme="majorBidi" w:hAnsiTheme="majorBidi" w:cstheme="majorBidi"/>
          <w:sz w:val="24"/>
          <w:szCs w:val="24"/>
        </w:rPr>
      </w:pPr>
      <w:r>
        <w:rPr>
          <w:rFonts w:asciiTheme="majorBidi" w:hAnsiTheme="majorBidi" w:cstheme="majorBidi"/>
          <w:sz w:val="24"/>
          <w:szCs w:val="24"/>
        </w:rPr>
        <w:t xml:space="preserve">Second, we show that the response to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strongly depends on the time of response assessment; therefore, standard 3-5 day-long </w:t>
      </w:r>
      <w:r w:rsidRPr="00301143">
        <w:rPr>
          <w:rFonts w:asciiTheme="majorBidi" w:hAnsiTheme="majorBidi" w:cstheme="majorBidi"/>
          <w:i/>
          <w:iCs/>
          <w:sz w:val="24"/>
          <w:szCs w:val="24"/>
        </w:rPr>
        <w:t>in vitro</w:t>
      </w:r>
      <w:r>
        <w:rPr>
          <w:rFonts w:asciiTheme="majorBidi" w:hAnsiTheme="majorBidi" w:cstheme="majorBidi"/>
          <w:sz w:val="24"/>
          <w:szCs w:val="24"/>
        </w:rPr>
        <w:t xml:space="preserve"> drug response assays are insufficient for the evaluation of the long-term effect of </w:t>
      </w:r>
      <w:proofErr w:type="spellStart"/>
      <w:r>
        <w:rPr>
          <w:rFonts w:asciiTheme="majorBidi" w:hAnsiTheme="majorBidi" w:cstheme="majorBidi"/>
          <w:sz w:val="24"/>
          <w:szCs w:val="24"/>
        </w:rPr>
        <w:t>SACi</w:t>
      </w:r>
      <w:proofErr w:type="spellEnd"/>
      <w:r>
        <w:rPr>
          <w:rFonts w:asciiTheme="majorBidi" w:hAnsiTheme="majorBidi" w:cstheme="majorBidi"/>
          <w:sz w:val="24"/>
          <w:szCs w:val="24"/>
        </w:rPr>
        <w:t xml:space="preserve">. Our findings explain observed discrepancies between genetic and pharmacological screens, and highlight the need to test drugs that target chromosome segregation and cell division over a longer time course. </w:t>
      </w:r>
    </w:p>
    <w:p w:rsidR="001638EE" w:rsidRDefault="001638EE" w:rsidP="001638EE">
      <w:pPr>
        <w:jc w:val="both"/>
        <w:rPr>
          <w:rFonts w:ascii="Times New Roman" w:hAnsi="Times New Roman" w:cs="Times New Roman"/>
          <w:sz w:val="24"/>
          <w:szCs w:val="24"/>
          <w:lang w:bidi="ar-SA"/>
        </w:rPr>
      </w:pPr>
      <w:r>
        <w:rPr>
          <w:rFonts w:asciiTheme="majorBidi" w:hAnsiTheme="majorBidi" w:cstheme="majorBidi"/>
          <w:sz w:val="24"/>
          <w:szCs w:val="24"/>
        </w:rPr>
        <w:t>Third, our findings hint at potentially different consequences of targeting different components of the SAC.</w:t>
      </w:r>
      <w:r w:rsidRPr="00FB6007">
        <w:rPr>
          <w:rFonts w:ascii="Times New Roman" w:hAnsi="Times New Roman" w:cs="Times New Roman"/>
          <w:sz w:val="24"/>
          <w:szCs w:val="24"/>
          <w:lang w:bidi="ar-SA"/>
        </w:rPr>
        <w:t xml:space="preserve"> </w:t>
      </w:r>
      <w:r>
        <w:rPr>
          <w:rFonts w:ascii="Times New Roman" w:hAnsi="Times New Roman" w:cs="Times New Roman"/>
          <w:sz w:val="24"/>
          <w:szCs w:val="24"/>
          <w:lang w:bidi="ar-SA"/>
        </w:rPr>
        <w:t xml:space="preserve">We found that siRNAs against </w:t>
      </w:r>
      <w:r w:rsidRPr="00970029">
        <w:rPr>
          <w:rFonts w:ascii="Times New Roman" w:hAnsi="Times New Roman" w:cs="Times New Roman"/>
          <w:i/>
          <w:iCs/>
          <w:sz w:val="24"/>
          <w:szCs w:val="24"/>
          <w:lang w:bidi="ar-SA"/>
        </w:rPr>
        <w:t>BUB1B</w:t>
      </w:r>
      <w:r>
        <w:rPr>
          <w:rFonts w:ascii="Times New Roman" w:hAnsi="Times New Roman" w:cs="Times New Roman"/>
          <w:sz w:val="24"/>
          <w:szCs w:val="24"/>
          <w:lang w:bidi="ar-SA"/>
        </w:rPr>
        <w:t xml:space="preserve">, </w:t>
      </w:r>
      <w:r w:rsidRPr="00970029">
        <w:rPr>
          <w:rFonts w:ascii="Times New Roman" w:hAnsi="Times New Roman" w:cs="Times New Roman"/>
          <w:i/>
          <w:iCs/>
          <w:sz w:val="24"/>
          <w:szCs w:val="24"/>
          <w:lang w:bidi="ar-SA"/>
        </w:rPr>
        <w:t>MAD2</w:t>
      </w:r>
      <w:r>
        <w:rPr>
          <w:rFonts w:ascii="Times New Roman" w:hAnsi="Times New Roman" w:cs="Times New Roman"/>
          <w:sz w:val="24"/>
          <w:szCs w:val="24"/>
          <w:lang w:bidi="ar-SA"/>
        </w:rPr>
        <w:t xml:space="preserve"> and </w:t>
      </w:r>
      <w:r w:rsidRPr="00970029">
        <w:rPr>
          <w:rFonts w:ascii="Times New Roman" w:hAnsi="Times New Roman" w:cs="Times New Roman"/>
          <w:i/>
          <w:iCs/>
          <w:sz w:val="24"/>
          <w:szCs w:val="24"/>
          <w:lang w:bidi="ar-SA"/>
        </w:rPr>
        <w:t>TTK</w:t>
      </w:r>
      <w:r>
        <w:rPr>
          <w:rFonts w:ascii="Times New Roman" w:hAnsi="Times New Roman" w:cs="Times New Roman"/>
          <w:sz w:val="24"/>
          <w:szCs w:val="24"/>
          <w:lang w:bidi="ar-SA"/>
        </w:rPr>
        <w:t xml:space="preserve"> similarly affected the viability and proliferation of cells, indicating that the major reason for the discrepancy between the genetic screens and the chemical screens is the time of viability assessment. We note, however, that unlike </w:t>
      </w:r>
      <w:r w:rsidRPr="00970029">
        <w:rPr>
          <w:rFonts w:ascii="Times New Roman" w:hAnsi="Times New Roman" w:cs="Times New Roman"/>
          <w:i/>
          <w:iCs/>
          <w:sz w:val="24"/>
          <w:szCs w:val="24"/>
          <w:lang w:bidi="ar-SA"/>
        </w:rPr>
        <w:t>BUB1B</w:t>
      </w:r>
      <w:r>
        <w:rPr>
          <w:rFonts w:ascii="Times New Roman" w:hAnsi="Times New Roman" w:cs="Times New Roman"/>
          <w:sz w:val="24"/>
          <w:szCs w:val="24"/>
          <w:lang w:bidi="ar-SA"/>
        </w:rPr>
        <w:t xml:space="preserve"> and </w:t>
      </w:r>
      <w:r w:rsidRPr="00970029">
        <w:rPr>
          <w:rFonts w:ascii="Times New Roman" w:hAnsi="Times New Roman" w:cs="Times New Roman"/>
          <w:i/>
          <w:iCs/>
          <w:sz w:val="24"/>
          <w:szCs w:val="24"/>
          <w:lang w:bidi="ar-SA"/>
        </w:rPr>
        <w:t>MAD2</w:t>
      </w:r>
      <w:r>
        <w:rPr>
          <w:rFonts w:ascii="Times New Roman" w:hAnsi="Times New Roman" w:cs="Times New Roman"/>
          <w:sz w:val="24"/>
          <w:szCs w:val="24"/>
          <w:lang w:bidi="ar-SA"/>
        </w:rPr>
        <w:t xml:space="preserve">, </w:t>
      </w:r>
      <w:r w:rsidRPr="00970029">
        <w:rPr>
          <w:rFonts w:ascii="Times New Roman" w:hAnsi="Times New Roman" w:cs="Times New Roman"/>
          <w:i/>
          <w:iCs/>
          <w:sz w:val="24"/>
          <w:szCs w:val="24"/>
          <w:lang w:bidi="ar-SA"/>
        </w:rPr>
        <w:t>TTK</w:t>
      </w:r>
      <w:r>
        <w:rPr>
          <w:rFonts w:ascii="Times New Roman" w:hAnsi="Times New Roman" w:cs="Times New Roman"/>
          <w:sz w:val="24"/>
          <w:szCs w:val="24"/>
          <w:lang w:bidi="ar-SA"/>
        </w:rPr>
        <w:t xml:space="preserve"> did not come up as a differential dependency of aneuploid cells in any of the genetic screens, and was not transcriptionally downregulated in aneuploid cells. Therefore, it is plausible that there is also a functional difference between these genes with regard to their essentiality in aneuploid cells, highlighting the need to develop inhibitors against BUB1B and MAD2 (in addition to TTK).</w:t>
      </w:r>
    </w:p>
    <w:p w:rsidR="001638EE" w:rsidRDefault="001638EE" w:rsidP="001638EE">
      <w:pPr>
        <w:jc w:val="both"/>
        <w:rPr>
          <w:rFonts w:ascii="Times New Roman" w:hAnsi="Times New Roman" w:cs="Times New Roman"/>
          <w:sz w:val="24"/>
          <w:szCs w:val="24"/>
          <w:lang w:bidi="ar-SA"/>
        </w:rPr>
      </w:pPr>
      <w:r>
        <w:rPr>
          <w:rFonts w:ascii="Times New Roman" w:hAnsi="Times New Roman" w:cs="Times New Roman"/>
          <w:sz w:val="24"/>
          <w:szCs w:val="24"/>
          <w:lang w:bidi="ar-SA"/>
        </w:rPr>
        <w:t>Fourth, the increased sensitivity of aneuploid cancer cells to the inhibition of the mitotic kinesin KIF18A suggests that aneuploidy might serve as a biomarker for predicting the response to KIF18A inhibitors</w:t>
      </w:r>
      <w:r>
        <w:rPr>
          <w:rFonts w:ascii="Times New Roman" w:hAnsi="Times New Roman" w:cs="Times New Roman"/>
          <w:sz w:val="24"/>
          <w:szCs w:val="24"/>
          <w:lang w:bidi="ar-SA"/>
        </w:rPr>
        <w:fldChar w:fldCharType="begin" w:fldLock="1"/>
      </w:r>
      <w:r>
        <w:rPr>
          <w:rFonts w:ascii="Times New Roman" w:hAnsi="Times New Roman" w:cs="Times New Roman"/>
          <w:sz w:val="24"/>
          <w:szCs w:val="24"/>
          <w:lang w:bidi="ar-SA"/>
        </w:rPr>
        <w:instrText>ADDIN CSL_CITATION {"citationItems":[{"id":"ITEM-1","itemData":{"DOI":"10.1002/anie.200904510","ISSN":"14337851","abstract":"Turning the motor off: A malachite green based assay leads to the identification of BTB-1 (see picture), the first small-molecule inhibitor of the mitotic motor protein Kif18A. BTB-1 reversibly inhibits the ATPase activity of the recombinant motor domain of Kif18A in vitro (see picture; red microtubules, blue/black structure = Kif18A) and will be a valuable tool to dissect the mechanochemical properties of Kif18A. © 2009 Wiley-VCH Verlag GmbH &amp; Co. KGaA.","author":[{"dropping-particle":"","family":"Catarinella","given":"Mario","non-dropping-particle":"","parse-names":false,"suffix":""},{"dropping-particle":"","family":"Grüner","given":"Tamara","non-dropping-particle":"","parse-names":false,"suffix":""},{"dropping-particle":"","family":"Strittmatter","given":"Tobias","non-dropping-particle":"","parse-names":false,"suffix":""},{"dropping-particle":"","family":"Marx","given":"Andreas","non-dropping-particle":"","parse-names":false,"suffix":""},{"dropping-particle":"","family":"Mayer","given":"Thomas U.","non-dropping-particle":"","parse-names":false,"suffix":""}],"container-title":"Angewandte Chemie - International Edition","id":"ITEM-1","issued":{"date-parts":[["2009"]]},"title":"BTB-1 A small molecule inhibitor of the mitotic motor protein kif18A","type":"article-journal"},"uris":["http://www.mendeley.com/documents/?uuid=7a7cd0a3-04d0-49d2-a024-aca99e1bffd0"]},{"id":"ITEM-2","itemData":{"DOI":"10.1021/cb500789h","ISSN":"15548937","abstract":"The mitotic spindle, a highly dynamic structure composed of microtubules, mediates the segregation of the previously duplicated genome into the two nascent daughter cells. Errors in this process contribute to pathology including tumor formation. Key for the shape and function of the mitotic spindle are kinesins, molecular motor proteins that convert chemical energy into mechanical work. Due to their fast mode of action, small molecules are valuable tools to dissect the dynamic functions of kinesins during mitosis. In this study, we report the identification of optimized small molecule inhibitors of the mitotic kinesin Kif18A. Using BTB-1, the first identified Kif18A inhibitor, as a lead compound, we synthesized a collection of derivatives. We demonstrate that some of the synthesized derivatives potently inhibited the ATPase activity of Kif18A with a half maximal inhibitory concentration (IC50) value in the low micromolar range. In vitro analysis of a panel of Kif18A-related kinesins revealed that the two most potent compounds show improved selectivity compared to BTB-1. Structure-activity relationship studies identified substituents mediating undesired inhibitory effects on microtubule polymerization. In summary, our study provides key insights into the mechanism of action of BTB-1 and its analogs, which will have a great impact on the further development of highly selective and bioactive Kif18A inhibitors. Since Kif18A is frequently overexpressed in solid tumors, such compounds are not only of great interest for basic research but also have the potential to open up new strategies for the treatment of human diseases.","author":[{"dropping-particle":"","family":"Braun","given":"Joachim","non-dropping-particle":"","parse-names":false,"suffix":""},{"dropping-particle":"","family":"Möckel","given":"Martin M.","non-dropping-particle":"","parse-names":false,"suffix":""},{"dropping-particle":"","family":"Strittmatter","given":"Tobias","non-dropping-particle":"","parse-names":false,"suffix":""},{"dropping-particle":"","family":"Marx","given":"Andreas","non-dropping-particle":"","parse-names":false,"suffix":""},{"dropping-particle":"","family":"Groth","given":"Ulrich","non-dropping-particle":"","parse-names":false,"suffix":""},{"dropping-particle":"","family":"Mayer","given":"Thomas U.","non-dropping-particle":"","parse-names":false,"suffix":""}],"container-title":"ACS Chemical Biology","id":"ITEM-2","issued":{"date-parts":[["2015"]]},"title":"Synthesis and biological evaluation of optimized inhibitors of the mitotic kinesin Kif18A","type":"article-journal"},"uris":["http://www.mendeley.com/documents/?uuid=80c037c9-2223-47eb-92cd-3efa82cf2224"]}],"mendeley":{"formattedCitation":"&lt;sup&gt;47,86&lt;/sup&gt;","plainTextFormattedCitation":"47,86","previouslyFormattedCitation":"&lt;sup&gt;48,86&lt;/sup&gt;"},"properties":{"noteIndex":0},"schema":"https://github.com/citation-style-language/schema/raw/master/csl-citation.json"}</w:instrText>
      </w:r>
      <w:r>
        <w:rPr>
          <w:rFonts w:ascii="Times New Roman" w:hAnsi="Times New Roman" w:cs="Times New Roman"/>
          <w:sz w:val="24"/>
          <w:szCs w:val="24"/>
          <w:lang w:bidi="ar-SA"/>
        </w:rPr>
        <w:fldChar w:fldCharType="separate"/>
      </w:r>
      <w:r w:rsidRPr="00070E8F">
        <w:rPr>
          <w:rFonts w:ascii="Times New Roman" w:hAnsi="Times New Roman" w:cs="Times New Roman"/>
          <w:noProof/>
          <w:sz w:val="24"/>
          <w:szCs w:val="24"/>
          <w:vertAlign w:val="superscript"/>
          <w:lang w:bidi="ar-SA"/>
        </w:rPr>
        <w:t>47,86</w:t>
      </w:r>
      <w:r>
        <w:rPr>
          <w:rFonts w:ascii="Times New Roman" w:hAnsi="Times New Roman" w:cs="Times New Roman"/>
          <w:sz w:val="24"/>
          <w:szCs w:val="24"/>
          <w:lang w:bidi="ar-SA"/>
        </w:rPr>
        <w:fldChar w:fldCharType="end"/>
      </w:r>
      <w:r>
        <w:rPr>
          <w:rFonts w:ascii="Times New Roman" w:hAnsi="Times New Roman" w:cs="Times New Roman"/>
          <w:sz w:val="24"/>
          <w:szCs w:val="24"/>
          <w:lang w:bidi="ar-SA"/>
        </w:rPr>
        <w:t>.</w:t>
      </w:r>
    </w:p>
    <w:p w:rsidR="001638EE" w:rsidRPr="001E4C69" w:rsidRDefault="001638EE" w:rsidP="001638EE">
      <w:pPr>
        <w:spacing w:after="160" w:line="259" w:lineRule="auto"/>
        <w:jc w:val="both"/>
        <w:rPr>
          <w:rFonts w:asciiTheme="majorBidi" w:hAnsiTheme="majorBidi" w:cstheme="majorBidi"/>
          <w:b/>
          <w:bCs/>
          <w:color w:val="auto"/>
          <w:sz w:val="24"/>
          <w:szCs w:val="24"/>
        </w:rPr>
      </w:pPr>
      <w:r w:rsidRPr="001E4C69">
        <w:rPr>
          <w:rFonts w:asciiTheme="majorBidi" w:hAnsiTheme="majorBidi" w:cstheme="majorBidi"/>
          <w:b/>
          <w:bCs/>
          <w:color w:val="auto"/>
          <w:sz w:val="24"/>
          <w:szCs w:val="24"/>
        </w:rPr>
        <w:t xml:space="preserve">Supplementary Note </w:t>
      </w:r>
      <w:r>
        <w:rPr>
          <w:rFonts w:asciiTheme="majorBidi" w:hAnsiTheme="majorBidi" w:cstheme="majorBidi"/>
          <w:b/>
          <w:bCs/>
          <w:color w:val="auto"/>
          <w:sz w:val="24"/>
          <w:szCs w:val="24"/>
        </w:rPr>
        <w:t>14</w:t>
      </w:r>
      <w:r w:rsidRPr="001E4C69">
        <w:rPr>
          <w:rFonts w:asciiTheme="majorBidi" w:hAnsiTheme="majorBidi" w:cstheme="majorBidi"/>
          <w:b/>
          <w:bCs/>
          <w:color w:val="auto"/>
          <w:sz w:val="24"/>
          <w:szCs w:val="24"/>
        </w:rPr>
        <w:t>: Discussion of the link between the KIF18A and SAC dependencies</w:t>
      </w:r>
    </w:p>
    <w:p w:rsidR="001638EE" w:rsidRDefault="001638EE" w:rsidP="001638EE">
      <w:pPr>
        <w:spacing w:after="160"/>
        <w:jc w:val="both"/>
        <w:rPr>
          <w:rFonts w:asciiTheme="majorBidi" w:hAnsiTheme="majorBidi" w:cstheme="majorBidi"/>
          <w:color w:val="auto"/>
          <w:sz w:val="24"/>
          <w:szCs w:val="24"/>
        </w:rPr>
      </w:pPr>
      <w:r w:rsidRPr="001E4C69">
        <w:rPr>
          <w:rFonts w:asciiTheme="majorBidi" w:hAnsiTheme="majorBidi" w:cstheme="majorBidi"/>
          <w:color w:val="auto"/>
          <w:sz w:val="24"/>
          <w:szCs w:val="24"/>
        </w:rPr>
        <w:t>Perturbed activity of KIF18A can lead to altered microtubule structure and dynamics, as has been reported previously</w:t>
      </w:r>
      <w:r w:rsidRPr="001E4C69">
        <w:rPr>
          <w:rFonts w:ascii="Times New Roman" w:hAnsi="Times New Roman" w:cs="Times New Roman"/>
          <w:color w:val="auto"/>
          <w:sz w:val="24"/>
          <w:szCs w:val="24"/>
          <w:lang w:bidi="ar-SA"/>
        </w:rPr>
        <w:fldChar w:fldCharType="begin" w:fldLock="1"/>
      </w:r>
      <w:r>
        <w:rPr>
          <w:rFonts w:ascii="Times New Roman" w:hAnsi="Times New Roman" w:cs="Times New Roman"/>
          <w:color w:val="auto"/>
          <w:sz w:val="24"/>
          <w:szCs w:val="24"/>
          <w:lang w:bidi="ar-SA"/>
        </w:rPr>
        <w:instrText>ADDIN CSL_CITATION {"citationItems":[{"id":"ITEM-1","itemData":{"DOI":"10.1016/j.cub.2011.08.005","ISSN":"09609822","abstract":"The mitotic spindle is a macromolecular structure utilized to properly align and segregate sister chromatids to two daughter cells. During mitosis, the spindle maintains a constant length, even though the spindle microtubules (MTs) are constantly undergoing polymerization and depolymerization [1]. Members of the kinesin-8 family are important for the regulation of spindle length and for chromosome positioning [2-9]. Kinesin-8 proteins are length-specific, plus-end-directed motors that are proposed to be either MT depolymerases [3, 4, 8, 10, 11] or MT capping proteins [12]. How Kif18A uses its destabilization activity to control spindle morphology is not known. We found that Kif18A controls spindle length independently of its role in chromosome positioning. The ability of Kif18A to control spindle length is mediated by an ATP-independent MT binding site at the C-terminal end of the Kif18A tail that has a strong affinity for MTs in vitro and in cells. We used computational modeling to ask how modulating the motility or binding properties of Kif18A would affect its activity. Our modeling predicts that both fast motility and a low off rate from the MT end are important for Kif18A function. In addition, our studies provide new insight into how depolymerizing and capping enzymes can lead to MT destabilization. © 2011 Elsevier Ltd. All rights reserved.","author":[{"dropping-particle":"","family":"Weaver","given":"Lesley N.","non-dropping-particle":"","parse-names":false,"suffix":""},{"dropping-particle":"","family":"Ems-McClung","given":"Stephanie C.","non-dropping-particle":"","parse-names":false,"suffix":""},{"dropping-particle":"","family":"Stout","given":"Jane R.","non-dropping-particle":"","parse-names":false,"suffix":""},{"dropping-particle":"","family":"Leblanc","given":"Chantal","non-dropping-particle":"","parse-names":false,"suffix":""},{"dropping-particle":"","family":"Shaw","given":"Sidney L.","non-dropping-particle":"","parse-names":false,"suffix":""},{"dropping-particle":"","family":"Gardner","given":"Melissa K.","non-dropping-particle":"","parse-names":false,"suffix":""},{"dropping-particle":"","family":"Walczak","given":"Claire E.","non-dropping-particle":"","parse-names":false,"suffix":""}],"container-title":"Current Biology","id":"ITEM-1","issued":{"date-parts":[["2011"]]},"title":"Kif18A uses a microtubule binding site in the tail for plus-end localization and spindle length regulation","type":"article-journal"},"uris":["http://www.mendeley.com/documents/?uuid=e6d672bc-5adb-4bd7-9b82-532e51a585c5"]},{"id":"ITEM-2","itemData":{"DOI":"10.1016/j.ydbio.2015.03.011","ISSN":"1095564X","abstract":"Genome integrity in the developing germ line is strictly required for fecundity. In proliferating somatic cells and in germ cells, there are mitotic checkpoint mechanisms that ensure accurate chromosome segregation and euploidy. There is growing evidence of mitotic cell cycle components that are uniquely required in the germ line to ensure genome integrity. We previously showed that the primary phenotype of germ cell deficient 2 (gcd2) mutant mice is infertility due to germ cell depletion during embryogenesis. Here we show that the underlying mutation is a mis-sense mutation, R308K, in the motor domain of the kinesin-8 family member, KIF18A, a protein that is expressed in a variety of proliferative tissues and is a key regulator of chromosome alignment during mitosis. Despite the conservative nature of the mutation, we show that its functional consequences are equivalent to KIF18A deficiency in HeLa cells. We also show that somatic cells progress through mitosis, despite having chromosome alignment defects, while germ cells with similar chromosome alignment defects undergo mitotic arrest and apoptosis. Our data provide evidence for differential requirements for chromosome alignment in germ and somatic cells and show that Kif18a is one of a growing number of genes that are specifically required for cell cycle progression in proliferating germ cells.","author":[{"dropping-particle":"","family":"Czechanski","given":"Anne","non-dropping-particle":"","parse-names":false,"suffix":""},{"dropping-particle":"","family":"Kim","given":"Haein","non-dropping-particle":"","parse-names":false,"suffix":""},{"dropping-particle":"","family":"Byers","given":"Candice","non-dropping-particle":"","parse-names":false,"suffix":""},{"dropping-particle":"","family":"Greenstein","given":"Ian","non-dropping-particle":"","parse-names":false,"suffix":""},{"dropping-particle":"","family":"Stumpff","given":"Jason","non-dropping-particle":"","parse-names":false,"suffix":""},{"dropping-particle":"","family":"Reinholdt","given":"Laura G.","non-dropping-particle":"","parse-names":false,"suffix":""}],"container-title":"Developmental Biology","id":"ITEM-2","issued":{"date-parts":[["2015"]]},"title":"Kif18a is specifically required for mitotic progression during germ line development","type":"article-journal"},"uris":["http://www.mendeley.com/documents/?uuid=b7558d95-73fc-4595-8de8-526f86d3e74c"]}],"mendeley":{"formattedCitation":"&lt;sup&gt;42,43&lt;/sup&gt;","plainTextFormattedCitation":"42,43","previouslyFormattedCitation":"&lt;sup&gt;43,44&lt;/sup&gt;"},"properties":{"noteIndex":0},"schema":"https://github.com/citation-style-language/schema/raw/master/csl-citation.json"}</w:instrText>
      </w:r>
      <w:r w:rsidRPr="001E4C69">
        <w:rPr>
          <w:rFonts w:ascii="Times New Roman" w:hAnsi="Times New Roman" w:cs="Times New Roman"/>
          <w:color w:val="auto"/>
          <w:sz w:val="24"/>
          <w:szCs w:val="24"/>
          <w:lang w:bidi="ar-SA"/>
        </w:rPr>
        <w:fldChar w:fldCharType="separate"/>
      </w:r>
      <w:r w:rsidRPr="00070E8F">
        <w:rPr>
          <w:rFonts w:ascii="Times New Roman" w:hAnsi="Times New Roman" w:cs="Times New Roman"/>
          <w:noProof/>
          <w:color w:val="auto"/>
          <w:sz w:val="24"/>
          <w:szCs w:val="24"/>
          <w:vertAlign w:val="superscript"/>
          <w:lang w:bidi="ar-SA"/>
        </w:rPr>
        <w:t>42,43</w:t>
      </w:r>
      <w:r w:rsidRPr="001E4C69">
        <w:rPr>
          <w:rFonts w:ascii="Times New Roman" w:hAnsi="Times New Roman" w:cs="Times New Roman"/>
          <w:color w:val="auto"/>
          <w:sz w:val="24"/>
          <w:szCs w:val="24"/>
          <w:lang w:bidi="ar-SA"/>
        </w:rPr>
        <w:fldChar w:fldCharType="end"/>
      </w:r>
      <w:r w:rsidRPr="001E4C69">
        <w:rPr>
          <w:rFonts w:asciiTheme="majorBidi" w:hAnsiTheme="majorBidi" w:cstheme="majorBidi"/>
          <w:color w:val="auto"/>
          <w:sz w:val="24"/>
          <w:szCs w:val="24"/>
        </w:rPr>
        <w:t>. We observed similar spindle aberrations in aneuploid cells (</w:t>
      </w:r>
      <w:r w:rsidRPr="001E4C69">
        <w:rPr>
          <w:rFonts w:asciiTheme="majorBidi" w:hAnsiTheme="majorBidi" w:cstheme="majorBidi"/>
          <w:b/>
          <w:bCs/>
          <w:color w:val="auto"/>
          <w:sz w:val="24"/>
          <w:szCs w:val="24"/>
        </w:rPr>
        <w:t xml:space="preserve">Fig. </w:t>
      </w:r>
      <w:r>
        <w:rPr>
          <w:rFonts w:asciiTheme="majorBidi" w:hAnsiTheme="majorBidi" w:cstheme="majorBidi"/>
          <w:b/>
          <w:bCs/>
          <w:color w:val="auto"/>
          <w:sz w:val="24"/>
          <w:szCs w:val="24"/>
        </w:rPr>
        <w:t>4b</w:t>
      </w:r>
      <w:r w:rsidRPr="001E4C69">
        <w:rPr>
          <w:rFonts w:asciiTheme="majorBidi" w:hAnsiTheme="majorBidi" w:cstheme="majorBidi"/>
          <w:b/>
          <w:bCs/>
          <w:color w:val="auto"/>
          <w:sz w:val="24"/>
          <w:szCs w:val="24"/>
        </w:rPr>
        <w:t>-</w:t>
      </w:r>
      <w:r>
        <w:rPr>
          <w:rFonts w:asciiTheme="majorBidi" w:hAnsiTheme="majorBidi" w:cstheme="majorBidi"/>
          <w:b/>
          <w:bCs/>
          <w:color w:val="auto"/>
          <w:sz w:val="24"/>
          <w:szCs w:val="24"/>
        </w:rPr>
        <w:t>d</w:t>
      </w:r>
      <w:r w:rsidRPr="001E4C69">
        <w:rPr>
          <w:rFonts w:asciiTheme="majorBidi" w:hAnsiTheme="majorBidi" w:cstheme="majorBidi"/>
          <w:b/>
          <w:bCs/>
          <w:color w:val="auto"/>
          <w:sz w:val="24"/>
          <w:szCs w:val="24"/>
        </w:rPr>
        <w:t xml:space="preserve"> </w:t>
      </w:r>
      <w:r w:rsidRPr="001E4C69">
        <w:rPr>
          <w:rFonts w:asciiTheme="majorBidi" w:hAnsiTheme="majorBidi" w:cstheme="majorBidi"/>
          <w:color w:val="auto"/>
          <w:sz w:val="24"/>
          <w:szCs w:val="24"/>
        </w:rPr>
        <w:t>and</w:t>
      </w:r>
      <w:r w:rsidRPr="001E4C69">
        <w:rPr>
          <w:rFonts w:asciiTheme="majorBidi" w:hAnsiTheme="majorBidi" w:cstheme="majorBidi"/>
          <w:b/>
          <w:bCs/>
          <w:color w:val="auto"/>
          <w:sz w:val="24"/>
          <w:szCs w:val="24"/>
        </w:rPr>
        <w:t xml:space="preserve"> </w:t>
      </w:r>
      <w:r w:rsidRPr="001E4C69">
        <w:rPr>
          <w:rFonts w:ascii="Times New Roman" w:hAnsi="Times New Roman" w:cs="Times New Roman"/>
          <w:b/>
          <w:bCs/>
          <w:color w:val="auto"/>
          <w:sz w:val="24"/>
          <w:szCs w:val="24"/>
          <w:lang w:val="en-GB" w:bidi="ar-SA"/>
        </w:rPr>
        <w:t xml:space="preserve">Extended Data Fig. </w:t>
      </w:r>
      <w:r>
        <w:rPr>
          <w:rFonts w:ascii="Times New Roman" w:hAnsi="Times New Roman" w:cs="Times New Roman"/>
          <w:b/>
          <w:bCs/>
          <w:color w:val="auto"/>
          <w:sz w:val="24"/>
          <w:szCs w:val="24"/>
          <w:lang w:val="en-GB" w:bidi="ar-SA"/>
        </w:rPr>
        <w:t>9</w:t>
      </w:r>
      <w:proofErr w:type="gramStart"/>
      <w:r>
        <w:rPr>
          <w:rFonts w:ascii="Times New Roman" w:hAnsi="Times New Roman" w:cs="Times New Roman"/>
          <w:b/>
          <w:bCs/>
          <w:color w:val="auto"/>
          <w:sz w:val="24"/>
          <w:szCs w:val="24"/>
          <w:lang w:val="en-GB" w:bidi="ar-SA"/>
        </w:rPr>
        <w:t>d,e</w:t>
      </w:r>
      <w:proofErr w:type="gramEnd"/>
      <w:r w:rsidRPr="001E4C69">
        <w:rPr>
          <w:rFonts w:asciiTheme="majorBidi" w:hAnsiTheme="majorBidi" w:cstheme="majorBidi"/>
          <w:color w:val="auto"/>
          <w:sz w:val="24"/>
          <w:szCs w:val="24"/>
        </w:rPr>
        <w:t xml:space="preserve">). The aberrant spindle could underlie the error-prone mitoses that are </w:t>
      </w:r>
      <w:r w:rsidRPr="001E4C69">
        <w:rPr>
          <w:rFonts w:asciiTheme="majorBidi" w:hAnsiTheme="majorBidi" w:cstheme="majorBidi"/>
          <w:color w:val="auto"/>
          <w:sz w:val="24"/>
          <w:szCs w:val="24"/>
        </w:rPr>
        <w:lastRenderedPageBreak/>
        <w:t xml:space="preserve">observed in the aneuploid cells following </w:t>
      </w:r>
      <w:proofErr w:type="spellStart"/>
      <w:r>
        <w:rPr>
          <w:rFonts w:asciiTheme="majorBidi" w:hAnsiTheme="majorBidi" w:cstheme="majorBidi"/>
          <w:color w:val="auto"/>
          <w:sz w:val="24"/>
          <w:szCs w:val="24"/>
        </w:rPr>
        <w:t>SACi</w:t>
      </w:r>
      <w:proofErr w:type="spellEnd"/>
      <w:r>
        <w:rPr>
          <w:rFonts w:asciiTheme="majorBidi" w:hAnsiTheme="majorBidi" w:cstheme="majorBidi"/>
          <w:color w:val="auto"/>
          <w:sz w:val="24"/>
          <w:szCs w:val="24"/>
        </w:rPr>
        <w:t>, and</w:t>
      </w:r>
      <w:r w:rsidRPr="001E4C69">
        <w:rPr>
          <w:rFonts w:asciiTheme="majorBidi" w:hAnsiTheme="majorBidi" w:cstheme="majorBidi"/>
          <w:color w:val="auto"/>
          <w:sz w:val="24"/>
          <w:szCs w:val="24"/>
        </w:rPr>
        <w:t xml:space="preserve"> their increased sensitivity to </w:t>
      </w:r>
      <w:proofErr w:type="spellStart"/>
      <w:r>
        <w:rPr>
          <w:rFonts w:asciiTheme="majorBidi" w:hAnsiTheme="majorBidi" w:cstheme="majorBidi"/>
          <w:color w:val="auto"/>
          <w:sz w:val="24"/>
          <w:szCs w:val="24"/>
        </w:rPr>
        <w:t>SACi</w:t>
      </w:r>
      <w:proofErr w:type="spellEnd"/>
      <w:r w:rsidRPr="001E4C69">
        <w:rPr>
          <w:rFonts w:asciiTheme="majorBidi" w:hAnsiTheme="majorBidi" w:cstheme="majorBidi"/>
          <w:color w:val="auto"/>
          <w:sz w:val="24"/>
          <w:szCs w:val="24"/>
        </w:rPr>
        <w:t xml:space="preserve">. </w:t>
      </w:r>
      <w:r w:rsidRPr="006D24F7">
        <w:rPr>
          <w:rFonts w:asciiTheme="majorBidi" w:hAnsiTheme="majorBidi" w:cstheme="majorBidi"/>
          <w:color w:val="auto"/>
          <w:sz w:val="24"/>
          <w:szCs w:val="24"/>
        </w:rPr>
        <w:t xml:space="preserve">Furthermore, both KIF18A and SAC perturbation force cells to enter anaphase with unaligned chromosomes, but the kinetics of the downstream response to these two insults is different – in the presence of </w:t>
      </w:r>
      <w:proofErr w:type="spellStart"/>
      <w:r>
        <w:rPr>
          <w:rFonts w:asciiTheme="majorBidi" w:hAnsiTheme="majorBidi" w:cstheme="majorBidi"/>
          <w:color w:val="auto"/>
          <w:sz w:val="24"/>
          <w:szCs w:val="24"/>
        </w:rPr>
        <w:t>SACi</w:t>
      </w:r>
      <w:proofErr w:type="spellEnd"/>
      <w:r w:rsidRPr="006D24F7">
        <w:rPr>
          <w:rFonts w:asciiTheme="majorBidi" w:hAnsiTheme="majorBidi" w:cstheme="majorBidi"/>
          <w:color w:val="auto"/>
          <w:sz w:val="24"/>
          <w:szCs w:val="24"/>
        </w:rPr>
        <w:t xml:space="preserve"> the cells keep proliferating for a while, whereas in the presence of KIF18A perturbation they slow down due to checkpoint activation</w:t>
      </w:r>
      <w:r>
        <w:rPr>
          <w:rFonts w:asciiTheme="majorBidi" w:hAnsiTheme="majorBidi" w:cstheme="majorBidi"/>
          <w:color w:val="auto"/>
          <w:sz w:val="24"/>
          <w:szCs w:val="24"/>
        </w:rPr>
        <w:fldChar w:fldCharType="begin" w:fldLock="1"/>
      </w:r>
      <w:r>
        <w:rPr>
          <w:rFonts w:asciiTheme="majorBidi" w:hAnsiTheme="majorBidi" w:cstheme="majorBidi"/>
          <w:color w:val="auto"/>
          <w:sz w:val="24"/>
          <w:szCs w:val="24"/>
        </w:rPr>
        <w:instrText>ADDIN CSL_CITATION {"citationItems":[{"id":"ITEM-1","itemData":{"DOI":"10.1083/jcb.201807228","ISSN":"15408140","PMID":"30733233","abstract":"Chromosome alignment at the equator of the mitotic spindle is a highly conserved step during cell division; however, its importance to genomic stability and cellular fitness is not understood. Normal mammalian somatic cells lacking KIF18A function complete cell division without aligning chromosomes. These alignment-deficient cells display normal chromosome copy numbers in vitro and in vivo, suggesting that chromosome alignment is largely dispensable for maintenance of euploidy. However, we find that loss of chromosome alignment leads to interchromosomal compaction defects during anaphase, abnormal organization of chromosomes into a single nucleus at mitotic exit, and the formation of micronuclei in vitro and in vivo. These defects slow cell proliferation and are associated with impaired postnatal growth and survival in mice. Our studies support a model in which the alignment of mitotic chromosomes promotes proper organization of chromosomes into a single nucleus and continued proliferation by ensuring that chromosomes segregate as a compact mass during anaphase.","author":[{"dropping-particle":"","family":"Fonseca","given":"Cindy L.","non-dropping-particle":"","parse-names":false,"suffix":""},{"dropping-particle":"","family":"Malaby","given":"Heidi L.H.","non-dropping-particle":"","parse-names":false,"suffix":""},{"dropping-particle":"","family":"Sepaniac","given":"Leslie A.","non-dropping-particle":"","parse-names":false,"suffix":""},{"dropping-particle":"","family":"Martin","given":"Whitney","non-dropping-particle":"","parse-names":false,"suffix":""},{"dropping-particle":"","family":"Byers","given":"Candice","non-dropping-particle":"","parse-names":false,"suffix":""},{"dropping-particle":"","family":"Czechanski","given":"Anne","non-dropping-particle":"","parse-names":false,"suffix":""},{"dropping-particle":"","family":"Messinger","given":"Dana","non-dropping-particle":"","parse-names":false,"suffix":""},{"dropping-particle":"","family":"Tang","given":"Mary","non-dropping-particle":"","parse-names":false,"suffix":""},{"dropping-particle":"","family":"Ohi","given":"Ryoma","non-dropping-particle":"","parse-names":false,"suffix":""},{"dropping-particle":"","family":"Reinholdt","given":"Laura G.","non-dropping-particle":"","parse-names":false,"suffix":""},{"dropping-particle":"","family":"Stumpff","given":"Jason","non-dropping-particle":"","parse-names":false,"suffix":""}],"container-title":"Journal of Cell Biology","id":"ITEM-1","issued":{"date-parts":[["2019"]]},"title":"Mitotic chromosome alignment ensures mitotic fidelity by promoting interchromosomal compaction during anaphase","type":"article-journal"},"uris":["http://www.mendeley.com/documents/?uuid=3432a36b-d9d1-4f2b-83db-05088bccab99"]}],"mendeley":{"formattedCitation":"&lt;sup&gt;87&lt;/sup&gt;","plainTextFormattedCitation":"87","previouslyFormattedCitation":"&lt;sup&gt;87&lt;/sup&gt;"},"properties":{"noteIndex":0},"schema":"https://github.com/citation-style-language/schema/raw/master/csl-citation.json"}</w:instrText>
      </w:r>
      <w:r>
        <w:rPr>
          <w:rFonts w:asciiTheme="majorBidi" w:hAnsiTheme="majorBidi" w:cstheme="majorBidi"/>
          <w:color w:val="auto"/>
          <w:sz w:val="24"/>
          <w:szCs w:val="24"/>
        </w:rPr>
        <w:fldChar w:fldCharType="separate"/>
      </w:r>
      <w:r w:rsidRPr="00190AC3">
        <w:rPr>
          <w:rFonts w:asciiTheme="majorBidi" w:hAnsiTheme="majorBidi" w:cstheme="majorBidi"/>
          <w:noProof/>
          <w:color w:val="auto"/>
          <w:sz w:val="24"/>
          <w:szCs w:val="24"/>
          <w:vertAlign w:val="superscript"/>
        </w:rPr>
        <w:t>87</w:t>
      </w:r>
      <w:r>
        <w:rPr>
          <w:rFonts w:asciiTheme="majorBidi" w:hAnsiTheme="majorBidi" w:cstheme="majorBidi"/>
          <w:color w:val="auto"/>
          <w:sz w:val="24"/>
          <w:szCs w:val="24"/>
        </w:rPr>
        <w:fldChar w:fldCharType="end"/>
      </w:r>
      <w:r w:rsidRPr="006D24F7">
        <w:rPr>
          <w:rFonts w:asciiTheme="majorBidi" w:hAnsiTheme="majorBidi" w:cstheme="majorBidi"/>
          <w:color w:val="auto"/>
          <w:sz w:val="24"/>
          <w:szCs w:val="24"/>
        </w:rPr>
        <w:t xml:space="preserve">. The common phenotype of unaligned chromosomes at anaphase onset is therefore another connection between the two findings. </w:t>
      </w:r>
      <w:r w:rsidRPr="001E4C69">
        <w:rPr>
          <w:rFonts w:asciiTheme="majorBidi" w:hAnsiTheme="majorBidi" w:cstheme="majorBidi"/>
          <w:color w:val="auto"/>
          <w:sz w:val="24"/>
          <w:szCs w:val="24"/>
        </w:rPr>
        <w:t xml:space="preserve">Importantly, while the current study only begins to elucidate the mechanistic link(s) between the sensitivity to KIF18A depletion and to </w:t>
      </w:r>
      <w:proofErr w:type="spellStart"/>
      <w:r>
        <w:rPr>
          <w:rFonts w:asciiTheme="majorBidi" w:hAnsiTheme="majorBidi" w:cstheme="majorBidi"/>
          <w:color w:val="auto"/>
          <w:sz w:val="24"/>
          <w:szCs w:val="24"/>
        </w:rPr>
        <w:t>SACi</w:t>
      </w:r>
      <w:proofErr w:type="spellEnd"/>
      <w:r w:rsidRPr="001E4C69">
        <w:rPr>
          <w:rFonts w:asciiTheme="majorBidi" w:hAnsiTheme="majorBidi" w:cstheme="majorBidi"/>
          <w:color w:val="auto"/>
          <w:sz w:val="24"/>
          <w:szCs w:val="24"/>
        </w:rPr>
        <w:t>, we provide functional evidence that the two are indeed connected – overexpression of KIF18A “rescues” the SAC sensitivity phenotype (</w:t>
      </w:r>
      <w:r w:rsidRPr="001E4C69">
        <w:rPr>
          <w:rFonts w:asciiTheme="majorBidi" w:hAnsiTheme="majorBidi" w:cstheme="majorBidi"/>
          <w:b/>
          <w:bCs/>
          <w:color w:val="auto"/>
          <w:sz w:val="24"/>
          <w:szCs w:val="24"/>
        </w:rPr>
        <w:t xml:space="preserve">Fig. </w:t>
      </w:r>
      <w:r>
        <w:rPr>
          <w:rFonts w:asciiTheme="majorBidi" w:hAnsiTheme="majorBidi" w:cstheme="majorBidi"/>
          <w:b/>
          <w:bCs/>
          <w:color w:val="auto"/>
          <w:sz w:val="24"/>
          <w:szCs w:val="24"/>
        </w:rPr>
        <w:t>4j</w:t>
      </w:r>
      <w:r>
        <w:rPr>
          <w:rFonts w:asciiTheme="majorBidi" w:hAnsiTheme="majorBidi" w:cstheme="majorBidi"/>
          <w:color w:val="auto"/>
          <w:sz w:val="24"/>
          <w:szCs w:val="24"/>
        </w:rPr>
        <w:t xml:space="preserve"> and </w:t>
      </w:r>
      <w:r w:rsidRPr="00350F95">
        <w:rPr>
          <w:rFonts w:asciiTheme="majorBidi" w:hAnsiTheme="majorBidi" w:cstheme="majorBidi"/>
          <w:b/>
          <w:bCs/>
          <w:color w:val="auto"/>
          <w:sz w:val="24"/>
          <w:szCs w:val="24"/>
        </w:rPr>
        <w:t>Extended Data Fig. 9r</w:t>
      </w:r>
      <w:r w:rsidRPr="001E4C69">
        <w:rPr>
          <w:rFonts w:asciiTheme="majorBidi" w:hAnsiTheme="majorBidi" w:cstheme="majorBidi"/>
          <w:color w:val="auto"/>
          <w:sz w:val="24"/>
          <w:szCs w:val="24"/>
        </w:rPr>
        <w:t>).</w:t>
      </w:r>
    </w:p>
    <w:p w:rsidR="001638EE" w:rsidRPr="00350F95" w:rsidRDefault="001638EE" w:rsidP="001638EE">
      <w:pPr>
        <w:jc w:val="both"/>
        <w:rPr>
          <w:rFonts w:asciiTheme="majorBidi" w:hAnsiTheme="majorBidi" w:cstheme="majorBidi"/>
          <w:sz w:val="24"/>
          <w:szCs w:val="24"/>
        </w:rPr>
      </w:pPr>
      <w:r>
        <w:rPr>
          <w:rFonts w:ascii="Times New Roman" w:hAnsi="Times New Roman" w:cs="Times New Roman"/>
          <w:sz w:val="24"/>
          <w:szCs w:val="24"/>
          <w:lang w:bidi="ar-SA"/>
        </w:rPr>
        <w:t xml:space="preserve">In line with our results, a recent study reported that altering microtubule polymerization rates synergized with </w:t>
      </w:r>
      <w:proofErr w:type="spellStart"/>
      <w:r>
        <w:rPr>
          <w:rFonts w:ascii="Times New Roman" w:hAnsi="Times New Roman" w:cs="Times New Roman"/>
          <w:sz w:val="24"/>
          <w:szCs w:val="24"/>
          <w:lang w:bidi="ar-SA"/>
        </w:rPr>
        <w:t>SACi</w:t>
      </w:r>
      <w:proofErr w:type="spellEnd"/>
      <w:r>
        <w:rPr>
          <w:rFonts w:ascii="Times New Roman" w:hAnsi="Times New Roman" w:cs="Times New Roman"/>
          <w:sz w:val="24"/>
          <w:szCs w:val="24"/>
          <w:lang w:bidi="ar-SA"/>
        </w:rPr>
        <w:t xml:space="preserve"> in blocking cell proliferation</w:t>
      </w:r>
      <w:r>
        <w:rPr>
          <w:rFonts w:ascii="Times New Roman" w:hAnsi="Times New Roman" w:cs="Times New Roman"/>
          <w:sz w:val="24"/>
          <w:szCs w:val="24"/>
          <w:lang w:bidi="ar-SA"/>
        </w:rPr>
        <w:fldChar w:fldCharType="begin" w:fldLock="1"/>
      </w:r>
      <w:r>
        <w:rPr>
          <w:rFonts w:ascii="Times New Roman" w:hAnsi="Times New Roman" w:cs="Times New Roman"/>
          <w:sz w:val="24"/>
          <w:szCs w:val="24"/>
          <w:lang w:bidi="ar-SA"/>
        </w:rPr>
        <w:instrText>ADDIN CSL_CITATION {"citationItems":[{"id":"ITEM-1","itemData":{"abstract":"Chromosome instability (CIN) and aneuploidy are hallmarks of cancer. As the majority of cancers are aneuploid, targeting aneuploidy or CIN may be an effective way to target a broad spectrum of cancers. Here, we perform two small molecule compound screens to identify drugs that selectively target cells that are aneuploid or exhibit a CIN phenotype. We find that aneuploid cells are much more sensitive to the energy metabolism regulating drug ZLN005 than their euploid counterparts. Furthermore, cells with an ongoing CIN phenotype, induced by spindle assembly checkpoint (SAC) alleviation, are significantly more sensitive to the Src kinase inhibitor SKI606. We show that inhibiting Src kinase increases microtubule polymerization rates and, more generally, that deregulating microtubule polymerization rates is particularly toxic to cells with a defective SAC. Our findings therefore suggest that tumors with a dysfunctional SAC are particularly sensitive to microtubule poisons and, vice versa, that compounds alleviating the SAC provide a powerful means to treat tumors with deregulated microtubule dynamics.","author":[{"dropping-particle":"","family":"Schukken","given":"Klaske M.","non-dropping-particle":"","parse-names":false,"suffix":""},{"dropping-particle":"","family":"Lin","given":"Yu-Chih","non-dropping-particle":"","parse-names":false,"suffix":""},{"dropping-particle":"","family":"Bakker","given":"PL","non-dropping-particle":"","parse-names":false,"suffix":""},{"dropping-particle":"","family":"Schubert","given":"Michael","non-dropping-particle":"","parse-names":false,"suffix":""},{"dropping-particle":"","family":"Preuss","given":"Stephanie F.","non-dropping-particle":"","parse-names":false,"suffix":""},{"dropping-particle":"","family":"Simon","given":"Judith E.","non-dropping-particle":"","parse-names":false,"suffix":""},{"dropping-particle":"van den","family":"Bos","given":"Hilda","non-dropping-particle":"","parse-names":false,"suffix":""},{"dropping-particle":"","family":"Storchova","given":"Zuzana","non-dropping-particle":"","parse-names":false,"suffix":""},{"dropping-particle":"","family":"Colome-Tatche","given":"Maria","non-dropping-particle":"","parse-names":false,"suffix":""},{"dropping-particle":"","family":"Bastians","given":"Holger","non-dropping-particle":"","parse-names":false,"suffix":""},{"dropping-particle":"","family":"Spierings","given":"Diana C.J.","non-dropping-particle":"","parse-names":false,"suffix":""},{"dropping-particle":"","family":"Foijer","given":"Floris","non-dropping-particle":"","parse-names":false,"suffix":""}],"container-title":"Life Science Alliance","id":"ITEM-1","issued":{"date-parts":[["2020"]]},"title":"Altering microtubule dynamics is synergistically toxic with spindle assembly checkpoint inhibition","type":"article-journal"},"uris":["http://www.mendeley.com/documents/?uuid=3f41c7b9-6db6-42fa-a337-f0006d9077db"]}],"mendeley":{"formattedCitation":"&lt;sup&gt;88&lt;/sup&gt;","plainTextFormattedCitation":"88","previouslyFormattedCitation":"&lt;sup&gt;88&lt;/sup&gt;"},"properties":{"noteIndex":0},"schema":"https://github.com/citation-style-language/schema/raw/master/csl-citation.json"}</w:instrText>
      </w:r>
      <w:r>
        <w:rPr>
          <w:rFonts w:ascii="Times New Roman" w:hAnsi="Times New Roman" w:cs="Times New Roman"/>
          <w:sz w:val="24"/>
          <w:szCs w:val="24"/>
          <w:lang w:bidi="ar-SA"/>
        </w:rPr>
        <w:fldChar w:fldCharType="separate"/>
      </w:r>
      <w:r w:rsidRPr="00190AC3">
        <w:rPr>
          <w:rFonts w:ascii="Times New Roman" w:hAnsi="Times New Roman" w:cs="Times New Roman"/>
          <w:noProof/>
          <w:sz w:val="24"/>
          <w:szCs w:val="24"/>
          <w:vertAlign w:val="superscript"/>
          <w:lang w:bidi="ar-SA"/>
        </w:rPr>
        <w:t>88</w:t>
      </w:r>
      <w:r>
        <w:rPr>
          <w:rFonts w:ascii="Times New Roman" w:hAnsi="Times New Roman" w:cs="Times New Roman"/>
          <w:sz w:val="24"/>
          <w:szCs w:val="24"/>
          <w:lang w:bidi="ar-SA"/>
        </w:rPr>
        <w:fldChar w:fldCharType="end"/>
      </w:r>
      <w:r w:rsidRPr="00D40D59">
        <w:rPr>
          <w:rFonts w:asciiTheme="majorBidi" w:hAnsiTheme="majorBidi" w:cstheme="majorBidi"/>
          <w:color w:val="auto"/>
          <w:sz w:val="24"/>
          <w:szCs w:val="24"/>
          <w:lang w:bidi="ar-SA"/>
        </w:rPr>
        <w:t xml:space="preserve">, </w:t>
      </w:r>
      <w:r w:rsidRPr="00D40D59">
        <w:rPr>
          <w:rFonts w:asciiTheme="majorBidi" w:hAnsiTheme="majorBidi" w:cstheme="majorBidi"/>
          <w:color w:val="auto"/>
          <w:sz w:val="24"/>
          <w:szCs w:val="24"/>
        </w:rPr>
        <w:t>and a</w:t>
      </w:r>
      <w:r>
        <w:rPr>
          <w:rFonts w:asciiTheme="majorBidi" w:hAnsiTheme="majorBidi" w:cstheme="majorBidi"/>
          <w:color w:val="auto"/>
          <w:sz w:val="24"/>
          <w:szCs w:val="24"/>
        </w:rPr>
        <w:t>nother</w:t>
      </w:r>
      <w:r w:rsidRPr="00D40D59">
        <w:rPr>
          <w:rFonts w:asciiTheme="majorBidi" w:hAnsiTheme="majorBidi" w:cstheme="majorBidi"/>
          <w:color w:val="auto"/>
          <w:sz w:val="24"/>
          <w:szCs w:val="24"/>
        </w:rPr>
        <w:t xml:space="preserve"> study indicates that loss of KIF18A activity leads to extended mitotic delays, multipolar spindles, and reduced proliferation in aneuploid cells</w:t>
      </w:r>
      <w:r>
        <w:rPr>
          <w:rFonts w:asciiTheme="majorBidi" w:hAnsiTheme="majorBidi" w:cstheme="majorBidi"/>
          <w:color w:val="auto"/>
          <w:sz w:val="24"/>
          <w:szCs w:val="24"/>
        </w:rPr>
        <w:fldChar w:fldCharType="begin" w:fldLock="1"/>
      </w:r>
      <w:r>
        <w:rPr>
          <w:rFonts w:asciiTheme="majorBidi" w:hAnsiTheme="majorBidi" w:cstheme="majorBidi"/>
          <w:color w:val="auto"/>
          <w:sz w:val="24"/>
          <w:szCs w:val="24"/>
        </w:rPr>
        <w:instrText>ADDIN CSL_CITATION {"citationItems":[{"id":"ITEM-1","itemData":{"DOI":"10.1101/2020.06.18.159327","abstract":"Chromosomal instability (CIN), characterized by frequent missegregation of chromosomes during mitosis, is a hallmark of tumor cells caused by changes in the dynamics and control of microtubules that comprise the mitotic spindle1–3. Thus, CIN tumor cells may respond differently than normal diploid cells to treatments that target mitotic spindle regulation. We tested this idea by inhibiting a subset of kinesin motor proteins that control spindle microtubule dynamics and mechanics but are not required for the proliferation of near-diploid cells. Our results indicate that KIF18A is required for proliferation of CIN cells derived from triple negative breast cancer or colorectal cancer tumors but not normal breast epithelial cells or near-diploid colorectal cancer cells exhibiting microsatellite instability. CIN tumor cells exhibit mitotic delays, multipolar spindles due to centrosome fragmentation, and increased cell death following inhibition of KIF18A. These mitotic defects were further enhanced by increasing the activity of the microtubule depolymerizing kinesin KIF2C/MCAK and are reminiscent of the phenotypes that result from clinically relevant doses of the chemotherapeutic drug paclitaxel4. Our results indicate that the altered spindle microtubule dynamics characteristic of CIN tumor cells can be exploited to reduce their proliferative capacity.Competing Interest StatementThe authors have declared no competing interest.","author":[{"dropping-particle":"","family":"Marquis","given":"Carolyn","non-dropping-particle":"","parse-names":false,"suffix":""},{"dropping-particle":"","family":"Fonseca","given":"Cindy L","non-dropping-particle":"","parse-names":false,"suffix":""},{"dropping-particle":"","family":"Wood","given":"Lisa","non-dropping-particle":"","parse-names":false,"suffix":""},{"dropping-particle":"","family":"Malaby","given":"Heidi L H","non-dropping-particle":"","parse-names":false,"suffix":""},{"dropping-particle":"","family":"Clayton","given":"Joseph E","non-dropping-particle":"","parse-names":false,"suffix":""},{"dropping-particle":"","family":"Stumpff","given":"Jason","non-dropping-particle":"","parse-names":false,"suffix":""}],"container-title":"bioRxiv","id":"ITEM-1","issued":{"date-parts":[["2020","1","1"]]},"page":"2020.06.18.159327","title":"Chromosomally unstable tumor cells specifically require KIF18A for proliferation","type":"article-journal"},"uris":["http://www.mendeley.com/documents/?uuid=134f958c-7d56-411c-8b03-d872c1fa0e17"]}],"mendeley":{"formattedCitation":"&lt;sup&gt;45&lt;/sup&gt;","plainTextFormattedCitation":"45","previouslyFormattedCitation":"&lt;sup&gt;46&lt;/sup&gt;"},"properties":{"noteIndex":0},"schema":"https://github.com/citation-style-language/schema/raw/master/csl-citation.json"}</w:instrText>
      </w:r>
      <w:r>
        <w:rPr>
          <w:rFonts w:asciiTheme="majorBidi" w:hAnsiTheme="majorBidi" w:cstheme="majorBidi"/>
          <w:color w:val="auto"/>
          <w:sz w:val="24"/>
          <w:szCs w:val="24"/>
        </w:rPr>
        <w:fldChar w:fldCharType="separate"/>
      </w:r>
      <w:r w:rsidRPr="00070E8F">
        <w:rPr>
          <w:rFonts w:asciiTheme="majorBidi" w:hAnsiTheme="majorBidi" w:cstheme="majorBidi"/>
          <w:noProof/>
          <w:color w:val="auto"/>
          <w:sz w:val="24"/>
          <w:szCs w:val="24"/>
          <w:vertAlign w:val="superscript"/>
        </w:rPr>
        <w:t>45</w:t>
      </w:r>
      <w:r>
        <w:rPr>
          <w:rFonts w:asciiTheme="majorBidi" w:hAnsiTheme="majorBidi" w:cstheme="majorBidi"/>
          <w:color w:val="auto"/>
          <w:sz w:val="24"/>
          <w:szCs w:val="24"/>
        </w:rPr>
        <w:fldChar w:fldCharType="end"/>
      </w:r>
      <w:r w:rsidRPr="00D40D59">
        <w:rPr>
          <w:rFonts w:asciiTheme="majorBidi" w:hAnsiTheme="majorBidi" w:cstheme="majorBidi"/>
          <w:color w:val="auto"/>
          <w:sz w:val="24"/>
          <w:szCs w:val="24"/>
          <w:lang w:bidi="ar-SA"/>
        </w:rPr>
        <w:t>.</w:t>
      </w:r>
      <w:r w:rsidRPr="00D40D59">
        <w:rPr>
          <w:rFonts w:ascii="Times New Roman" w:hAnsi="Times New Roman" w:cs="Times New Roman"/>
          <w:color w:val="auto"/>
          <w:sz w:val="24"/>
          <w:szCs w:val="24"/>
          <w:lang w:bidi="ar-SA"/>
        </w:rPr>
        <w:t xml:space="preserve"> </w:t>
      </w:r>
      <w:r>
        <w:rPr>
          <w:rFonts w:ascii="Times New Roman" w:hAnsi="Times New Roman" w:cs="Times New Roman"/>
          <w:color w:val="auto"/>
          <w:sz w:val="24"/>
          <w:szCs w:val="24"/>
          <w:lang w:bidi="ar-SA"/>
        </w:rPr>
        <w:t>Similar results have now been reported in cell lines that have undergone WGD, and are almost invariably aneuploid, suggesting that the increase in chromosome number alters the spindle structure and dynamics, rendering the cells more sensitive to perturbations of both KIF18A and the SAC</w:t>
      </w:r>
      <w:r>
        <w:rPr>
          <w:rFonts w:ascii="Times New Roman" w:hAnsi="Times New Roman" w:cs="Times New Roman"/>
          <w:color w:val="auto"/>
          <w:sz w:val="24"/>
          <w:szCs w:val="24"/>
          <w:lang w:bidi="ar-SA"/>
        </w:rPr>
        <w:fldChar w:fldCharType="begin" w:fldLock="1"/>
      </w:r>
      <w:r>
        <w:rPr>
          <w:rFonts w:ascii="Times New Roman" w:hAnsi="Times New Roman" w:cs="Times New Roman"/>
          <w:color w:val="auto"/>
          <w:sz w:val="24"/>
          <w:szCs w:val="24"/>
          <w:lang w:bidi="ar-SA"/>
        </w:rPr>
        <w:instrText xml:space="preserve">ADDIN CSL_CITATION {"citationItems":[{"id":"ITEM-1","itemData":{"DOI":"10.1101/2020.06.18.159095","abstract":"Whole genome doubling (WGD) occurs early in tumorigenesis and generates genetically unstable tetraploid cells that fuel tumor development. Cells that undergo WGD (WGD+) must adapt to accommodate their abnormal tetraploid state; however, the nature of these adaptations, and whether they confer vulnerabilities that can subsequently be exploited therapeutically, is unclear. Using sequencing data from </w:instrText>
      </w:r>
      <w:r>
        <w:rPr>
          <w:rFonts w:ascii="Cambria Math" w:hAnsi="Cambria Math" w:cs="Cambria Math"/>
          <w:color w:val="auto"/>
          <w:sz w:val="24"/>
          <w:szCs w:val="24"/>
          <w:lang w:bidi="ar-SA"/>
        </w:rPr>
        <w:instrText>∼</w:instrText>
      </w:r>
      <w:r>
        <w:rPr>
          <w:rFonts w:ascii="Times New Roman" w:hAnsi="Times New Roman" w:cs="Times New Roman"/>
          <w:color w:val="auto"/>
          <w:sz w:val="24"/>
          <w:szCs w:val="24"/>
          <w:lang w:bidi="ar-SA"/>
        </w:rPr>
        <w:instrText xml:space="preserve">10,000 primary human cancer samples and essentiality data from </w:instrText>
      </w:r>
      <w:r>
        <w:rPr>
          <w:rFonts w:ascii="Cambria Math" w:hAnsi="Cambria Math" w:cs="Cambria Math"/>
          <w:color w:val="auto"/>
          <w:sz w:val="24"/>
          <w:szCs w:val="24"/>
          <w:lang w:bidi="ar-SA"/>
        </w:rPr>
        <w:instrText>∼</w:instrText>
      </w:r>
      <w:r>
        <w:rPr>
          <w:rFonts w:ascii="Times New Roman" w:hAnsi="Times New Roman" w:cs="Times New Roman"/>
          <w:color w:val="auto"/>
          <w:sz w:val="24"/>
          <w:szCs w:val="24"/>
          <w:lang w:bidi="ar-SA"/>
        </w:rPr>
        <w:instrText>600 cancer cell lines, we show that WGD gives rise to common genetic traits that are accompanied by unique vulnerabilities. We reveal that WGD+ cells are more dependent on spindle assembly checkpoint signaling, DNA replication factors, and proteasome function than WGD− cells. We also identify KIF18A, which encodes for a mitotic kinesin, as being specifically required for the viability of WGD+ cells. While loss of KIF18A is largely dispensable for accurate chromosome segregation during mitosis in WGD− cells, its loss induces dramatic mitotic errors in WGD+ cells, ultimately impairing cell viability. Collectively, our results reveal new strategies to specifically target WGD+ cancer cells while sparing the normal, non-transformed WGD− cells that comprise human tissue.Competing Interest StatementThe authors have declared no competing interest.","author":[{"dropping-particle":"","family":"Quinton","given":"Ryan J","non-dropping-particle":"","parse-names":false,"suffix":""},{"dropping-particle":"","family":"DiDomizio","given":"Amanda","non-dropping-particle":"","parse-names":false,"suffix":""},{"dropping-particle":"","family":"Vittoria","given":"Marc A","non-dropping-particle":"","parse-names":false,"suffix":""},{"dropping-particle":"","family":"Ticas","given":"Carlos J","non-dropping-particle":"","parse-names":false,"suffix":""},{"dropping-particle":"","family":"Patel","given":"Sheena","non-dropping-particle":"","parse-names":false,"suffix":""},{"dropping-particle":"","family":"Koga","given":"Yusuke","non-dropping-particle":"","parse-names":false,"suffix":""},{"dropping-particle":"","family":"Kotýnková","given":"Kristýna","non-dropping-particle":"","parse-names":false,"suffix":""},{"dropping-particle":"","family":"Vakhshoorzadeh","given":"Jasmine","non-dropping-particle":"","parse-names":false,"suffix":""},{"dropping-particle":"","family":"Hermance","given":"Nicole","non-dropping-particle":"","parse-names":false,"suffix":""},{"dropping-particle":"","family":"Kuroda","given":"Taruho S","non-dropping-particle":"","parse-names":false,"suffix":""},{"dropping-particle":"","family":"Parulekar","given":"Neha","non-dropping-particle":"","parse-names":false,"suffix":""},{"dropping-particle":"","family":"Taylor","given":"Alison M","non-dropping-particle":"","parse-names":false,"suffix":""},{"dropping-particle":"","family":"Manning","given":"Amity L","non-dropping-particle":"","parse-names":false,"suffix":""},{"dropping-particle":"","family":"Campbell","given":"Joshua D","non-dropping-particle":"","parse-names":false,"suffix":""},{"dropping-particle":"","family":"Ganem","given":"Neil J","non-dropping-particle":"","parse-names":false,"suffix":""}],"container-title":"bioRxiv","id":"ITEM-1","issued":{"date-parts":[["2020","1","1"]]},"page":"2020.06.18.159095","title":"Whole genome doubling confers unique genetic vulnerabilities on tumor cells","type":"article-journal"},"uris":["http://www.mendeley.com/documents/?uuid=4c2cace0-c5ea-4fcb-b823-f5d606c646f4"]}],"mendeley":{"formattedCitation":"&lt;sup&gt;46&lt;/sup&gt;","plainTextFormattedCitation":"46","previouslyFormattedCitation":"&lt;sup&gt;47&lt;/sup&gt;"},"properties":{"noteIndex":0},"schema":"https://github.com/citation-style-language/schema/raw/master/csl-citation.json"}</w:instrText>
      </w:r>
      <w:r>
        <w:rPr>
          <w:rFonts w:ascii="Times New Roman" w:hAnsi="Times New Roman" w:cs="Times New Roman"/>
          <w:color w:val="auto"/>
          <w:sz w:val="24"/>
          <w:szCs w:val="24"/>
          <w:lang w:bidi="ar-SA"/>
        </w:rPr>
        <w:fldChar w:fldCharType="separate"/>
      </w:r>
      <w:r w:rsidRPr="00070E8F">
        <w:rPr>
          <w:rFonts w:ascii="Times New Roman" w:hAnsi="Times New Roman" w:cs="Times New Roman"/>
          <w:noProof/>
          <w:color w:val="auto"/>
          <w:sz w:val="24"/>
          <w:szCs w:val="24"/>
          <w:vertAlign w:val="superscript"/>
          <w:lang w:bidi="ar-SA"/>
        </w:rPr>
        <w:t>46</w:t>
      </w:r>
      <w:r>
        <w:rPr>
          <w:rFonts w:ascii="Times New Roman" w:hAnsi="Times New Roman" w:cs="Times New Roman"/>
          <w:color w:val="auto"/>
          <w:sz w:val="24"/>
          <w:szCs w:val="24"/>
          <w:lang w:bidi="ar-SA"/>
        </w:rPr>
        <w:fldChar w:fldCharType="end"/>
      </w:r>
      <w:r>
        <w:rPr>
          <w:rFonts w:ascii="Times New Roman" w:hAnsi="Times New Roman" w:cs="Times New Roman"/>
          <w:color w:val="auto"/>
          <w:sz w:val="24"/>
          <w:szCs w:val="24"/>
          <w:lang w:bidi="ar-SA"/>
        </w:rPr>
        <w:t>. These findings echo earlier results from yeast, which showed altered spindle geometry and increased sensitivity to perturbation of the mitotic spindle function in chromosomally-unstable tetraploids</w:t>
      </w:r>
      <w:r>
        <w:rPr>
          <w:rFonts w:ascii="Times New Roman" w:hAnsi="Times New Roman" w:cs="Times New Roman"/>
          <w:color w:val="auto"/>
          <w:sz w:val="24"/>
          <w:szCs w:val="24"/>
          <w:lang w:bidi="ar-SA"/>
        </w:rPr>
        <w:fldChar w:fldCharType="begin" w:fldLock="1"/>
      </w:r>
      <w:r>
        <w:rPr>
          <w:rFonts w:ascii="Times New Roman" w:hAnsi="Times New Roman" w:cs="Times New Roman"/>
          <w:color w:val="auto"/>
          <w:sz w:val="24"/>
          <w:szCs w:val="24"/>
          <w:lang w:bidi="ar-SA"/>
        </w:rPr>
        <w:instrText>ADDIN CSL_CITATION {"citationItems":[{"id":"ITEM-1","itemData":{"DOI":"10.1038/nature05178","ISSN":"14764687","abstract":"Polyploidy, increased sets of chromosomes, occurs during development, cellular stress, disease and evolution. Despite its prevalence, little is known about the physiological alterations that accompany polyploidy. We previously described 'ploidy-specific lethality', where a gene deletion that is not lethal in haploid or diploid budding yeast causes lethality in triploids or tetraploids. Here we report a genome-wide screen to identify ploidy-specific lethal functions. Only 39 out of 3,740 mutations screened exhibited ploidy-specific lethality. Almost all of these mutations affect genomic stability by impairing homologous recombination, sister chromatid cohesion, or mitotic spindle function. We uncovered defects in wild-type tetraploids predicted by the screen, and identified mechanisms by which tetraploidization affects genomic stability. We show that tetraploids have a high incidence of syntelic/monopolar kinetochore attachments to the spindle pole. We suggest that this defect can be explained by mismatches in the ability to scale the size of the spindle pole body, spindle and kinetochores. Thus, geometric constraints may have profound effects on genome stability; the phenomenon described here may be relevant in a variety of biological contexts, including disease states such as cancer. © 2006 Nature Publishing Group.","author":[{"dropping-particle":"","family":"Storchová","given":"Zuzana","non-dropping-particle":"","parse-names":false,"suffix":""},{"dropping-particle":"","family":"Breneman","given":"Amanda","non-dropping-particle":"","parse-names":false,"suffix":""},{"dropping-particle":"","family":"Cande","given":"Jessica","non-dropping-particle":"","parse-names":false,"suffix":""},{"dropping-particle":"","family":"Dunn","given":"Joshua","non-dropping-particle":"","parse-names":false,"suffix":""},{"dropping-particle":"","family":"Burbank","given":"Kendra","non-dropping-particle":"","parse-names":false,"suffix":""},{"dropping-particle":"","family":"O'Toole","given":"Eileen","non-dropping-particle":"","parse-names":false,"suffix":""},{"dropping-particle":"","family":"Pellman","given":"David","non-dropping-particle":"","parse-names":false,"suffix":""}],"container-title":"Nature","id":"ITEM-1","issued":{"date-parts":[["2006"]]},"title":"Genome-wide genetic analysis of polyploidy in yeast","type":"article-journal"},"uris":["http://www.mendeley.com/documents/?uuid=43901c88-8d3d-4b24-89a4-ac1f09d3e8a2"]}],"mendeley":{"formattedCitation":"&lt;sup&gt;17&lt;/sup&gt;","plainTextFormattedCitation":"17","previouslyFormattedCitation":"&lt;sup&gt;17&lt;/sup&gt;"},"properties":{"noteIndex":0},"schema":"https://github.com/citation-style-language/schema/raw/master/csl-citation.json"}</w:instrText>
      </w:r>
      <w:r>
        <w:rPr>
          <w:rFonts w:ascii="Times New Roman" w:hAnsi="Times New Roman" w:cs="Times New Roman"/>
          <w:color w:val="auto"/>
          <w:sz w:val="24"/>
          <w:szCs w:val="24"/>
          <w:lang w:bidi="ar-SA"/>
        </w:rPr>
        <w:fldChar w:fldCharType="separate"/>
      </w:r>
      <w:r w:rsidRPr="00C6603B">
        <w:rPr>
          <w:rFonts w:ascii="Times New Roman" w:hAnsi="Times New Roman" w:cs="Times New Roman"/>
          <w:noProof/>
          <w:color w:val="auto"/>
          <w:sz w:val="24"/>
          <w:szCs w:val="24"/>
          <w:vertAlign w:val="superscript"/>
          <w:lang w:bidi="ar-SA"/>
        </w:rPr>
        <w:t>17</w:t>
      </w:r>
      <w:r>
        <w:rPr>
          <w:rFonts w:ascii="Times New Roman" w:hAnsi="Times New Roman" w:cs="Times New Roman"/>
          <w:color w:val="auto"/>
          <w:sz w:val="24"/>
          <w:szCs w:val="24"/>
          <w:lang w:bidi="ar-SA"/>
        </w:rPr>
        <w:fldChar w:fldCharType="end"/>
      </w:r>
      <w:r>
        <w:rPr>
          <w:rFonts w:ascii="Times New Roman" w:hAnsi="Times New Roman" w:cs="Times New Roman"/>
          <w:color w:val="auto"/>
          <w:sz w:val="24"/>
          <w:szCs w:val="24"/>
          <w:lang w:bidi="ar-SA"/>
        </w:rPr>
        <w:t>.</w:t>
      </w:r>
      <w:r w:rsidRPr="001E4C69">
        <w:rPr>
          <w:rFonts w:asciiTheme="majorBidi" w:hAnsiTheme="majorBidi" w:cstheme="majorBidi"/>
          <w:color w:val="auto"/>
          <w:sz w:val="24"/>
          <w:szCs w:val="24"/>
        </w:rPr>
        <w:t xml:space="preserve"> </w:t>
      </w:r>
    </w:p>
    <w:p w:rsidR="001638EE" w:rsidRPr="001E4C69" w:rsidRDefault="001638EE" w:rsidP="001638EE">
      <w:pPr>
        <w:spacing w:after="160"/>
        <w:jc w:val="both"/>
        <w:rPr>
          <w:rFonts w:ascii="Times New Roman" w:hAnsi="Times New Roman" w:cs="Times New Roman"/>
          <w:b/>
          <w:bCs/>
          <w:color w:val="auto"/>
          <w:sz w:val="24"/>
          <w:szCs w:val="24"/>
          <w:lang w:bidi="ar-SA"/>
        </w:rPr>
      </w:pPr>
      <w:r w:rsidRPr="001E4C69">
        <w:rPr>
          <w:rFonts w:ascii="Times New Roman" w:hAnsi="Times New Roman" w:cs="Times New Roman"/>
          <w:b/>
          <w:bCs/>
          <w:color w:val="auto"/>
          <w:sz w:val="24"/>
          <w:szCs w:val="24"/>
          <w:lang w:bidi="ar-SA"/>
        </w:rPr>
        <w:t xml:space="preserve">Supplementary Note </w:t>
      </w:r>
      <w:r>
        <w:rPr>
          <w:rFonts w:ascii="Times New Roman" w:hAnsi="Times New Roman" w:cs="Times New Roman"/>
          <w:b/>
          <w:bCs/>
          <w:color w:val="auto"/>
          <w:sz w:val="24"/>
          <w:szCs w:val="24"/>
          <w:lang w:bidi="ar-SA"/>
        </w:rPr>
        <w:t>15</w:t>
      </w:r>
      <w:r w:rsidRPr="001E4C69">
        <w:rPr>
          <w:rFonts w:ascii="Times New Roman" w:hAnsi="Times New Roman" w:cs="Times New Roman"/>
          <w:b/>
          <w:bCs/>
          <w:color w:val="auto"/>
          <w:sz w:val="24"/>
          <w:szCs w:val="24"/>
          <w:lang w:bidi="ar-SA"/>
        </w:rPr>
        <w:t>: Discussion of the dysregulation of KIF18A in aneuploid cells</w:t>
      </w:r>
    </w:p>
    <w:p w:rsidR="001638EE" w:rsidRPr="001E4C69" w:rsidRDefault="001638EE" w:rsidP="001638EE">
      <w:pPr>
        <w:spacing w:after="160"/>
        <w:jc w:val="both"/>
        <w:rPr>
          <w:rFonts w:ascii="Times New Roman" w:hAnsi="Times New Roman" w:cs="Times New Roman"/>
          <w:color w:val="auto"/>
          <w:sz w:val="24"/>
          <w:szCs w:val="24"/>
          <w:lang w:bidi="ar-SA"/>
        </w:rPr>
      </w:pPr>
      <w:r w:rsidRPr="001E4C69">
        <w:rPr>
          <w:rFonts w:ascii="Times New Roman" w:hAnsi="Times New Roman" w:cs="Times New Roman"/>
          <w:color w:val="auto"/>
          <w:sz w:val="24"/>
          <w:szCs w:val="24"/>
          <w:lang w:bidi="ar-SA"/>
        </w:rPr>
        <w:t xml:space="preserve">An intriguing question remains whether dysregulation of KIF18A, which is observed in at least a subset of aneuploid cells, provides a selective advantage to aneuploid cells. Our results suggest two non-exclusive hypotheses. First, decreased KIF18A activity results in the formation of a longer, wider spindle that might better accommodate a large number of chromosomes. Second, altered microtubule dynamics and SAC regulation due to reduced KIF18A activity may increase the baseline proliferation capacity of aneuploid cells in the presence of mitotic errors. Importantly, however, KIF18A dysregulation also renders the cells more sensitive to further inhibition of the protein, as is evident by their increased sensitivity to </w:t>
      </w:r>
      <w:r w:rsidRPr="001E4C69">
        <w:rPr>
          <w:rFonts w:ascii="Times New Roman" w:hAnsi="Times New Roman" w:cs="Times New Roman"/>
          <w:i/>
          <w:iCs/>
          <w:color w:val="auto"/>
          <w:sz w:val="24"/>
          <w:szCs w:val="24"/>
          <w:lang w:bidi="ar-SA"/>
        </w:rPr>
        <w:t>KIF18A</w:t>
      </w:r>
      <w:r w:rsidRPr="001E4C69">
        <w:rPr>
          <w:rFonts w:ascii="Times New Roman" w:hAnsi="Times New Roman" w:cs="Times New Roman"/>
          <w:color w:val="auto"/>
          <w:sz w:val="24"/>
          <w:szCs w:val="24"/>
          <w:lang w:bidi="ar-SA"/>
        </w:rPr>
        <w:t xml:space="preserve"> KD and KO (</w:t>
      </w:r>
      <w:r w:rsidRPr="001E4C69">
        <w:rPr>
          <w:rFonts w:ascii="Times New Roman" w:hAnsi="Times New Roman" w:cs="Times New Roman"/>
          <w:b/>
          <w:bCs/>
          <w:color w:val="auto"/>
          <w:sz w:val="24"/>
          <w:szCs w:val="24"/>
          <w:lang w:bidi="ar-SA"/>
        </w:rPr>
        <w:t xml:space="preserve">Fig. </w:t>
      </w:r>
      <w:r>
        <w:rPr>
          <w:rFonts w:ascii="Times New Roman" w:hAnsi="Times New Roman" w:cs="Times New Roman"/>
          <w:b/>
          <w:bCs/>
          <w:color w:val="auto"/>
          <w:sz w:val="24"/>
          <w:szCs w:val="24"/>
          <w:lang w:bidi="ar-SA"/>
        </w:rPr>
        <w:t>4e</w:t>
      </w:r>
      <w:r w:rsidRPr="001E4C69">
        <w:rPr>
          <w:rFonts w:ascii="Times New Roman" w:hAnsi="Times New Roman" w:cs="Times New Roman"/>
          <w:color w:val="auto"/>
          <w:sz w:val="24"/>
          <w:szCs w:val="24"/>
          <w:lang w:bidi="ar-SA"/>
        </w:rPr>
        <w:t xml:space="preserve"> and </w:t>
      </w:r>
      <w:r w:rsidRPr="001E4C69">
        <w:rPr>
          <w:rFonts w:ascii="Times New Roman" w:hAnsi="Times New Roman" w:cs="Times New Roman"/>
          <w:b/>
          <w:bCs/>
          <w:color w:val="auto"/>
          <w:sz w:val="24"/>
          <w:szCs w:val="24"/>
          <w:lang w:bidi="ar-SA"/>
        </w:rPr>
        <w:t>E</w:t>
      </w:r>
      <w:r>
        <w:rPr>
          <w:rFonts w:ascii="Times New Roman" w:hAnsi="Times New Roman" w:cs="Times New Roman"/>
          <w:b/>
          <w:bCs/>
          <w:color w:val="auto"/>
          <w:sz w:val="24"/>
          <w:szCs w:val="24"/>
          <w:lang w:bidi="ar-SA"/>
        </w:rPr>
        <w:t xml:space="preserve">xtended </w:t>
      </w:r>
      <w:r w:rsidRPr="001E4C69">
        <w:rPr>
          <w:rFonts w:ascii="Times New Roman" w:hAnsi="Times New Roman" w:cs="Times New Roman"/>
          <w:b/>
          <w:bCs/>
          <w:color w:val="auto"/>
          <w:sz w:val="24"/>
          <w:szCs w:val="24"/>
          <w:lang w:bidi="ar-SA"/>
        </w:rPr>
        <w:t>D</w:t>
      </w:r>
      <w:r>
        <w:rPr>
          <w:rFonts w:ascii="Times New Roman" w:hAnsi="Times New Roman" w:cs="Times New Roman"/>
          <w:b/>
          <w:bCs/>
          <w:color w:val="auto"/>
          <w:sz w:val="24"/>
          <w:szCs w:val="24"/>
          <w:lang w:bidi="ar-SA"/>
        </w:rPr>
        <w:t>ata</w:t>
      </w:r>
      <w:r w:rsidRPr="001E4C69">
        <w:rPr>
          <w:rFonts w:ascii="Times New Roman" w:hAnsi="Times New Roman" w:cs="Times New Roman"/>
          <w:b/>
          <w:bCs/>
          <w:color w:val="auto"/>
          <w:sz w:val="24"/>
          <w:szCs w:val="24"/>
          <w:lang w:bidi="ar-SA"/>
        </w:rPr>
        <w:t xml:space="preserve"> Fig. </w:t>
      </w:r>
      <w:r>
        <w:rPr>
          <w:rFonts w:ascii="Times New Roman" w:hAnsi="Times New Roman" w:cs="Times New Roman"/>
          <w:b/>
          <w:bCs/>
          <w:color w:val="auto"/>
          <w:sz w:val="24"/>
          <w:szCs w:val="24"/>
          <w:lang w:bidi="ar-SA"/>
        </w:rPr>
        <w:t>9</w:t>
      </w:r>
      <w:proofErr w:type="gramStart"/>
      <w:r>
        <w:rPr>
          <w:rFonts w:ascii="Times New Roman" w:hAnsi="Times New Roman" w:cs="Times New Roman"/>
          <w:b/>
          <w:bCs/>
          <w:color w:val="auto"/>
          <w:sz w:val="24"/>
          <w:szCs w:val="24"/>
          <w:lang w:bidi="ar-SA"/>
        </w:rPr>
        <w:t>f,g</w:t>
      </w:r>
      <w:proofErr w:type="gramEnd"/>
      <w:r w:rsidRPr="001E4C69">
        <w:rPr>
          <w:rFonts w:ascii="Times New Roman" w:hAnsi="Times New Roman" w:cs="Times New Roman"/>
          <w:color w:val="auto"/>
          <w:sz w:val="24"/>
          <w:szCs w:val="24"/>
          <w:lang w:bidi="ar-SA"/>
        </w:rPr>
        <w:t xml:space="preserve">). </w:t>
      </w:r>
    </w:p>
    <w:p w:rsidR="001638EE" w:rsidRPr="00B43C86" w:rsidRDefault="001638EE" w:rsidP="001638EE">
      <w:pPr>
        <w:jc w:val="both"/>
        <w:rPr>
          <w:rFonts w:ascii="Times New Roman" w:eastAsia="Times New Roman" w:hAnsi="Times New Roman" w:cs="Times New Roman"/>
          <w:sz w:val="24"/>
          <w:szCs w:val="24"/>
        </w:rPr>
      </w:pPr>
    </w:p>
    <w:p w:rsidR="001638EE" w:rsidRDefault="001638EE" w:rsidP="001638EE">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u w:val="single"/>
          <w:rtl/>
        </w:rPr>
      </w:pPr>
      <w:r>
        <w:rPr>
          <w:rFonts w:asciiTheme="majorBidi" w:hAnsiTheme="majorBidi" w:cstheme="majorBidi"/>
          <w:b/>
          <w:bCs/>
          <w:sz w:val="24"/>
          <w:szCs w:val="24"/>
        </w:rPr>
        <w:br w:type="page"/>
      </w:r>
      <w:r w:rsidRPr="00AC28B5">
        <w:rPr>
          <w:rFonts w:asciiTheme="majorBidi" w:hAnsiTheme="majorBidi" w:cstheme="majorBidi"/>
          <w:b/>
          <w:bCs/>
          <w:sz w:val="24"/>
          <w:szCs w:val="24"/>
          <w:u w:val="single"/>
        </w:rPr>
        <w:lastRenderedPageBreak/>
        <w:t>Supplementary Figures</w:t>
      </w:r>
    </w:p>
    <w:p w:rsidR="001638EE" w:rsidRDefault="001638EE" w:rsidP="001638EE">
      <w:pPr>
        <w:pBdr>
          <w:top w:val="none" w:sz="0" w:space="0" w:color="auto"/>
          <w:left w:val="none" w:sz="0" w:space="0" w:color="auto"/>
          <w:bottom w:val="none" w:sz="0" w:space="0" w:color="auto"/>
          <w:right w:val="none" w:sz="0" w:space="0" w:color="auto"/>
          <w:between w:val="none" w:sz="0" w:space="0" w:color="auto"/>
        </w:pBdr>
        <w:rPr>
          <w:rFonts w:asciiTheme="majorBidi" w:hAnsiTheme="majorBidi" w:cstheme="majorBidi"/>
          <w:b/>
          <w:bCs/>
          <w:sz w:val="24"/>
          <w:szCs w:val="24"/>
          <w:u w:val="single"/>
        </w:rPr>
      </w:pPr>
      <w:r>
        <w:rPr>
          <w:noProof/>
        </w:rPr>
        <w:drawing>
          <wp:inline distT="0" distB="0" distL="0" distR="0" wp14:anchorId="21DA8DA4" wp14:editId="5878A0B9">
            <wp:extent cx="5616344" cy="6527800"/>
            <wp:effectExtent l="0" t="0" r="381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7808" cy="6529502"/>
                    </a:xfrm>
                    <a:prstGeom prst="rect">
                      <a:avLst/>
                    </a:prstGeom>
                  </pic:spPr>
                </pic:pic>
              </a:graphicData>
            </a:graphic>
          </wp:inline>
        </w:drawing>
      </w:r>
    </w:p>
    <w:p w:rsidR="001638EE" w:rsidRPr="00F3177E" w:rsidRDefault="001638EE" w:rsidP="001638EE">
      <w:pPr>
        <w:spacing w:after="160"/>
        <w:jc w:val="both"/>
        <w:rPr>
          <w:rFonts w:asciiTheme="majorBidi" w:hAnsiTheme="majorBidi" w:cstheme="majorBidi"/>
          <w:sz w:val="24"/>
          <w:szCs w:val="24"/>
        </w:rPr>
      </w:pPr>
      <w:r w:rsidRPr="00350F95">
        <w:rPr>
          <w:rFonts w:asciiTheme="majorBidi" w:hAnsiTheme="majorBidi" w:cstheme="majorBidi"/>
          <w:b/>
          <w:bCs/>
          <w:sz w:val="24"/>
          <w:szCs w:val="24"/>
        </w:rPr>
        <w:t xml:space="preserve">Supplementary Figure 1: Gene essentiality in RNAi vs. CRISPR screens. </w:t>
      </w:r>
      <w:r w:rsidRPr="0067606A">
        <w:rPr>
          <w:rFonts w:asciiTheme="majorBidi" w:hAnsiTheme="majorBidi" w:cstheme="majorBidi"/>
          <w:sz w:val="24"/>
          <w:szCs w:val="24"/>
        </w:rPr>
        <w:t>(</w:t>
      </w:r>
      <w:r w:rsidRPr="0067606A">
        <w:rPr>
          <w:rFonts w:asciiTheme="majorBidi" w:hAnsiTheme="majorBidi" w:cstheme="majorBidi"/>
          <w:b/>
          <w:bCs/>
          <w:sz w:val="24"/>
          <w:szCs w:val="24"/>
        </w:rPr>
        <w:t>a</w:t>
      </w:r>
      <w:r w:rsidRPr="0067606A">
        <w:rPr>
          <w:rFonts w:asciiTheme="majorBidi" w:hAnsiTheme="majorBidi" w:cstheme="majorBidi"/>
          <w:sz w:val="24"/>
          <w:szCs w:val="24"/>
        </w:rPr>
        <w:t xml:space="preserve">) Comparison of gene essentiality between Achilles-CRISPR and Achilles-RNAi screens. Shown are three genes for example – </w:t>
      </w:r>
      <w:r w:rsidRPr="0067606A">
        <w:rPr>
          <w:rFonts w:asciiTheme="majorBidi" w:hAnsiTheme="majorBidi" w:cstheme="majorBidi"/>
          <w:i/>
          <w:iCs/>
          <w:sz w:val="24"/>
          <w:szCs w:val="24"/>
        </w:rPr>
        <w:t>ATR</w:t>
      </w:r>
      <w:r w:rsidRPr="0067606A">
        <w:rPr>
          <w:rFonts w:asciiTheme="majorBidi" w:hAnsiTheme="majorBidi" w:cstheme="majorBidi"/>
          <w:sz w:val="24"/>
          <w:szCs w:val="24"/>
        </w:rPr>
        <w:t xml:space="preserve">, </w:t>
      </w:r>
      <w:r w:rsidRPr="0067606A">
        <w:rPr>
          <w:rFonts w:asciiTheme="majorBidi" w:hAnsiTheme="majorBidi" w:cstheme="majorBidi"/>
          <w:i/>
          <w:iCs/>
          <w:sz w:val="24"/>
          <w:szCs w:val="24"/>
        </w:rPr>
        <w:t>CDK2</w:t>
      </w:r>
      <w:r w:rsidRPr="0067606A">
        <w:rPr>
          <w:rFonts w:asciiTheme="majorBidi" w:hAnsiTheme="majorBidi" w:cstheme="majorBidi"/>
          <w:sz w:val="24"/>
          <w:szCs w:val="24"/>
        </w:rPr>
        <w:t xml:space="preserve"> and </w:t>
      </w:r>
      <w:r w:rsidRPr="0067606A">
        <w:rPr>
          <w:rFonts w:asciiTheme="majorBidi" w:hAnsiTheme="majorBidi" w:cstheme="majorBidi"/>
          <w:i/>
          <w:iCs/>
          <w:sz w:val="24"/>
          <w:szCs w:val="24"/>
        </w:rPr>
        <w:t>BRD4</w:t>
      </w:r>
      <w:r w:rsidRPr="0067606A">
        <w:rPr>
          <w:rFonts w:asciiTheme="majorBidi" w:hAnsiTheme="majorBidi" w:cstheme="majorBidi"/>
          <w:sz w:val="24"/>
          <w:szCs w:val="24"/>
        </w:rPr>
        <w:t xml:space="preserve"> – selected based on their clinical relevance. ****, p&lt;1e-04; two-tailed </w:t>
      </w:r>
      <w:r>
        <w:rPr>
          <w:rFonts w:asciiTheme="majorBidi" w:hAnsiTheme="majorBidi" w:cstheme="majorBidi"/>
          <w:sz w:val="24"/>
          <w:szCs w:val="24"/>
        </w:rPr>
        <w:t>t-test</w:t>
      </w:r>
      <w:r w:rsidRPr="0067606A">
        <w:rPr>
          <w:rFonts w:asciiTheme="majorBidi" w:hAnsiTheme="majorBidi" w:cstheme="majorBidi"/>
          <w:sz w:val="24"/>
          <w:szCs w:val="24"/>
        </w:rPr>
        <w:t>. (</w:t>
      </w:r>
      <w:r w:rsidRPr="0067606A">
        <w:rPr>
          <w:rFonts w:asciiTheme="majorBidi" w:hAnsiTheme="majorBidi" w:cstheme="majorBidi"/>
          <w:b/>
          <w:bCs/>
          <w:sz w:val="24"/>
          <w:szCs w:val="24"/>
        </w:rPr>
        <w:t>b</w:t>
      </w:r>
      <w:r w:rsidRPr="0067606A">
        <w:rPr>
          <w:rFonts w:asciiTheme="majorBidi" w:hAnsiTheme="majorBidi" w:cstheme="majorBidi"/>
          <w:sz w:val="24"/>
          <w:szCs w:val="24"/>
        </w:rPr>
        <w:t xml:space="preserve">) 12 examples for genes that are considered ‘common-essential’ in the CRISPR screen, but not in the RNAi screen. ****, p&lt;1e-04; two-tailed </w:t>
      </w:r>
      <w:r>
        <w:rPr>
          <w:rFonts w:asciiTheme="majorBidi" w:hAnsiTheme="majorBidi" w:cstheme="majorBidi"/>
          <w:sz w:val="24"/>
          <w:szCs w:val="24"/>
        </w:rPr>
        <w:t>t-test</w:t>
      </w:r>
      <w:r w:rsidRPr="0067606A">
        <w:rPr>
          <w:rFonts w:asciiTheme="majorBidi" w:hAnsiTheme="majorBidi" w:cstheme="majorBidi"/>
          <w:sz w:val="24"/>
          <w:szCs w:val="24"/>
        </w:rPr>
        <w:t>.</w:t>
      </w:r>
    </w:p>
    <w:p w:rsidR="001638EE" w:rsidRDefault="00BF75FD" w:rsidP="001638EE">
      <w:pPr>
        <w:spacing w:after="160" w:line="259" w:lineRule="auto"/>
        <w:jc w:val="center"/>
        <w:rPr>
          <w:rFonts w:asciiTheme="majorBidi" w:hAnsiTheme="majorBidi" w:cstheme="majorBidi"/>
          <w:b/>
          <w:bCs/>
          <w:sz w:val="24"/>
          <w:szCs w:val="24"/>
        </w:rPr>
      </w:pPr>
      <w:r w:rsidRPr="00BF75FD">
        <w:rPr>
          <w:rFonts w:asciiTheme="majorBidi" w:hAnsiTheme="majorBidi" w:cstheme="majorBidi"/>
          <w:b/>
          <w:bCs/>
          <w:noProof/>
          <w:sz w:val="24"/>
          <w:szCs w:val="24"/>
        </w:rPr>
        <w:lastRenderedPageBreak/>
        <w:drawing>
          <wp:inline distT="0" distB="0" distL="0" distR="0">
            <wp:extent cx="3846830" cy="6010928"/>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4684" cy="6023200"/>
                    </a:xfrm>
                    <a:prstGeom prst="rect">
                      <a:avLst/>
                    </a:prstGeom>
                    <a:noFill/>
                    <a:ln>
                      <a:noFill/>
                    </a:ln>
                  </pic:spPr>
                </pic:pic>
              </a:graphicData>
            </a:graphic>
          </wp:inline>
        </w:drawing>
      </w:r>
    </w:p>
    <w:p w:rsidR="001638EE" w:rsidRDefault="001638EE" w:rsidP="001638EE">
      <w:pPr>
        <w:spacing w:after="160" w:line="259" w:lineRule="auto"/>
        <w:jc w:val="both"/>
        <w:rPr>
          <w:rFonts w:asciiTheme="majorBidi" w:hAnsiTheme="majorBidi" w:cstheme="majorBidi"/>
          <w:b/>
          <w:bCs/>
          <w:sz w:val="24"/>
          <w:szCs w:val="24"/>
        </w:rPr>
      </w:pPr>
      <w:r w:rsidRPr="00350F95">
        <w:rPr>
          <w:rFonts w:asciiTheme="majorBidi" w:hAnsiTheme="majorBidi" w:cstheme="majorBidi"/>
          <w:b/>
          <w:bCs/>
          <w:sz w:val="24"/>
          <w:szCs w:val="24"/>
        </w:rPr>
        <w:t xml:space="preserve">Supplementary Figure </w:t>
      </w:r>
      <w:r>
        <w:rPr>
          <w:rFonts w:asciiTheme="majorBidi" w:hAnsiTheme="majorBidi" w:cstheme="majorBidi"/>
          <w:b/>
          <w:bCs/>
          <w:sz w:val="24"/>
          <w:szCs w:val="24"/>
        </w:rPr>
        <w:t>2</w:t>
      </w:r>
      <w:r w:rsidRPr="00350F95">
        <w:rPr>
          <w:rFonts w:asciiTheme="majorBidi" w:hAnsiTheme="majorBidi" w:cstheme="majorBidi"/>
          <w:b/>
          <w:bCs/>
          <w:sz w:val="24"/>
          <w:szCs w:val="24"/>
        </w:rPr>
        <w:t>: Association between aneuploidy scores and the sensitivity to drugs targeting common-essential genes.</w:t>
      </w:r>
      <w:r w:rsidRPr="004A127B">
        <w:rPr>
          <w:rFonts w:asciiTheme="majorBidi" w:hAnsiTheme="majorBidi" w:cstheme="majorBidi"/>
          <w:b/>
          <w:bCs/>
          <w:sz w:val="24"/>
          <w:szCs w:val="24"/>
        </w:rPr>
        <w:t xml:space="preserve"> (a) </w:t>
      </w:r>
      <w:r w:rsidRPr="005F6320">
        <w:rPr>
          <w:rFonts w:asciiTheme="majorBidi" w:hAnsiTheme="majorBidi" w:cstheme="majorBidi"/>
          <w:color w:val="auto"/>
          <w:sz w:val="24"/>
          <w:szCs w:val="24"/>
        </w:rPr>
        <w:t xml:space="preserve">Correlation between </w:t>
      </w:r>
      <w:r w:rsidRPr="005F6320">
        <w:rPr>
          <w:rFonts w:asciiTheme="majorBidi" w:hAnsiTheme="majorBidi" w:cstheme="majorBidi"/>
          <w:i/>
          <w:iCs/>
          <w:color w:val="auto"/>
          <w:sz w:val="24"/>
          <w:szCs w:val="24"/>
        </w:rPr>
        <w:t>CDK2</w:t>
      </w:r>
      <w:r w:rsidRPr="005F6320">
        <w:rPr>
          <w:rFonts w:asciiTheme="majorBidi" w:hAnsiTheme="majorBidi" w:cstheme="majorBidi"/>
          <w:color w:val="auto"/>
          <w:sz w:val="24"/>
          <w:szCs w:val="24"/>
        </w:rPr>
        <w:t xml:space="preserve"> dependency and the mRNA expression levels of </w:t>
      </w:r>
      <w:r w:rsidRPr="005F6320">
        <w:rPr>
          <w:rFonts w:asciiTheme="majorBidi" w:hAnsiTheme="majorBidi" w:cstheme="majorBidi"/>
          <w:i/>
          <w:iCs/>
          <w:color w:val="auto"/>
          <w:sz w:val="24"/>
          <w:szCs w:val="24"/>
        </w:rPr>
        <w:t>CCNE1</w:t>
      </w:r>
      <w:r w:rsidRPr="005F6320">
        <w:rPr>
          <w:rFonts w:asciiTheme="majorBidi" w:hAnsiTheme="majorBidi" w:cstheme="majorBidi"/>
          <w:color w:val="auto"/>
          <w:sz w:val="24"/>
          <w:szCs w:val="24"/>
        </w:rPr>
        <w:t>.</w:t>
      </w:r>
      <w:r w:rsidRPr="005F6320">
        <w:rPr>
          <w:rFonts w:asciiTheme="majorBidi" w:hAnsiTheme="majorBidi" w:cstheme="majorBidi"/>
          <w:color w:val="auto"/>
          <w:sz w:val="24"/>
          <w:szCs w:val="24"/>
          <w:lang w:bidi="ar-SA"/>
        </w:rPr>
        <w:t xml:space="preserve"> Spearman’s ρ=-0.26 (p=8e-12).</w:t>
      </w:r>
      <w:r w:rsidRPr="005F6320">
        <w:rPr>
          <w:rFonts w:asciiTheme="majorBidi" w:hAnsiTheme="majorBidi" w:cstheme="majorBidi"/>
          <w:color w:val="auto"/>
          <w:sz w:val="24"/>
          <w:szCs w:val="24"/>
        </w:rPr>
        <w:t xml:space="preserve"> </w:t>
      </w:r>
      <w:r w:rsidRPr="005F6320">
        <w:rPr>
          <w:rFonts w:asciiTheme="majorBidi" w:hAnsiTheme="majorBidi" w:cstheme="majorBidi"/>
          <w:b/>
          <w:bCs/>
          <w:color w:val="auto"/>
          <w:sz w:val="24"/>
          <w:szCs w:val="24"/>
        </w:rPr>
        <w:t xml:space="preserve">(b) </w:t>
      </w:r>
      <w:r w:rsidRPr="005F6320">
        <w:rPr>
          <w:rFonts w:asciiTheme="majorBidi" w:hAnsiTheme="majorBidi" w:cstheme="majorBidi"/>
          <w:color w:val="auto"/>
          <w:sz w:val="24"/>
          <w:szCs w:val="24"/>
        </w:rPr>
        <w:t xml:space="preserve">Correlation between </w:t>
      </w:r>
      <w:r w:rsidRPr="005F6320">
        <w:rPr>
          <w:rFonts w:asciiTheme="majorBidi" w:hAnsiTheme="majorBidi" w:cstheme="majorBidi"/>
          <w:i/>
          <w:iCs/>
          <w:color w:val="auto"/>
          <w:sz w:val="24"/>
          <w:szCs w:val="24"/>
        </w:rPr>
        <w:t xml:space="preserve">ATR </w:t>
      </w:r>
      <w:r w:rsidRPr="005F6320">
        <w:rPr>
          <w:rFonts w:asciiTheme="majorBidi" w:hAnsiTheme="majorBidi" w:cstheme="majorBidi"/>
          <w:color w:val="auto"/>
          <w:sz w:val="24"/>
          <w:szCs w:val="24"/>
        </w:rPr>
        <w:t xml:space="preserve">dependency and cell line response to ATR kinase inhibitor </w:t>
      </w:r>
      <w:r w:rsidRPr="005F6320">
        <w:rPr>
          <w:rFonts w:asciiTheme="majorBidi" w:hAnsiTheme="majorBidi" w:cstheme="majorBidi"/>
          <w:color w:val="auto"/>
          <w:sz w:val="24"/>
          <w:szCs w:val="24"/>
          <w:shd w:val="clear" w:color="auto" w:fill="FFFFFF"/>
        </w:rPr>
        <w:t>VE-821 (BRD-K26756394-001-02-2)</w:t>
      </w:r>
      <w:r w:rsidRPr="005F6320">
        <w:rPr>
          <w:rFonts w:asciiTheme="majorBidi" w:hAnsiTheme="majorBidi" w:cstheme="majorBidi"/>
          <w:color w:val="auto"/>
          <w:sz w:val="24"/>
          <w:szCs w:val="24"/>
        </w:rPr>
        <w:t xml:space="preserve">. </w:t>
      </w:r>
      <w:r w:rsidRPr="005F6320">
        <w:rPr>
          <w:rFonts w:asciiTheme="majorBidi" w:hAnsiTheme="majorBidi" w:cstheme="majorBidi"/>
          <w:color w:val="auto"/>
          <w:sz w:val="24"/>
          <w:szCs w:val="24"/>
          <w:lang w:bidi="ar-SA"/>
        </w:rPr>
        <w:t xml:space="preserve">Spearman’s ρ=0.18 (p=7e-04) and ρ=0.37 (p=2e-11) for the CRISPR and RNAi screens, respectively. </w:t>
      </w:r>
      <w:r w:rsidRPr="005F6320">
        <w:rPr>
          <w:rFonts w:asciiTheme="majorBidi" w:hAnsiTheme="majorBidi" w:cstheme="majorBidi"/>
          <w:b/>
          <w:bCs/>
          <w:color w:val="auto"/>
          <w:sz w:val="24"/>
          <w:szCs w:val="24"/>
        </w:rPr>
        <w:t xml:space="preserve">(c) </w:t>
      </w:r>
      <w:r w:rsidRPr="005F6320">
        <w:rPr>
          <w:rFonts w:asciiTheme="majorBidi" w:hAnsiTheme="majorBidi" w:cstheme="majorBidi"/>
          <w:color w:val="auto"/>
          <w:sz w:val="24"/>
          <w:szCs w:val="24"/>
        </w:rPr>
        <w:t xml:space="preserve">Correlation between BRD4 dependency and cell line response to the </w:t>
      </w:r>
      <w:proofErr w:type="spellStart"/>
      <w:r w:rsidRPr="005F6320">
        <w:rPr>
          <w:rFonts w:asciiTheme="majorBidi" w:hAnsiTheme="majorBidi" w:cstheme="majorBidi"/>
          <w:color w:val="auto"/>
          <w:sz w:val="24"/>
          <w:szCs w:val="24"/>
        </w:rPr>
        <w:t>bromodomain</w:t>
      </w:r>
      <w:proofErr w:type="spellEnd"/>
      <w:r w:rsidRPr="005F6320">
        <w:rPr>
          <w:rFonts w:asciiTheme="majorBidi" w:hAnsiTheme="majorBidi" w:cstheme="majorBidi"/>
          <w:color w:val="auto"/>
          <w:sz w:val="24"/>
          <w:szCs w:val="24"/>
        </w:rPr>
        <w:t xml:space="preserve"> inhibitor </w:t>
      </w:r>
      <w:r w:rsidRPr="005F6320">
        <w:rPr>
          <w:rFonts w:asciiTheme="majorBidi" w:hAnsiTheme="majorBidi" w:cstheme="majorBidi"/>
          <w:color w:val="auto"/>
          <w:sz w:val="24"/>
          <w:szCs w:val="24"/>
          <w:shd w:val="clear" w:color="auto" w:fill="FFFFFF"/>
        </w:rPr>
        <w:t>I-BET-762 (BRD-K08109215-001-06-4)</w:t>
      </w:r>
      <w:r w:rsidRPr="005F6320">
        <w:rPr>
          <w:rFonts w:asciiTheme="majorBidi" w:hAnsiTheme="majorBidi" w:cstheme="majorBidi"/>
          <w:color w:val="auto"/>
          <w:sz w:val="24"/>
          <w:szCs w:val="24"/>
        </w:rPr>
        <w:t xml:space="preserve">. </w:t>
      </w:r>
      <w:r w:rsidRPr="005F6320">
        <w:rPr>
          <w:rFonts w:asciiTheme="majorBidi" w:hAnsiTheme="majorBidi" w:cstheme="majorBidi"/>
          <w:color w:val="auto"/>
          <w:sz w:val="24"/>
          <w:szCs w:val="24"/>
          <w:lang w:bidi="ar-SA"/>
        </w:rPr>
        <w:t>Spearman’s ρ=0.15 (p=0.005) and ρ=0.2 (p=6e-04) for the CRISPR and RNAi screens, respectively.</w:t>
      </w:r>
      <w:r w:rsidRPr="005F6320">
        <w:rPr>
          <w:rFonts w:asciiTheme="majorBidi" w:hAnsiTheme="majorBidi" w:cstheme="majorBidi"/>
          <w:b/>
          <w:bCs/>
          <w:color w:val="auto"/>
          <w:sz w:val="24"/>
          <w:szCs w:val="24"/>
        </w:rPr>
        <w:t xml:space="preserve"> (d) </w:t>
      </w:r>
      <w:r w:rsidRPr="005F6320">
        <w:rPr>
          <w:rFonts w:asciiTheme="majorBidi" w:hAnsiTheme="majorBidi" w:cstheme="majorBidi"/>
          <w:color w:val="auto"/>
          <w:sz w:val="24"/>
          <w:szCs w:val="24"/>
        </w:rPr>
        <w:t xml:space="preserve">Correlation between </w:t>
      </w:r>
      <w:r w:rsidRPr="005F6320">
        <w:rPr>
          <w:rFonts w:asciiTheme="majorBidi" w:hAnsiTheme="majorBidi" w:cstheme="majorBidi"/>
          <w:i/>
          <w:iCs/>
          <w:color w:val="auto"/>
          <w:sz w:val="24"/>
          <w:szCs w:val="24"/>
        </w:rPr>
        <w:t>KIF11</w:t>
      </w:r>
      <w:r w:rsidRPr="005F6320">
        <w:rPr>
          <w:rFonts w:asciiTheme="majorBidi" w:hAnsiTheme="majorBidi" w:cstheme="majorBidi"/>
          <w:color w:val="auto"/>
          <w:sz w:val="24"/>
          <w:szCs w:val="24"/>
        </w:rPr>
        <w:t xml:space="preserve"> dependency and cell line response to the kinesin-like spindle protein inhibitor </w:t>
      </w:r>
      <w:r w:rsidRPr="005F6320">
        <w:rPr>
          <w:rFonts w:asciiTheme="majorBidi" w:hAnsiTheme="majorBidi" w:cstheme="majorBidi"/>
          <w:color w:val="auto"/>
          <w:sz w:val="24"/>
          <w:szCs w:val="24"/>
          <w:shd w:val="clear" w:color="auto" w:fill="FFFFFF"/>
        </w:rPr>
        <w:t>K-858 (BRD-A67748489-001-10-0)</w:t>
      </w:r>
      <w:r w:rsidRPr="005F6320">
        <w:rPr>
          <w:rFonts w:asciiTheme="majorBidi" w:hAnsiTheme="majorBidi" w:cstheme="majorBidi"/>
          <w:color w:val="auto"/>
          <w:sz w:val="24"/>
          <w:szCs w:val="24"/>
        </w:rPr>
        <w:t>.</w:t>
      </w:r>
      <w:r w:rsidRPr="005F6320">
        <w:rPr>
          <w:rFonts w:asciiTheme="majorBidi" w:hAnsiTheme="majorBidi" w:cstheme="majorBidi"/>
          <w:b/>
          <w:bCs/>
          <w:color w:val="auto"/>
          <w:sz w:val="24"/>
          <w:szCs w:val="24"/>
        </w:rPr>
        <w:t xml:space="preserve"> </w:t>
      </w:r>
      <w:r w:rsidRPr="005F6320">
        <w:rPr>
          <w:rFonts w:asciiTheme="majorBidi" w:hAnsiTheme="majorBidi" w:cstheme="majorBidi"/>
          <w:color w:val="auto"/>
          <w:sz w:val="24"/>
          <w:szCs w:val="24"/>
          <w:lang w:bidi="ar-SA"/>
        </w:rPr>
        <w:t>Spearman’s ρ=0.12 (p=0.019) and ρ=0.44 (p=4e-15) for the CRISPR and RNAi screens, respectively.</w:t>
      </w:r>
      <w:r w:rsidRPr="005F6320">
        <w:rPr>
          <w:rFonts w:asciiTheme="majorBidi" w:hAnsiTheme="majorBidi" w:cstheme="majorBidi"/>
          <w:b/>
          <w:bCs/>
          <w:color w:val="auto"/>
          <w:sz w:val="24"/>
          <w:szCs w:val="24"/>
        </w:rPr>
        <w:t xml:space="preserve"> (e) </w:t>
      </w:r>
      <w:r w:rsidRPr="005F6320">
        <w:rPr>
          <w:rFonts w:asciiTheme="majorBidi" w:hAnsiTheme="majorBidi" w:cstheme="majorBidi"/>
          <w:color w:val="auto"/>
          <w:sz w:val="24"/>
          <w:szCs w:val="24"/>
        </w:rPr>
        <w:t xml:space="preserve">Correlation between TOP2A dependency and cell line response to the topoisomerase inhibitor </w:t>
      </w:r>
      <w:proofErr w:type="spellStart"/>
      <w:r w:rsidRPr="005F6320">
        <w:rPr>
          <w:rFonts w:asciiTheme="majorBidi" w:hAnsiTheme="majorBidi" w:cstheme="majorBidi"/>
          <w:color w:val="auto"/>
          <w:sz w:val="24"/>
          <w:szCs w:val="24"/>
          <w:shd w:val="clear" w:color="auto" w:fill="FFFFFF"/>
        </w:rPr>
        <w:t>dexrazoxane</w:t>
      </w:r>
      <w:proofErr w:type="spellEnd"/>
      <w:r w:rsidRPr="005F6320">
        <w:rPr>
          <w:rFonts w:asciiTheme="majorBidi" w:hAnsiTheme="majorBidi" w:cstheme="majorBidi"/>
          <w:color w:val="auto"/>
          <w:sz w:val="24"/>
          <w:szCs w:val="24"/>
          <w:shd w:val="clear" w:color="auto" w:fill="FFFFFF"/>
        </w:rPr>
        <w:t xml:space="preserve"> (BRD-K07265709-003-05-6)</w:t>
      </w:r>
      <w:r w:rsidRPr="005F6320">
        <w:rPr>
          <w:rFonts w:asciiTheme="majorBidi" w:hAnsiTheme="majorBidi" w:cstheme="majorBidi"/>
          <w:color w:val="auto"/>
          <w:sz w:val="24"/>
          <w:szCs w:val="24"/>
        </w:rPr>
        <w:t>.</w:t>
      </w:r>
      <w:r w:rsidRPr="005F6320">
        <w:rPr>
          <w:rFonts w:asciiTheme="majorBidi" w:hAnsiTheme="majorBidi" w:cstheme="majorBidi"/>
          <w:b/>
          <w:bCs/>
          <w:color w:val="auto"/>
          <w:sz w:val="24"/>
          <w:szCs w:val="24"/>
        </w:rPr>
        <w:t xml:space="preserve"> </w:t>
      </w:r>
      <w:r w:rsidRPr="005F6320">
        <w:rPr>
          <w:rFonts w:asciiTheme="majorBidi" w:hAnsiTheme="majorBidi" w:cstheme="majorBidi"/>
          <w:color w:val="auto"/>
          <w:sz w:val="24"/>
          <w:szCs w:val="24"/>
          <w:lang w:bidi="ar-SA"/>
        </w:rPr>
        <w:t>Spearman’s ρ=0.13 (p=0.012</w:t>
      </w:r>
      <w:r w:rsidRPr="009767C0">
        <w:rPr>
          <w:rFonts w:asciiTheme="majorBidi" w:hAnsiTheme="majorBidi" w:cstheme="majorBidi"/>
          <w:sz w:val="24"/>
          <w:szCs w:val="24"/>
          <w:lang w:bidi="ar-SA"/>
        </w:rPr>
        <w:t>).</w:t>
      </w:r>
      <w:r>
        <w:rPr>
          <w:rFonts w:asciiTheme="majorBidi" w:hAnsiTheme="majorBidi" w:cstheme="majorBidi"/>
          <w:b/>
          <w:bCs/>
          <w:sz w:val="24"/>
          <w:szCs w:val="24"/>
        </w:rPr>
        <w:br w:type="page"/>
      </w:r>
    </w:p>
    <w:p w:rsidR="001638EE" w:rsidRPr="00350F95" w:rsidRDefault="001638EE" w:rsidP="001638EE">
      <w:pPr>
        <w:spacing w:after="160" w:line="259" w:lineRule="auto"/>
        <w:jc w:val="both"/>
        <w:rPr>
          <w:rFonts w:asciiTheme="majorBidi" w:hAnsiTheme="majorBidi" w:cstheme="majorBidi"/>
          <w:b/>
          <w:bCs/>
          <w:sz w:val="24"/>
          <w:szCs w:val="24"/>
        </w:rPr>
      </w:pPr>
      <w:r w:rsidRPr="00FF4AB9">
        <w:rPr>
          <w:rFonts w:asciiTheme="majorBidi" w:hAnsiTheme="majorBidi" w:cstheme="majorBidi"/>
          <w:b/>
          <w:bCs/>
          <w:noProof/>
          <w:sz w:val="24"/>
          <w:szCs w:val="24"/>
        </w:rPr>
        <w:lastRenderedPageBreak/>
        <w:drawing>
          <wp:inline distT="0" distB="0" distL="0" distR="0" wp14:anchorId="06154449" wp14:editId="78E94902">
            <wp:extent cx="5875020" cy="7543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5020" cy="7543800"/>
                    </a:xfrm>
                    <a:prstGeom prst="rect">
                      <a:avLst/>
                    </a:prstGeom>
                    <a:noFill/>
                    <a:ln>
                      <a:noFill/>
                    </a:ln>
                  </pic:spPr>
                </pic:pic>
              </a:graphicData>
            </a:graphic>
          </wp:inline>
        </w:drawing>
      </w:r>
    </w:p>
    <w:p w:rsidR="001638EE" w:rsidRPr="00AC28B5" w:rsidRDefault="001638EE" w:rsidP="001638EE">
      <w:pPr>
        <w:spacing w:after="160" w:line="259" w:lineRule="auto"/>
        <w:jc w:val="both"/>
        <w:rPr>
          <w:rFonts w:asciiTheme="majorBidi" w:hAnsiTheme="majorBidi" w:cstheme="majorBidi"/>
          <w:b/>
          <w:bCs/>
          <w:sz w:val="24"/>
          <w:szCs w:val="24"/>
        </w:rPr>
      </w:pPr>
      <w:r w:rsidRPr="00350F95">
        <w:rPr>
          <w:rFonts w:asciiTheme="majorBidi" w:hAnsiTheme="majorBidi" w:cstheme="majorBidi"/>
          <w:b/>
          <w:bCs/>
          <w:sz w:val="24"/>
          <w:szCs w:val="24"/>
        </w:rPr>
        <w:t>Supplementary Figure 3: Example of the flow cytometry gating strategy for the cycle analysis.</w:t>
      </w:r>
      <w:r>
        <w:rPr>
          <w:rFonts w:ascii="Times New Roman" w:hAnsi="Times New Roman" w:cs="Times New Roman"/>
          <w:b/>
          <w:bCs/>
          <w:sz w:val="24"/>
          <w:szCs w:val="24"/>
          <w:u w:val="single"/>
        </w:rPr>
        <w:br w:type="page"/>
      </w:r>
    </w:p>
    <w:p w:rsidR="001638EE" w:rsidRPr="009F4403" w:rsidRDefault="001638EE" w:rsidP="001638EE">
      <w:pPr>
        <w:rPr>
          <w:rFonts w:ascii="Times New Roman" w:hAnsi="Times New Roman" w:cs="Times New Roman"/>
          <w:b/>
          <w:bCs/>
          <w:sz w:val="24"/>
          <w:szCs w:val="24"/>
        </w:rPr>
      </w:pPr>
      <w:r>
        <w:rPr>
          <w:rFonts w:ascii="Times New Roman" w:hAnsi="Times New Roman" w:cs="Times New Roman"/>
          <w:b/>
          <w:bCs/>
          <w:noProof/>
          <w:sz w:val="24"/>
          <w:szCs w:val="24"/>
        </w:rPr>
        <w:lastRenderedPageBreak/>
        <w:t>Western blots for Extended Data Fig. 9a</w:t>
      </w:r>
    </w:p>
    <w:p w:rsidR="001638EE" w:rsidRDefault="001638EE" w:rsidP="001638EE">
      <w:pPr>
        <w:rPr>
          <w:rFonts w:ascii="Times New Roman" w:hAnsi="Times New Roman" w:cs="Times New Roman"/>
          <w:b/>
          <w:bCs/>
          <w:sz w:val="24"/>
          <w:szCs w:val="24"/>
          <w:u w:val="single"/>
        </w:rPr>
      </w:pPr>
      <w:r>
        <w:rPr>
          <w:noProof/>
        </w:rPr>
        <w:drawing>
          <wp:inline distT="0" distB="0" distL="0" distR="0" wp14:anchorId="28A2BD2D" wp14:editId="06402D1C">
            <wp:extent cx="3368040" cy="2849728"/>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1029" cy="2852257"/>
                    </a:xfrm>
                    <a:prstGeom prst="rect">
                      <a:avLst/>
                    </a:prstGeom>
                    <a:noFill/>
                  </pic:spPr>
                </pic:pic>
              </a:graphicData>
            </a:graphic>
          </wp:inline>
        </w:drawing>
      </w:r>
    </w:p>
    <w:p w:rsidR="001638EE" w:rsidRPr="009F4403" w:rsidRDefault="001638EE" w:rsidP="001638EE">
      <w:pPr>
        <w:rPr>
          <w:rFonts w:ascii="Times New Roman" w:hAnsi="Times New Roman" w:cs="Times New Roman"/>
          <w:b/>
          <w:bCs/>
          <w:sz w:val="24"/>
          <w:szCs w:val="24"/>
        </w:rPr>
      </w:pPr>
      <w:r>
        <w:rPr>
          <w:rFonts w:ascii="Times New Roman" w:hAnsi="Times New Roman" w:cs="Times New Roman"/>
          <w:b/>
          <w:bCs/>
          <w:noProof/>
          <w:sz w:val="24"/>
          <w:szCs w:val="24"/>
        </w:rPr>
        <w:t>Western blots for Extended Data Fig. 9q</w:t>
      </w:r>
    </w:p>
    <w:p w:rsidR="001638EE" w:rsidRDefault="001638EE" w:rsidP="001638EE">
      <w:pPr>
        <w:rPr>
          <w:rFonts w:ascii="Times New Roman" w:hAnsi="Times New Roman" w:cs="Times New Roman"/>
          <w:b/>
          <w:bCs/>
          <w:sz w:val="24"/>
          <w:szCs w:val="24"/>
          <w:u w:val="single"/>
        </w:rPr>
      </w:pPr>
      <w:r>
        <w:rPr>
          <w:noProof/>
        </w:rPr>
        <w:drawing>
          <wp:inline distT="0" distB="0" distL="0" distR="0" wp14:anchorId="670F42C4" wp14:editId="4F8150DD">
            <wp:extent cx="3931920" cy="205491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5697" cy="2062112"/>
                    </a:xfrm>
                    <a:prstGeom prst="rect">
                      <a:avLst/>
                    </a:prstGeom>
                    <a:noFill/>
                  </pic:spPr>
                </pic:pic>
              </a:graphicData>
            </a:graphic>
          </wp:inline>
        </w:drawing>
      </w:r>
    </w:p>
    <w:p w:rsidR="001638EE" w:rsidRDefault="001638EE" w:rsidP="001638EE">
      <w:pPr>
        <w:rPr>
          <w:rFonts w:ascii="Times New Roman" w:hAnsi="Times New Roman" w:cs="Times New Roman"/>
          <w:b/>
          <w:bCs/>
          <w:noProof/>
          <w:sz w:val="24"/>
          <w:szCs w:val="24"/>
        </w:rPr>
      </w:pPr>
    </w:p>
    <w:p w:rsidR="001638EE" w:rsidRDefault="001638EE" w:rsidP="001638EE">
      <w:pPr>
        <w:rPr>
          <w:rFonts w:ascii="Times New Roman" w:hAnsi="Times New Roman" w:cs="Times New Roman"/>
          <w:b/>
          <w:bCs/>
          <w:noProof/>
          <w:sz w:val="24"/>
          <w:szCs w:val="24"/>
        </w:rPr>
      </w:pPr>
      <w:r>
        <w:rPr>
          <w:noProof/>
        </w:rPr>
        <w:drawing>
          <wp:inline distT="0" distB="0" distL="0" distR="0" wp14:anchorId="2F080B33" wp14:editId="62A25FFE">
            <wp:extent cx="3147060" cy="163432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2920" cy="1642564"/>
                    </a:xfrm>
                    <a:prstGeom prst="rect">
                      <a:avLst/>
                    </a:prstGeom>
                    <a:noFill/>
                  </pic:spPr>
                </pic:pic>
              </a:graphicData>
            </a:graphic>
          </wp:inline>
        </w:drawing>
      </w:r>
    </w:p>
    <w:p w:rsidR="001638EE" w:rsidRDefault="001638EE" w:rsidP="001638EE">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noProof/>
          <w:sz w:val="24"/>
          <w:szCs w:val="24"/>
        </w:rPr>
      </w:pPr>
      <w:r>
        <w:rPr>
          <w:rFonts w:ascii="Times New Roman" w:hAnsi="Times New Roman" w:cs="Times New Roman"/>
          <w:b/>
          <w:bCs/>
          <w:noProof/>
          <w:sz w:val="24"/>
          <w:szCs w:val="24"/>
        </w:rPr>
        <w:br w:type="page"/>
      </w:r>
    </w:p>
    <w:p w:rsidR="001638EE" w:rsidRDefault="001638EE" w:rsidP="001638EE">
      <w:pPr>
        <w:rPr>
          <w:rFonts w:ascii="Times New Roman" w:hAnsi="Times New Roman" w:cs="Times New Roman"/>
          <w:b/>
          <w:bCs/>
          <w:noProof/>
          <w:sz w:val="24"/>
          <w:szCs w:val="24"/>
        </w:rPr>
      </w:pPr>
      <w:r>
        <w:rPr>
          <w:rFonts w:ascii="Times New Roman" w:hAnsi="Times New Roman" w:cs="Times New Roman"/>
          <w:b/>
          <w:bCs/>
          <w:noProof/>
          <w:sz w:val="24"/>
          <w:szCs w:val="24"/>
        </w:rPr>
        <w:lastRenderedPageBreak/>
        <w:t xml:space="preserve">Western blots for </w:t>
      </w:r>
      <w:r w:rsidRPr="009F4403">
        <w:rPr>
          <w:rFonts w:ascii="Times New Roman" w:hAnsi="Times New Roman" w:cs="Times New Roman"/>
          <w:b/>
          <w:bCs/>
          <w:noProof/>
          <w:sz w:val="24"/>
          <w:szCs w:val="24"/>
        </w:rPr>
        <w:t>Extended Data Fig.</w:t>
      </w:r>
      <w:r>
        <w:rPr>
          <w:rFonts w:ascii="Times New Roman" w:hAnsi="Times New Roman" w:cs="Times New Roman"/>
          <w:b/>
          <w:bCs/>
          <w:noProof/>
          <w:sz w:val="24"/>
          <w:szCs w:val="24"/>
        </w:rPr>
        <w:t xml:space="preserve"> 10j</w:t>
      </w:r>
    </w:p>
    <w:p w:rsidR="001638EE" w:rsidRPr="009F4403" w:rsidRDefault="001638EE" w:rsidP="001638EE">
      <w:pPr>
        <w:rPr>
          <w:rFonts w:ascii="Times New Roman" w:hAnsi="Times New Roman" w:cs="Times New Roman"/>
          <w:b/>
          <w:bCs/>
          <w:sz w:val="24"/>
          <w:szCs w:val="24"/>
        </w:rPr>
      </w:pPr>
      <w:r>
        <w:rPr>
          <w:noProof/>
        </w:rPr>
        <w:drawing>
          <wp:inline distT="0" distB="0" distL="0" distR="0" wp14:anchorId="0A498385" wp14:editId="41473C8A">
            <wp:extent cx="4259580" cy="25574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5310" cy="2560885"/>
                    </a:xfrm>
                    <a:prstGeom prst="rect">
                      <a:avLst/>
                    </a:prstGeom>
                    <a:noFill/>
                  </pic:spPr>
                </pic:pic>
              </a:graphicData>
            </a:graphic>
          </wp:inline>
        </w:drawing>
      </w:r>
    </w:p>
    <w:p w:rsidR="001638EE" w:rsidRDefault="001638EE" w:rsidP="001638EE">
      <w:pPr>
        <w:rPr>
          <w:rFonts w:ascii="Times New Roman" w:hAnsi="Times New Roman" w:cs="Times New Roman"/>
          <w:b/>
          <w:bCs/>
          <w:noProof/>
          <w:sz w:val="24"/>
          <w:szCs w:val="24"/>
        </w:rPr>
      </w:pPr>
    </w:p>
    <w:p w:rsidR="001638EE" w:rsidRDefault="001638EE" w:rsidP="001638EE">
      <w:pPr>
        <w:rPr>
          <w:rFonts w:ascii="Times New Roman" w:hAnsi="Times New Roman" w:cs="Times New Roman"/>
          <w:b/>
          <w:bCs/>
          <w:noProof/>
          <w:sz w:val="24"/>
          <w:szCs w:val="24"/>
        </w:rPr>
      </w:pPr>
      <w:r>
        <w:rPr>
          <w:rFonts w:ascii="Times New Roman" w:hAnsi="Times New Roman" w:cs="Times New Roman"/>
          <w:b/>
          <w:bCs/>
          <w:noProof/>
          <w:sz w:val="24"/>
          <w:szCs w:val="24"/>
        </w:rPr>
        <w:t xml:space="preserve"> Western blots for </w:t>
      </w:r>
      <w:r w:rsidRPr="009F4403">
        <w:rPr>
          <w:rFonts w:ascii="Times New Roman" w:hAnsi="Times New Roman" w:cs="Times New Roman"/>
          <w:b/>
          <w:bCs/>
          <w:noProof/>
          <w:sz w:val="24"/>
          <w:szCs w:val="24"/>
        </w:rPr>
        <w:t>Extended Data Fig.</w:t>
      </w:r>
      <w:r>
        <w:rPr>
          <w:rFonts w:ascii="Times New Roman" w:hAnsi="Times New Roman" w:cs="Times New Roman"/>
          <w:b/>
          <w:bCs/>
          <w:noProof/>
          <w:sz w:val="24"/>
          <w:szCs w:val="24"/>
        </w:rPr>
        <w:t xml:space="preserve"> 10k</w:t>
      </w:r>
    </w:p>
    <w:p w:rsidR="001638EE" w:rsidRDefault="001638EE" w:rsidP="001638EE">
      <w:pPr>
        <w:rPr>
          <w:rFonts w:ascii="Times New Roman" w:hAnsi="Times New Roman" w:cs="Times New Roman"/>
          <w:b/>
          <w:bCs/>
          <w:noProof/>
          <w:sz w:val="24"/>
          <w:szCs w:val="24"/>
        </w:rPr>
      </w:pPr>
      <w:r>
        <w:rPr>
          <w:noProof/>
        </w:rPr>
        <w:drawing>
          <wp:inline distT="0" distB="0" distL="0" distR="0" wp14:anchorId="64EA4EF3" wp14:editId="0BE3B1CC">
            <wp:extent cx="3844662" cy="3679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0615" cy="3684886"/>
                    </a:xfrm>
                    <a:prstGeom prst="rect">
                      <a:avLst/>
                    </a:prstGeom>
                    <a:noFill/>
                  </pic:spPr>
                </pic:pic>
              </a:graphicData>
            </a:graphic>
          </wp:inline>
        </w:drawing>
      </w:r>
    </w:p>
    <w:p w:rsidR="001638EE" w:rsidRDefault="001638EE" w:rsidP="001638EE">
      <w:pPr>
        <w:rPr>
          <w:rFonts w:ascii="Times New Roman" w:hAnsi="Times New Roman" w:cs="Times New Roman"/>
          <w:b/>
          <w:bCs/>
          <w:sz w:val="24"/>
          <w:szCs w:val="24"/>
          <w:u w:val="single"/>
        </w:rPr>
      </w:pPr>
      <w:r w:rsidRPr="0055454F">
        <w:rPr>
          <w:rFonts w:ascii="Times New Roman" w:hAnsi="Times New Roman" w:cs="Times New Roman"/>
          <w:b/>
          <w:bCs/>
          <w:sz w:val="24"/>
          <w:szCs w:val="24"/>
        </w:rPr>
        <w:t>Supplementary Figure 4:</w:t>
      </w:r>
      <w:r>
        <w:rPr>
          <w:rFonts w:ascii="Times New Roman" w:hAnsi="Times New Roman" w:cs="Times New Roman"/>
          <w:b/>
          <w:bCs/>
          <w:sz w:val="24"/>
          <w:szCs w:val="24"/>
        </w:rPr>
        <w:t xml:space="preserve"> </w:t>
      </w:r>
      <w:r w:rsidRPr="00350F95">
        <w:rPr>
          <w:rFonts w:ascii="Times New Roman" w:hAnsi="Times New Roman" w:cs="Times New Roman"/>
          <w:b/>
          <w:bCs/>
          <w:sz w:val="24"/>
          <w:szCs w:val="24"/>
        </w:rPr>
        <w:t xml:space="preserve">Uncropped scans with size marker indications for </w:t>
      </w:r>
      <w:r>
        <w:rPr>
          <w:rFonts w:ascii="Times New Roman" w:hAnsi="Times New Roman" w:cs="Times New Roman"/>
          <w:b/>
          <w:bCs/>
          <w:sz w:val="24"/>
          <w:szCs w:val="24"/>
        </w:rPr>
        <w:t>all western blots</w:t>
      </w:r>
      <w:r w:rsidRPr="00350F95">
        <w:rPr>
          <w:rFonts w:ascii="Times New Roman" w:hAnsi="Times New Roman" w:cs="Times New Roman"/>
          <w:b/>
          <w:bCs/>
          <w:sz w:val="24"/>
          <w:szCs w:val="24"/>
        </w:rPr>
        <w:t>.</w:t>
      </w:r>
    </w:p>
    <w:p w:rsidR="008141C4" w:rsidRDefault="008141C4" w:rsidP="001638EE">
      <w:pPr>
        <w:spacing w:after="288"/>
        <w:jc w:val="both"/>
        <w:rPr>
          <w:rFonts w:asciiTheme="majorBidi" w:hAnsiTheme="majorBidi" w:cstheme="majorBidi"/>
          <w:b/>
          <w:sz w:val="24"/>
          <w:szCs w:val="24"/>
          <w:u w:val="single"/>
        </w:rPr>
      </w:pPr>
    </w:p>
    <w:p w:rsidR="001638EE" w:rsidRPr="005A4551" w:rsidRDefault="001638EE" w:rsidP="001638EE">
      <w:pPr>
        <w:spacing w:after="288"/>
        <w:jc w:val="both"/>
        <w:rPr>
          <w:rFonts w:asciiTheme="majorBidi" w:hAnsiTheme="majorBidi" w:cstheme="majorBidi"/>
          <w:b/>
          <w:sz w:val="24"/>
          <w:szCs w:val="24"/>
          <w:u w:val="single"/>
        </w:rPr>
      </w:pPr>
      <w:r w:rsidRPr="005A4551">
        <w:rPr>
          <w:rFonts w:asciiTheme="majorBidi" w:hAnsiTheme="majorBidi" w:cstheme="majorBidi"/>
          <w:b/>
          <w:sz w:val="24"/>
          <w:szCs w:val="24"/>
          <w:u w:val="single"/>
        </w:rPr>
        <w:lastRenderedPageBreak/>
        <w:t>Legends to Supplementary Tables</w:t>
      </w:r>
    </w:p>
    <w:p w:rsidR="001638EE" w:rsidRPr="000E5C4F" w:rsidRDefault="001638EE" w:rsidP="001638EE">
      <w:pPr>
        <w:spacing w:after="160"/>
        <w:jc w:val="both"/>
        <w:rPr>
          <w:rFonts w:asciiTheme="majorBidi" w:hAnsiTheme="majorBidi" w:cstheme="majorBidi"/>
          <w:bCs/>
          <w:sz w:val="24"/>
          <w:szCs w:val="24"/>
        </w:rPr>
      </w:pPr>
      <w:r>
        <w:rPr>
          <w:rFonts w:asciiTheme="majorBidi" w:hAnsiTheme="majorBidi" w:cstheme="majorBidi"/>
          <w:b/>
          <w:sz w:val="24"/>
          <w:szCs w:val="24"/>
        </w:rPr>
        <w:t>Supplementary Table 1: Chromosome-arm copy number calls and aneuploidy scores for 997 human cancer cell lines.</w:t>
      </w:r>
      <w:r>
        <w:rPr>
          <w:rFonts w:asciiTheme="majorBidi" w:hAnsiTheme="majorBidi" w:cstheme="majorBidi"/>
          <w:bCs/>
          <w:sz w:val="24"/>
          <w:szCs w:val="24"/>
        </w:rPr>
        <w:t xml:space="preserve"> For each cell line, the copy number status of each chromosome arm was determined by comparing the weighted median log2 copy number (</w:t>
      </w:r>
      <w:proofErr w:type="spellStart"/>
      <w:r w:rsidRPr="005F223C">
        <w:rPr>
          <w:rFonts w:asciiTheme="majorBidi" w:hAnsiTheme="majorBidi" w:cstheme="majorBidi"/>
          <w:bCs/>
          <w:sz w:val="24"/>
          <w:szCs w:val="24"/>
        </w:rPr>
        <w:t>wmed_CN</w:t>
      </w:r>
      <w:proofErr w:type="spellEnd"/>
      <w:r>
        <w:rPr>
          <w:rFonts w:asciiTheme="majorBidi" w:hAnsiTheme="majorBidi" w:cstheme="majorBidi"/>
          <w:bCs/>
          <w:sz w:val="24"/>
          <w:szCs w:val="24"/>
        </w:rPr>
        <w:t>) value of the arm to the basal ploidy of the cell line. AS were determined as the number of chromosome arms that were gained or lost in each cell line.</w:t>
      </w:r>
    </w:p>
    <w:p w:rsidR="001638EE"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 xml:space="preserve">Supplementary Table 2: Genetic dependencies of highly-aneuploid cancer cells. </w:t>
      </w:r>
      <w:r>
        <w:rPr>
          <w:rFonts w:asciiTheme="majorBidi" w:hAnsiTheme="majorBidi" w:cstheme="majorBidi"/>
          <w:bCs/>
          <w:sz w:val="24"/>
          <w:szCs w:val="24"/>
        </w:rPr>
        <w:t>The lists include all genes on which aneuploid cancer cell lines were found to be more dependent than euploid cancer cell lines (</w:t>
      </w:r>
      <w:r w:rsidRPr="7126D1FF">
        <w:rPr>
          <w:rFonts w:asciiTheme="majorBidi" w:hAnsiTheme="majorBidi" w:cstheme="majorBidi"/>
          <w:sz w:val="24"/>
          <w:szCs w:val="24"/>
        </w:rPr>
        <w:t>effect size&lt;-0.1, q&lt;0.</w:t>
      </w:r>
      <w:r>
        <w:rPr>
          <w:rFonts w:asciiTheme="majorBidi" w:hAnsiTheme="majorBidi" w:cstheme="majorBidi" w:hint="cs"/>
          <w:sz w:val="24"/>
          <w:szCs w:val="24"/>
          <w:rtl/>
        </w:rPr>
        <w:t>25</w:t>
      </w:r>
      <w:r>
        <w:rPr>
          <w:rFonts w:asciiTheme="majorBidi" w:hAnsiTheme="majorBidi" w:cstheme="majorBidi"/>
          <w:bCs/>
          <w:sz w:val="24"/>
          <w:szCs w:val="24"/>
        </w:rPr>
        <w:t>) in the RNAi-Achilles and RNAi-DRIVE genetic dependency screens</w:t>
      </w:r>
      <w:r>
        <w:rPr>
          <w:rFonts w:asciiTheme="majorBidi" w:hAnsiTheme="majorBidi" w:cstheme="majorBidi"/>
          <w:sz w:val="24"/>
          <w:szCs w:val="24"/>
        </w:rPr>
        <w:t xml:space="preserve">. </w:t>
      </w:r>
      <w:r w:rsidRPr="006E1F9C">
        <w:rPr>
          <w:rFonts w:asciiTheme="majorBidi" w:hAnsiTheme="majorBidi" w:cstheme="majorBidi"/>
          <w:sz w:val="24"/>
          <w:szCs w:val="24"/>
        </w:rPr>
        <w:t xml:space="preserve">P-values were derived from two-sided </w:t>
      </w:r>
      <w:proofErr w:type="gramStart"/>
      <w:r w:rsidRPr="006E1F9C">
        <w:rPr>
          <w:rFonts w:asciiTheme="majorBidi" w:hAnsiTheme="majorBidi" w:cstheme="majorBidi"/>
          <w:sz w:val="24"/>
          <w:szCs w:val="24"/>
        </w:rPr>
        <w:t>empirical</w:t>
      </w:r>
      <w:proofErr w:type="gramEnd"/>
      <w:r w:rsidRPr="006E1F9C">
        <w:rPr>
          <w:rFonts w:asciiTheme="majorBidi" w:hAnsiTheme="majorBidi" w:cstheme="majorBidi"/>
          <w:sz w:val="24"/>
          <w:szCs w:val="24"/>
        </w:rPr>
        <w:t>-Bayes-moderated </w:t>
      </w:r>
      <w:r w:rsidRPr="006E1F9C">
        <w:rPr>
          <w:rFonts w:asciiTheme="majorBidi" w:hAnsiTheme="majorBidi" w:cstheme="majorBidi"/>
          <w:i/>
          <w:iCs/>
          <w:sz w:val="24"/>
          <w:szCs w:val="24"/>
        </w:rPr>
        <w:t>t</w:t>
      </w:r>
      <w:r w:rsidRPr="006E1F9C">
        <w:rPr>
          <w:rFonts w:asciiTheme="majorBidi" w:hAnsiTheme="majorBidi" w:cstheme="majorBidi"/>
          <w:sz w:val="24"/>
          <w:szCs w:val="24"/>
        </w:rPr>
        <w:t>-statistics. </w:t>
      </w:r>
      <w:r w:rsidRPr="006E1F9C">
        <w:rPr>
          <w:rFonts w:asciiTheme="majorBidi" w:hAnsiTheme="majorBidi" w:cstheme="majorBidi"/>
          <w:i/>
          <w:iCs/>
          <w:sz w:val="24"/>
          <w:szCs w:val="24"/>
        </w:rPr>
        <w:t>Q</w:t>
      </w:r>
      <w:r w:rsidRPr="006E1F9C">
        <w:rPr>
          <w:rFonts w:asciiTheme="majorBidi" w:hAnsiTheme="majorBidi" w:cstheme="majorBidi"/>
          <w:sz w:val="24"/>
          <w:szCs w:val="24"/>
        </w:rPr>
        <w:t xml:space="preserve"> values were computed using the </w:t>
      </w:r>
      <w:proofErr w:type="spellStart"/>
      <w:r w:rsidRPr="006E1F9C">
        <w:rPr>
          <w:rFonts w:asciiTheme="majorBidi" w:hAnsiTheme="majorBidi" w:cstheme="majorBidi"/>
          <w:sz w:val="24"/>
          <w:szCs w:val="24"/>
        </w:rPr>
        <w:t>Benjamini</w:t>
      </w:r>
      <w:proofErr w:type="spellEnd"/>
      <w:r w:rsidRPr="006E1F9C">
        <w:rPr>
          <w:rFonts w:asciiTheme="majorBidi" w:hAnsiTheme="majorBidi" w:cstheme="majorBidi"/>
          <w:sz w:val="24"/>
          <w:szCs w:val="24"/>
        </w:rPr>
        <w:t>–Hochberg method.</w:t>
      </w:r>
    </w:p>
    <w:p w:rsidR="001638EE"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w:t>
      </w:r>
      <w:r w:rsidRPr="00DD3C81">
        <w:rPr>
          <w:rFonts w:asciiTheme="majorBidi" w:hAnsiTheme="majorBidi" w:cstheme="majorBidi"/>
          <w:b/>
          <w:bCs/>
          <w:sz w:val="24"/>
          <w:szCs w:val="24"/>
        </w:rPr>
        <w:t xml:space="preserve"> 3: </w:t>
      </w:r>
      <w:r>
        <w:rPr>
          <w:rFonts w:asciiTheme="majorBidi" w:hAnsiTheme="majorBidi" w:cstheme="majorBidi"/>
          <w:b/>
          <w:bCs/>
          <w:sz w:val="24"/>
          <w:szCs w:val="24"/>
        </w:rPr>
        <w:t xml:space="preserve">Functional annotation enrichment analysis of aneuploidy-associated genetic dependencies. </w:t>
      </w:r>
      <w:r w:rsidRPr="00B57BCB">
        <w:rPr>
          <w:rFonts w:asciiTheme="majorBidi" w:hAnsiTheme="majorBidi" w:cstheme="majorBidi"/>
          <w:sz w:val="24"/>
          <w:szCs w:val="24"/>
        </w:rPr>
        <w:t xml:space="preserve">DAVID functional enrichment analysis was performed on the genes that came up as differentially essential between the near-euploid and highly-aneuploid cell lines, focusing on the GO_BP gene sets. </w:t>
      </w:r>
      <w:r>
        <w:rPr>
          <w:rFonts w:asciiTheme="majorBidi" w:hAnsiTheme="majorBidi" w:cstheme="majorBidi"/>
          <w:sz w:val="24"/>
          <w:szCs w:val="24"/>
        </w:rPr>
        <w:t>G</w:t>
      </w:r>
      <w:r w:rsidRPr="00B57BCB">
        <w:rPr>
          <w:rFonts w:asciiTheme="majorBidi" w:hAnsiTheme="majorBidi" w:cstheme="majorBidi"/>
          <w:sz w:val="24"/>
          <w:szCs w:val="24"/>
        </w:rPr>
        <w:t>ene sets with q&lt;0.1</w:t>
      </w:r>
      <w:r>
        <w:rPr>
          <w:rFonts w:asciiTheme="majorBidi" w:hAnsiTheme="majorBidi" w:cstheme="majorBidi"/>
          <w:sz w:val="24"/>
          <w:szCs w:val="24"/>
        </w:rPr>
        <w:t xml:space="preserve"> are listed</w:t>
      </w:r>
      <w:r w:rsidRPr="00B57BCB">
        <w:rPr>
          <w:rFonts w:asciiTheme="majorBidi" w:hAnsiTheme="majorBidi" w:cstheme="majorBidi"/>
          <w:sz w:val="24"/>
          <w:szCs w:val="24"/>
        </w:rPr>
        <w:t>.</w:t>
      </w:r>
      <w:r>
        <w:rPr>
          <w:rFonts w:asciiTheme="majorBidi" w:hAnsiTheme="majorBidi" w:cstheme="majorBidi"/>
          <w:sz w:val="24"/>
          <w:szCs w:val="24"/>
        </w:rPr>
        <w:t xml:space="preserve"> </w:t>
      </w:r>
      <w:r w:rsidRPr="006E1F9C">
        <w:rPr>
          <w:rFonts w:asciiTheme="majorBidi" w:hAnsiTheme="majorBidi" w:cstheme="majorBidi"/>
          <w:sz w:val="24"/>
          <w:szCs w:val="24"/>
        </w:rPr>
        <w:t xml:space="preserve">P-values were derived from </w:t>
      </w:r>
      <w:r>
        <w:rPr>
          <w:rFonts w:asciiTheme="majorBidi" w:hAnsiTheme="majorBidi" w:cstheme="majorBidi"/>
          <w:sz w:val="24"/>
          <w:szCs w:val="24"/>
        </w:rPr>
        <w:t>the modified one-sided Fisher’s exact test applied by DAVID</w:t>
      </w:r>
      <w:r>
        <w:rPr>
          <w:rFonts w:asciiTheme="majorBidi" w:hAnsiTheme="majorBidi" w:cstheme="majorBidi"/>
        </w:rPr>
        <w:fldChar w:fldCharType="begin" w:fldLock="1"/>
      </w:r>
      <w:r>
        <w:rPr>
          <w:rFonts w:asciiTheme="majorBidi" w:hAnsiTheme="majorBidi" w:cstheme="majorBidi"/>
        </w:rPr>
        <w:instrText>ADDIN CSL_CITATION {"citationItems":[{"id":"ITEM-1","itemData":{"DOI":"10.1093/nar/gkm415","ISSN":"03051048","abstract":"All tools in the DAVID Bioinformatics Resources aim to provide functional interpretation of large lists of genes derived from genomic studies. The newly updated DAVID Bioinformatics Resources consists of the DAVID Knowledgebase and five integrated, web-based functional annotation tool suites: the DAVID Gene Functional Classification Tool, the DAVID Functional Annotation Tool, the DAVID Gene ID Conversion Tool, the DAVID Gene Name Viewer and the DAVID NIAID Pathogen Genome Browser. The expanded DAVID Knowledgebase now integrates almost all major and well-known public bioinformatics resources centralized by the DAVID Gene Concept, a single-linkage method to agglomerate tens of millions of diverse gene/protein identifiers and annotation terms from a variety of public bioinformatics databases. For any uploaded gene list, the DAVID Resources now provides not only the typical gene-term enrichment analysis, but also new tools and functions that allow users to condense large gene lists into gene functional groups, convert between gene/protein identifiers, visualize many-genes-to-many-terms relationships, cluster redundant and heterogeneous terms into groups, search for interesting and related genes or terms, dynamically view genes from their lists on bio-pathways and more. With DAVID (http://david. niaid.nih.gov), investigators gain more power to interpret the biological mechanisms associated with large gene lists. © 2007 The Author(s).","author":[{"dropping-particle":"","family":"Huang","given":"Da Wei","non-dropping-particle":"","parse-names":false,"suffix":""},{"dropping-particle":"","family":"Sherman","given":"Brad T.","non-dropping-particle":"","parse-names":false,"suffix":""},{"dropping-particle":"","family":"Tan","given":"Qina","non-dropping-particle":"","parse-names":false,"suffix":""},{"dropping-particle":"","family":"Kir","given":"Joseph","non-dropping-particle":"","parse-names":false,"suffix":""},{"dropping-particle":"","family":"Liu","given":"David","non-dropping-particle":"","parse-names":false,"suffix":""},{"dropping-particle":"","family":"Bryant","given":"David","non-dropping-particle":"","parse-names":false,"suffix":""},{"dropping-particle":"","family":"Guo","given":"Yongjian","non-dropping-particle":"","parse-names":false,"suffix":""},{"dropping-particle":"","family":"Stephens","given":"Robert","non-dropping-particle":"","parse-names":false,"suffix":""},{"dropping-particle":"","family":"Baseler","given":"Michael W.","non-dropping-particle":"","parse-names":false,"suffix":""},{"dropping-particle":"","family":"Lane","given":"H. Clifford","non-dropping-particle":"","parse-names":false,"suffix":""},{"dropping-particle":"","family":"Lempicki","given":"Richard A.","non-dropping-particle":"","parse-names":false,"suffix":""}],"container-title":"Nucleic Acids Research","id":"ITEM-1","issued":{"date-parts":[["2007"]]},"title":"DAVID Bioinformatics Resources: Expanded annotation database and novel algorithms to better extract biology from large gene lists","type":"article-journal"},"uris":["http://www.mendeley.com/documents/?uuid=fec59a3f-32f7-44ca-9534-caa63bab8196"]}],"mendeley":{"formattedCitation":"&lt;sup&gt;49&lt;/sup&gt;","plainTextFormattedCitation":"49","previouslyFormattedCitation":"&lt;sup&gt;50&lt;/sup&gt;"},"properties":{"noteIndex":0},"schema":"https://github.com/citation-style-language/schema/raw/master/csl-citation.json"}</w:instrText>
      </w:r>
      <w:r>
        <w:rPr>
          <w:rFonts w:asciiTheme="majorBidi" w:hAnsiTheme="majorBidi" w:cstheme="majorBidi"/>
        </w:rPr>
        <w:fldChar w:fldCharType="separate"/>
      </w:r>
      <w:r w:rsidR="008D4307">
        <w:rPr>
          <w:rFonts w:asciiTheme="majorBidi" w:hAnsiTheme="majorBidi" w:cstheme="majorBidi"/>
          <w:noProof/>
          <w:vertAlign w:val="superscript"/>
        </w:rPr>
        <w:t>5</w:t>
      </w:r>
      <w:r w:rsidRPr="00070E8F">
        <w:rPr>
          <w:rFonts w:asciiTheme="majorBidi" w:hAnsiTheme="majorBidi" w:cstheme="majorBidi"/>
          <w:noProof/>
          <w:vertAlign w:val="superscript"/>
        </w:rPr>
        <w:t>9</w:t>
      </w:r>
      <w:r>
        <w:rPr>
          <w:rFonts w:asciiTheme="majorBidi" w:hAnsiTheme="majorBidi" w:cstheme="majorBidi"/>
        </w:rPr>
        <w:fldChar w:fldCharType="end"/>
      </w:r>
      <w:r w:rsidRPr="006E1F9C">
        <w:rPr>
          <w:rFonts w:asciiTheme="majorBidi" w:hAnsiTheme="majorBidi" w:cstheme="majorBidi"/>
          <w:sz w:val="24"/>
          <w:szCs w:val="24"/>
        </w:rPr>
        <w:t>. </w:t>
      </w:r>
      <w:r w:rsidRPr="006E1F9C">
        <w:rPr>
          <w:rFonts w:asciiTheme="majorBidi" w:hAnsiTheme="majorBidi" w:cstheme="majorBidi"/>
          <w:i/>
          <w:iCs/>
          <w:sz w:val="24"/>
          <w:szCs w:val="24"/>
        </w:rPr>
        <w:t>Q</w:t>
      </w:r>
      <w:r w:rsidRPr="006E1F9C">
        <w:rPr>
          <w:rFonts w:asciiTheme="majorBidi" w:hAnsiTheme="majorBidi" w:cstheme="majorBidi"/>
          <w:sz w:val="24"/>
          <w:szCs w:val="24"/>
        </w:rPr>
        <w:t xml:space="preserve"> values were computed using the </w:t>
      </w:r>
      <w:proofErr w:type="spellStart"/>
      <w:r w:rsidRPr="006E1F9C">
        <w:rPr>
          <w:rFonts w:asciiTheme="majorBidi" w:hAnsiTheme="majorBidi" w:cstheme="majorBidi"/>
          <w:sz w:val="24"/>
          <w:szCs w:val="24"/>
        </w:rPr>
        <w:t>Benjamini</w:t>
      </w:r>
      <w:proofErr w:type="spellEnd"/>
      <w:r w:rsidRPr="006E1F9C">
        <w:rPr>
          <w:rFonts w:asciiTheme="majorBidi" w:hAnsiTheme="majorBidi" w:cstheme="majorBidi"/>
          <w:sz w:val="24"/>
          <w:szCs w:val="24"/>
        </w:rPr>
        <w:t>–Hochberg method.</w:t>
      </w:r>
    </w:p>
    <w:p w:rsidR="001638EE" w:rsidRPr="001A0814"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w:t>
      </w:r>
      <w:r w:rsidRPr="001A0814">
        <w:rPr>
          <w:rFonts w:asciiTheme="majorBidi" w:hAnsiTheme="majorBidi" w:cstheme="majorBidi"/>
          <w:b/>
          <w:bCs/>
          <w:sz w:val="24"/>
          <w:szCs w:val="24"/>
        </w:rPr>
        <w:t xml:space="preserve"> 4: mRNA expression differences between near-euploid and highly-aneuploid cancer cells. </w:t>
      </w:r>
      <w:r>
        <w:rPr>
          <w:rFonts w:asciiTheme="majorBidi" w:hAnsiTheme="majorBidi" w:cstheme="majorBidi"/>
          <w:sz w:val="24"/>
          <w:szCs w:val="24"/>
        </w:rPr>
        <w:t>A comparison of mRNA expression between the near-euploid and highly-aneuploid cancer cell lines, using the CCLE gene expression profiles</w:t>
      </w:r>
      <w:r>
        <w:rPr>
          <w:rFonts w:asciiTheme="majorBidi" w:hAnsiTheme="majorBidi" w:cstheme="majorBidi"/>
        </w:rPr>
        <w:fldChar w:fldCharType="begin" w:fldLock="1"/>
      </w:r>
      <w:r>
        <w:rPr>
          <w:rFonts w:asciiTheme="majorBidi" w:hAnsiTheme="majorBidi" w:cstheme="majorBidi"/>
        </w:rPr>
        <w:instrText>ADDIN CSL_CITATION {"citationItems":[{"id":"ITEM-1","itemData":{"DOI":"10.1038/s41586-019-1186-3","ISSN":"14764687","abstract":"Large panels of comprehensively characterized human cancer models, including the Cancer Cell Line Encyclopedia (CCLE), have provided a rigorous framework with which to study genetic variants, candidate targets, and small-molecule and biological therapeutics and to identify new marker-driven cancer dependencies. To improve our understanding of the molecular features that contribute to cancer phenotypes, including drug responses, here we have expanded the characterizations of cancer cell lines to include genetic, RNA splicing, DNA methylation, histone H3 modification, microRNA expression and reverse-phase protein array data for 1,072 cell lines from individuals of various lineages and ethnicities. Integration of these data with functional characterizations such as drug-sensitivity, short hairpin RNA knockdown and CRISPR–Cas9 knockout data reveals potential targets for cancer drugs and associated biomarkers. Together, this dataset and an accompanying public data portal provide a resource for the acceleration of cancer research using model cancer cell lines.","author":[{"dropping-particle":"","family":"Ghandi","given":"Mahmoud","non-dropping-particle":"","parse-names":false,"suffix":""},{"dropping-particle":"","family":"Huang","given":"Franklin W.","non-dropping-particle":"","parse-names":false,"suffix":""},{"dropping-particle":"","family":"Jané-Valbuena","given":"Judit","non-dropping-particle":"","parse-names":false,"suffix":""},{"dropping-particle":"V.","family":"Kryukov","given":"Gregory","non-dropping-particle":"","parse-names":false,"suffix":""},{"dropping-particle":"","family":"Lo","given":"Christopher C.","non-dropping-particle":"","parse-names":false,"suffix":""},{"dropping-particle":"","family":"McDonald","given":"E. Robert","non-dropping-particle":"","parse-names":false,"suffix":""},{"dropping-particle":"","family":"Barretina","given":"Jordi","non-dropping-particle":"","parse-names":false,"suffix":""},{"dropping-particle":"","family":"Gelfand","given":"Ellen T.","non-dropping-particle":"","parse-names":false,"suffix":""},{"dropping-particle":"","family":"Bielski","given":"Craig M.","non-dropping-particle":"","parse-names":false,"suffix":""},{"dropping-particle":"","family":"Li","given":"Haoxin","non-dropping-particle":"","parse-names":false,"suffix":""},{"dropping-particle":"","family":"Hu","given":"Kevin","non-dropping-particle":"","parse-names":false,"suffix":""},{"dropping-particle":"","family":"Andreev-Drakhlin","given":"Alexander Y.","non-dropping-particle":"","parse-names":false,"suffix":""},{"dropping-particle":"","family":"Kim","given":"Jaegil","non-dropping-particle":"","parse-names":false,"suffix":""},{"dropping-particle":"","family":"Hess","given":"Julian M.","non-dropping-particle":"","parse-names":false,"suffix":""},{"dropping-particle":"","family":"Haas","given":"Brian J.","non-dropping-particle":"","parse-names":false,"suffix":""},{"dropping-particle":"","family":"Aguet","given":"François","non-dropping-particle":"","parse-names":false,"suffix":""},{"dropping-particle":"","family":"Weir","given":"Barbara A.","non-dropping-particle":"","parse-names":false,"suffix":""},{"dropping-particle":"V.","family":"Rothberg","given":"Michael","non-dropping-particle":"","parse-names":false,"suffix":""},{"dropping-particle":"","family":"Paolella","given":"Brenton R.","non-dropping-particle":"","parse-names":false,"suffix":""},{"dropping-particle":"","family":"Lawrence","given":"Michael S.","non-dropping-particle":"","parse-names":false,"suffix":""},{"dropping-particle":"","family":"Akbani","given":"Rehan","non-dropping-particle":"","parse-names":false,"suffix":""},{"dropping-particle":"","family":"Lu","given":"Yiling","non-dropping-particle":"","parse-names":false,"suffix":""},{"dropping-particle":"","family":"Tiv","given":"Hong L.","non-dropping-particle":"","parse-names":false,"suffix":""},{"dropping-particle":"","family":"Gokhale","given":"Prafulla C.","non-dropping-particle":"","parse-names":false,"suffix":""},{"dropping-particle":"","family":"Weck","given":"Antoine","non-dropping-particle":"de","parse-names":false,"suffix":""},{"dropping-particle":"","family":"Mansour","given":"Ali Amin","non-dropping-particle":"","parse-names":false,"suffix":""},{"dropping-particle":"","family":"Oh","given":"Coyin","non-dropping-particle":"","parse-names":false,"suffix":""},{"dropping-particle":"","family":"Shih","given":"Juliann","non-dropping-particle":"","parse-names":false,"suffix":""},{"dropping-particle":"","family":"Hadi","given":"Kevin","non-dropping-particle":"","parse-names":false,"suffix":""},{"dropping-particle":"","family":"Rosen","given":"Yanay","non-dropping-particle":"","parse-names":false,"suffix":""},{"dropping-particle":"","family":"Bistline","given":"Jonathan","non-dropping-particle":"","parse-names":false,"suffix":""},{"dropping-particle":"","family":"Venkatesan","given":"Kavitha","non-dropping-particle":"","parse-names":false,"suffix":""},{"dropping-particle":"","family":"Reddy","given":"Anupama","non-dropping-particle":"","parse-names":false,"suffix":""},{"dropping-particle":"","family":"Sonkin","given":"Dmitriy","non-dropping-particle":"","parse-names":false,"suffix":""},{"dropping-particle":"","family":"Liu","given":"Manway","non-dropping-particle":"","parse-names":false,"suffix":""},{"dropping-particle":"","family":"Lehar","given":"Joseph","non-dropping-particle":"","parse-names":false,"suffix":""},{"dropping-particle":"","family":"Korn","given":"Joshua M.","non-dropping-particle":"","parse-names":false,"suffix":""},{"dropping-particle":"","family":"Porter","given":"Dale A.","non-dropping-particle":"","parse-names":false,"suffix":""},{"dropping-particle":"","family":"Jones","given":"Michael D.","non-dropping-particle":"","parse-names":false,"suffix":""},{"dropping-particle":"","family":"Golji","given":"Javad","non-dropping-particle":"","parse-names":false,"suffix":""},{"dropping-particle":"","family":"Caponigro","given":"Giordano","non-dropping-particle":"","parse-names":false,"suffix":""},{"dropping-particle":"","family":"Taylor","given":"Jordan E.","non-dropping-particle":"","parse-names":false,"suffix":""},{"dropping-particle":"","family":"Dunning","given":"Caitlin M.","non-dropping-particle":"","parse-names":false,"suffix":""},{"dropping-particle":"","family":"Creech","given":"Amanda L.","non-dropping-particle":"","parse-names":false,"suffix":""},{"dropping-particle":"","family":"Warren","given":"Allison C.","non-dropping-particle":"","parse-names":false,"suffix":""},{"dropping-particle":"","family":"McFarland","given":"James M.","non-dropping-particle":"","parse-names":false,"suffix":""},{"dropping-particle":"","family":"Zamanighomi","given":"Mahdi","non-dropping-particle":"","parse-names":false,"suffix":""},{"dropping-particle":"","family":"Kauffmann","given":"Audrey","non-dropping-particle":"","parse-names":false,"suffix":""},{"dropping-particle":"","family":"Stransky","given":"Nicolas","non-dropping-particle":"","parse-names":false,"suffix":""},{"dropping-particle":"","family":"Imielinski","given":"Marcin","non-dropping-particle":"","parse-names":false,"suffix":""},{"dropping-particle":"","family":"Maruvka","given":"Yosef E.","non-dropping-particle":"","parse-names":false,"suffix":""},{"dropping-particle":"","family":"Cherniack","given":"Andrew D.","non-dropping-particle":"","parse-names":false,"suffix":""},{"dropping-particle":"","family":"Tsherniak","given":"Aviad","non-dropping-particle":"","parse-names":false,"suffix":""},{"dropping-particle":"","family":"Vazquez","given":"Francisca","non-dropping-particle":"","parse-names":false,"suffix":""},{"dropping-particle":"","family":"Jaffe","given":"Jacob D.","non-dropping-particle":"","parse-names":false,"suffix":""},{"dropping-particle":"","family":"Lane","given":"Andrew A.","non-dropping-particle":"","parse-names":false,"suffix":""},{"dropping-particle":"","family":"Weinstock","given":"David M.","non-dropping-particle":"","parse-names":false,"suffix":""},{"dropping-particle":"","family":"Johannessen","given":"Cory M.","non-dropping-particle":"","parse-names":false,"suffix":""},{"dropping-particle":"","family":"Morrissey","given":"Michael P.","non-dropping-particle":"","parse-names":false,"suffix":""},{"dropping-particle":"","family":"Stegmeier","given":"Frank","non-dropping-particle":"","parse-names":false,"suffix":""},{"dropping-particle":"","family":"Schlegel","given":"Robert","non-dropping-particle":"","parse-names":false,"suffix":""},{"dropping-particle":"","family":"Hahn","given":"William C.","non-dropping-particle":"","parse-names":false,"suffix":""},{"dropping-particle":"","family":"Getz","given":"Gad","non-dropping-particle":"","parse-names":false,"suffix":""},{"dropping-particle":"","family":"Mills","given":"Gordon B.","non-dropping-particle":"","parse-names":false,"suffix":""},{"dropping-particle":"","family":"Boehm","given":"Jesse S.","non-dropping-particle":"","parse-names":false,"suffix":""},{"dropping-particle":"","family":"Golub","given":"Todd R.","non-dropping-particle":"","parse-names":false,"suffix":""},{"dropping-particle":"","family":"Garraway","given":"Levi A.","non-dropping-particle":"","parse-names":false,"suffix":""},{"dropping-particle":"","family":"Sellers","given":"William R.","non-dropping-particle":"","parse-names":false,"suffix":""}],"container-title":"Nature","id":"ITEM-1","issued":{"date-parts":[["2019"]]},"title":"Next-generation characterization of the Cancer Cell Line Encyclopedia","type":"article-journal"},"uris":["http://www.mendeley.com/documents/?uuid=2aedfc22-9445-46c4-8158-591dc6f5d9cf"]}],"mendeley":{"formattedCitation":"&lt;sup&gt;2&lt;/sup&gt;","plainTextFormattedCitation":"2","previouslyFormattedCitation":"&lt;sup&gt;2&lt;/sup&gt;"},"properties":{"noteIndex":0},"schema":"https://github.com/citation-style-language/schema/raw/master/csl-citation.json"}</w:instrText>
      </w:r>
      <w:r>
        <w:rPr>
          <w:rFonts w:asciiTheme="majorBidi" w:hAnsiTheme="majorBidi" w:cstheme="majorBidi"/>
        </w:rPr>
        <w:fldChar w:fldCharType="separate"/>
      </w:r>
      <w:r w:rsidRPr="00724A2E">
        <w:rPr>
          <w:rFonts w:asciiTheme="majorBidi" w:hAnsiTheme="majorBidi" w:cstheme="majorBidi"/>
          <w:noProof/>
          <w:vertAlign w:val="superscript"/>
        </w:rPr>
        <w:t>2</w:t>
      </w:r>
      <w:r>
        <w:rPr>
          <w:rFonts w:asciiTheme="majorBidi" w:hAnsiTheme="majorBidi" w:cstheme="majorBidi"/>
        </w:rPr>
        <w:fldChar w:fldCharType="end"/>
      </w:r>
      <w:r>
        <w:rPr>
          <w:rFonts w:asciiTheme="majorBidi" w:hAnsiTheme="majorBidi" w:cstheme="majorBidi"/>
          <w:sz w:val="24"/>
          <w:szCs w:val="24"/>
        </w:rPr>
        <w:t>.</w:t>
      </w:r>
      <w:r w:rsidRPr="00135DC5">
        <w:rPr>
          <w:rFonts w:asciiTheme="majorBidi" w:hAnsiTheme="majorBidi" w:cstheme="majorBidi"/>
          <w:sz w:val="24"/>
          <w:szCs w:val="24"/>
        </w:rPr>
        <w:t xml:space="preserve"> </w:t>
      </w:r>
      <w:r w:rsidRPr="006E1F9C">
        <w:rPr>
          <w:rFonts w:asciiTheme="majorBidi" w:hAnsiTheme="majorBidi" w:cstheme="majorBidi"/>
          <w:sz w:val="24"/>
          <w:szCs w:val="24"/>
        </w:rPr>
        <w:t xml:space="preserve">P-values were derived from two-sided </w:t>
      </w:r>
      <w:proofErr w:type="gramStart"/>
      <w:r w:rsidRPr="006E1F9C">
        <w:rPr>
          <w:rFonts w:asciiTheme="majorBidi" w:hAnsiTheme="majorBidi" w:cstheme="majorBidi"/>
          <w:sz w:val="24"/>
          <w:szCs w:val="24"/>
        </w:rPr>
        <w:t>empirical</w:t>
      </w:r>
      <w:proofErr w:type="gramEnd"/>
      <w:r w:rsidRPr="006E1F9C">
        <w:rPr>
          <w:rFonts w:asciiTheme="majorBidi" w:hAnsiTheme="majorBidi" w:cstheme="majorBidi"/>
          <w:sz w:val="24"/>
          <w:szCs w:val="24"/>
        </w:rPr>
        <w:t>-Bayes-moderated </w:t>
      </w:r>
      <w:r w:rsidRPr="006E1F9C">
        <w:rPr>
          <w:rFonts w:asciiTheme="majorBidi" w:hAnsiTheme="majorBidi" w:cstheme="majorBidi"/>
          <w:i/>
          <w:iCs/>
          <w:sz w:val="24"/>
          <w:szCs w:val="24"/>
        </w:rPr>
        <w:t>t</w:t>
      </w:r>
      <w:r w:rsidRPr="006E1F9C">
        <w:rPr>
          <w:rFonts w:asciiTheme="majorBidi" w:hAnsiTheme="majorBidi" w:cstheme="majorBidi"/>
          <w:sz w:val="24"/>
          <w:szCs w:val="24"/>
        </w:rPr>
        <w:t>-statistics. </w:t>
      </w:r>
      <w:r w:rsidRPr="006E1F9C">
        <w:rPr>
          <w:rFonts w:asciiTheme="majorBidi" w:hAnsiTheme="majorBidi" w:cstheme="majorBidi"/>
          <w:i/>
          <w:iCs/>
          <w:sz w:val="24"/>
          <w:szCs w:val="24"/>
        </w:rPr>
        <w:t>Q</w:t>
      </w:r>
      <w:r w:rsidRPr="006E1F9C">
        <w:rPr>
          <w:rFonts w:asciiTheme="majorBidi" w:hAnsiTheme="majorBidi" w:cstheme="majorBidi"/>
          <w:sz w:val="24"/>
          <w:szCs w:val="24"/>
        </w:rPr>
        <w:t xml:space="preserve"> values were computed using the </w:t>
      </w:r>
      <w:proofErr w:type="spellStart"/>
      <w:r w:rsidRPr="006E1F9C">
        <w:rPr>
          <w:rFonts w:asciiTheme="majorBidi" w:hAnsiTheme="majorBidi" w:cstheme="majorBidi"/>
          <w:sz w:val="24"/>
          <w:szCs w:val="24"/>
        </w:rPr>
        <w:t>Benjamini</w:t>
      </w:r>
      <w:proofErr w:type="spellEnd"/>
      <w:r w:rsidRPr="006E1F9C">
        <w:rPr>
          <w:rFonts w:asciiTheme="majorBidi" w:hAnsiTheme="majorBidi" w:cstheme="majorBidi"/>
          <w:sz w:val="24"/>
          <w:szCs w:val="24"/>
        </w:rPr>
        <w:t>–Hochberg method.</w:t>
      </w:r>
    </w:p>
    <w:p w:rsidR="001638EE" w:rsidRPr="00135DC5"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w:t>
      </w:r>
      <w:r w:rsidRPr="00804F7C">
        <w:rPr>
          <w:rFonts w:asciiTheme="majorBidi" w:hAnsiTheme="majorBidi" w:cstheme="majorBidi"/>
          <w:b/>
          <w:bCs/>
          <w:sz w:val="24"/>
          <w:szCs w:val="24"/>
        </w:rPr>
        <w:t xml:space="preserve"> </w:t>
      </w:r>
      <w:r>
        <w:rPr>
          <w:rFonts w:asciiTheme="majorBidi" w:hAnsiTheme="majorBidi" w:cstheme="majorBidi" w:hint="cs"/>
          <w:b/>
          <w:bCs/>
          <w:sz w:val="24"/>
          <w:szCs w:val="24"/>
          <w:rtl/>
        </w:rPr>
        <w:t>5</w:t>
      </w:r>
      <w:r w:rsidRPr="00804F7C">
        <w:rPr>
          <w:rFonts w:asciiTheme="majorBidi" w:hAnsiTheme="majorBidi" w:cstheme="majorBidi"/>
          <w:b/>
          <w:bCs/>
          <w:sz w:val="24"/>
          <w:szCs w:val="24"/>
        </w:rPr>
        <w:t>:</w:t>
      </w:r>
      <w:r>
        <w:rPr>
          <w:rFonts w:asciiTheme="majorBidi" w:hAnsiTheme="majorBidi" w:cstheme="majorBidi"/>
          <w:sz w:val="24"/>
          <w:szCs w:val="24"/>
        </w:rPr>
        <w:t xml:space="preserve"> </w:t>
      </w:r>
      <w:r w:rsidRPr="00B21664">
        <w:rPr>
          <w:rFonts w:asciiTheme="majorBidi" w:hAnsiTheme="majorBidi" w:cstheme="majorBidi"/>
          <w:b/>
          <w:bCs/>
          <w:sz w:val="24"/>
          <w:szCs w:val="24"/>
        </w:rPr>
        <w:t>Chemical sensitivities of highly-aneuploid cancer cells.</w:t>
      </w:r>
      <w:r>
        <w:rPr>
          <w:rFonts w:asciiTheme="majorBidi" w:hAnsiTheme="majorBidi" w:cstheme="majorBidi"/>
          <w:sz w:val="24"/>
          <w:szCs w:val="24"/>
        </w:rPr>
        <w:t xml:space="preserve"> The lists present the differential du</w:t>
      </w:r>
      <w:r w:rsidRPr="00135DC5">
        <w:rPr>
          <w:rFonts w:asciiTheme="majorBidi" w:hAnsiTheme="majorBidi" w:cstheme="majorBidi"/>
          <w:sz w:val="24"/>
          <w:szCs w:val="24"/>
        </w:rPr>
        <w:t>g sensitivities between near-euploid and highly-aneuploid cancer cell lines, for all of the compounds tested in the CTD</w:t>
      </w:r>
      <w:r w:rsidRPr="00135DC5">
        <w:rPr>
          <w:rFonts w:asciiTheme="majorBidi" w:hAnsiTheme="majorBidi" w:cstheme="majorBidi"/>
          <w:sz w:val="24"/>
          <w:szCs w:val="24"/>
          <w:vertAlign w:val="superscript"/>
        </w:rPr>
        <w:t>2</w:t>
      </w:r>
      <w:r w:rsidRPr="00135DC5">
        <w:rPr>
          <w:rFonts w:asciiTheme="majorBidi" w:hAnsiTheme="majorBidi" w:cstheme="majorBidi"/>
          <w:sz w:val="24"/>
          <w:szCs w:val="24"/>
        </w:rPr>
        <w:t xml:space="preserve">, GDSC and PRISM drug screens. P-values were derived from two-sided </w:t>
      </w:r>
      <w:proofErr w:type="gramStart"/>
      <w:r w:rsidRPr="00350F95">
        <w:rPr>
          <w:rFonts w:asciiTheme="majorBidi" w:hAnsiTheme="majorBidi" w:cstheme="majorBidi"/>
          <w:sz w:val="24"/>
          <w:szCs w:val="24"/>
        </w:rPr>
        <w:t>empirical</w:t>
      </w:r>
      <w:proofErr w:type="gramEnd"/>
      <w:r w:rsidRPr="00350F95">
        <w:rPr>
          <w:rFonts w:asciiTheme="majorBidi" w:hAnsiTheme="majorBidi" w:cstheme="majorBidi"/>
          <w:sz w:val="24"/>
          <w:szCs w:val="24"/>
        </w:rPr>
        <w:t>-Bayes-moderated </w:t>
      </w:r>
      <w:r w:rsidRPr="00350F95">
        <w:rPr>
          <w:rFonts w:asciiTheme="majorBidi" w:hAnsiTheme="majorBidi" w:cstheme="majorBidi"/>
          <w:i/>
          <w:iCs/>
          <w:sz w:val="24"/>
          <w:szCs w:val="24"/>
        </w:rPr>
        <w:t>t</w:t>
      </w:r>
      <w:r w:rsidRPr="00350F95">
        <w:rPr>
          <w:rFonts w:asciiTheme="majorBidi" w:hAnsiTheme="majorBidi" w:cstheme="majorBidi"/>
          <w:sz w:val="24"/>
          <w:szCs w:val="24"/>
        </w:rPr>
        <w:t>-statistics. </w:t>
      </w:r>
      <w:r w:rsidRPr="00350F95">
        <w:rPr>
          <w:rFonts w:asciiTheme="majorBidi" w:hAnsiTheme="majorBidi" w:cstheme="majorBidi"/>
          <w:i/>
          <w:iCs/>
          <w:sz w:val="24"/>
          <w:szCs w:val="24"/>
        </w:rPr>
        <w:t>Q</w:t>
      </w:r>
      <w:r w:rsidRPr="00350F95">
        <w:rPr>
          <w:rFonts w:asciiTheme="majorBidi" w:hAnsiTheme="majorBidi" w:cstheme="majorBidi"/>
          <w:sz w:val="24"/>
          <w:szCs w:val="24"/>
        </w:rPr>
        <w:t xml:space="preserve"> values were computed using the </w:t>
      </w:r>
      <w:proofErr w:type="spellStart"/>
      <w:r w:rsidRPr="00350F95">
        <w:rPr>
          <w:rFonts w:asciiTheme="majorBidi" w:hAnsiTheme="majorBidi" w:cstheme="majorBidi"/>
          <w:sz w:val="24"/>
          <w:szCs w:val="24"/>
        </w:rPr>
        <w:t>Benjamini</w:t>
      </w:r>
      <w:proofErr w:type="spellEnd"/>
      <w:r w:rsidRPr="00350F95">
        <w:rPr>
          <w:rFonts w:asciiTheme="majorBidi" w:hAnsiTheme="majorBidi" w:cstheme="majorBidi"/>
          <w:sz w:val="24"/>
          <w:szCs w:val="24"/>
        </w:rPr>
        <w:t>–Hochberg method.</w:t>
      </w:r>
    </w:p>
    <w:p w:rsidR="001638EE"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w:t>
      </w:r>
      <w:r w:rsidRPr="000D6272">
        <w:rPr>
          <w:rFonts w:asciiTheme="majorBidi" w:hAnsiTheme="majorBidi" w:cstheme="majorBidi"/>
          <w:b/>
          <w:bCs/>
          <w:sz w:val="24"/>
          <w:szCs w:val="24"/>
        </w:rPr>
        <w:t xml:space="preserve"> </w:t>
      </w:r>
      <w:r>
        <w:rPr>
          <w:rFonts w:asciiTheme="majorBidi" w:hAnsiTheme="majorBidi" w:cstheme="majorBidi" w:hint="cs"/>
          <w:b/>
          <w:bCs/>
          <w:sz w:val="24"/>
          <w:szCs w:val="24"/>
          <w:rtl/>
        </w:rPr>
        <w:t>6</w:t>
      </w:r>
      <w:r w:rsidRPr="000D6272">
        <w:rPr>
          <w:rFonts w:asciiTheme="majorBidi" w:hAnsiTheme="majorBidi" w:cstheme="majorBidi"/>
          <w:b/>
          <w:bCs/>
          <w:sz w:val="24"/>
          <w:szCs w:val="24"/>
        </w:rPr>
        <w:t>: Cancer cell line sensitivity to the SAC inhibitor reversine.</w:t>
      </w:r>
      <w:r>
        <w:rPr>
          <w:rFonts w:asciiTheme="majorBidi" w:hAnsiTheme="majorBidi" w:cstheme="majorBidi"/>
          <w:sz w:val="24"/>
          <w:szCs w:val="24"/>
        </w:rPr>
        <w:t xml:space="preserve"> Results of a PRISM screen of reversine (at 8 doses) across 530 human cancer cell lines. Shown are the Area Under the ROC Curve (AUC) values.</w:t>
      </w:r>
    </w:p>
    <w:p w:rsidR="001638EE" w:rsidRDefault="001638EE" w:rsidP="008D4307">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w:t>
      </w:r>
      <w:r w:rsidRPr="00FD2B85">
        <w:rPr>
          <w:rFonts w:asciiTheme="majorBidi" w:hAnsiTheme="majorBidi" w:cstheme="majorBidi"/>
          <w:b/>
          <w:bCs/>
          <w:sz w:val="24"/>
          <w:szCs w:val="24"/>
        </w:rPr>
        <w:t xml:space="preserve"> </w:t>
      </w:r>
      <w:r>
        <w:rPr>
          <w:rFonts w:asciiTheme="majorBidi" w:hAnsiTheme="majorBidi" w:cstheme="majorBidi" w:hint="cs"/>
          <w:b/>
          <w:bCs/>
          <w:sz w:val="24"/>
          <w:szCs w:val="24"/>
          <w:rtl/>
        </w:rPr>
        <w:t>7</w:t>
      </w:r>
      <w:r w:rsidRPr="00FD2B85">
        <w:rPr>
          <w:rFonts w:asciiTheme="majorBidi" w:hAnsiTheme="majorBidi" w:cstheme="majorBidi"/>
          <w:b/>
          <w:bCs/>
          <w:sz w:val="24"/>
          <w:szCs w:val="24"/>
        </w:rPr>
        <w:t>: Gene expression profiles of HCT116 and HPT cells exposed to SAC inhibitors.</w:t>
      </w:r>
      <w:r>
        <w:rPr>
          <w:rFonts w:asciiTheme="majorBidi" w:hAnsiTheme="majorBidi" w:cstheme="majorBidi"/>
          <w:sz w:val="24"/>
          <w:szCs w:val="24"/>
        </w:rPr>
        <w:t xml:space="preserve"> L1000-based expression values of 10,174 genes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{"citationItems":[{"id":"ITEM-1","itemData":{"DOI":"10.1016/j.cell.2017.10.049","ISSN":"10974172","PMID":"29195078","abstract":"We previously piloted the concept of a Connectivity Map (CMap), whereby genes, drugs, and disease states are connected by virtue of common gene-expression signatures. Here, we report more than a 1,000-fold scale-up of the CMap as part of the NIH LINCS Consortium, made possible by a new, low-cost, high-throughput reduced representation expression profiling method that we term L1000. We show that L1000 is highly reproducible, comparable to RNA sequencing, and suitable for computational inference of the expression levels of 81% of non-measured transcripts. We further show that the expanded CMap can be used to discover mechanism of action of small molecules, functionally annotate genetic variants of disease genes, and inform clinical trials. The 1.3 million L1000 profiles described here, as well as tools for their analysis, are available at https://clue.io. The next generation Connectivity Map, a large-scale compendium of functional perturbations in cultured human cells coupled to a gene-expression readout, facilitates the discovery of connections between genes, drugs, and diseases.","author":[{"dropping-particle":"","family":"Subramanian","given":"Aravind","non-dropping-particle":"","parse-names":false,"suffix":""},{"dropping-particle":"","family":"Narayan","given":"Rajiv","non-dropping-particle":"","parse-names":false,"suffix":""},{"dropping-particle":"","family":"Corsello","given":"Steven M.","non-dropping-particle":"","parse-names":false,"suffix":""},{"dropping-particle":"","family":"Peck","given":"David D.","non-dropping-particle":"","parse-names":false,"suffix":""},{"dropping-particle":"","family":"Natoli","given":"Ted E.","non-dropping-particle":"","parse-names":false,"suffix":""},{"dropping-particle":"","family":"Lu","given":"Xiaodong","non-dropping-particle":"","parse-names":false,"suffix":""},{"dropping-particle":"","family":"Gould","given":"Joshua","non-dropping-particle":"","parse-names":false,"suffix":""},{"dropping-particle":"","family":"Davis","given":"John F.","non-dropping-particle":"","parse-names":false,"suffix":""},{"dropping-particle":"","family":"Tubelli","given":"Andrew A.","non-dropping-particle":"","parse-names":false,"suffix":""},{"dropping-particle":"","family":"Asiedu","given":"Jacob K.","non-dropping-particle":"","parse-names":false,"suffix":""},{"dropping-particle":"","family":"Lahr","given":"David L.","non-dropping-particle":"","parse-names":false,"suffix":""},{"dropping-particle":"","family":"Hirschman","given":"Jodi E.","non-dropping-particle":"","parse-names":false,"suffix":""},{"dropping-particle":"","family":"Liu","given":"Zihan","non-dropping-particle":"","parse-names":false,"suffix":""},{"dropping-particle":"","family":"Donahue","given":"Melanie","non-dropping-particle":"","parse-names":false,"suffix":""},{"dropping-particle":"","family":"Julian","given":"Bina","non-dropping-particle":"","parse-names":false,"suffix":""},{"dropping-particle":"","family":"Khan","given":"Mariya","non-dropping-particle":"","parse-names":false,"suffix":""},{"dropping-particle":"","family":"Wadden","given":"David","non-dropping-particle":"","parse-names":false,"suffix":""},{"dropping-particle":"","family":"Smith","given":"Ian C.","non-dropping-particle":"","parse-names":false,"suffix":""},{"dropping-particle":"","family":"Lam","given":"Daniel","non-dropping-particle":"","parse-names":false,"suffix":""},{"dropping-particle":"","family":"Liberzon","given":"Arthur","non-dropping-particle":"","parse-names":false,"suffix":""},{"dropping-particle":"","family":"Toder","given":"Courtney","non-dropping-particle":"","parse-names":false,"suffix":""},{"dropping-particle":"","family":"Bagul","given":"Mukta","non-dropping-particle":"","parse-names":false,"suffix":""},{"dropping-particle":"","family":"Orzechowski","given":"Marek","non-dropping-particle":"","parse-names":false,"suffix":""},{"dropping-particle":"","family":"Enache","given":"Oana M.","non-dropping-particle":"","parse-names":false,"suffix":""},{"dropping-particle":"","family":"Piccioni","given":"Federica","non-dropping-particle":"","parse-names":false,"suffix":""},{"dropping-particle":"","family":"Johnson","given":"Sarah A.","non-dropping-particle":"","parse-names":false,"suffix":""},{"dropping-particle":"","family":"Lyons","given":"Nicholas J.","non-dropping-particle":"","parse-names":false,"suffix":""},{"dropping-particle":"","family":"Berger","given":"Alice H.","non-dropping-particle":"","parse-names":false,"suffix":""},{"dropping-particle":"","family":"Shamji","given":"Alykhan F.","non-dropping-particle":"","parse-names":false,"suffix":""},{"dropping-particle":"","family":"Brooks","given":"Angela N.","non-dropping-particle":"","parse-names":false,"suffix":""},{"dropping-particle":"","family":"Vrcic","given":"Anita","non-dropping-particle":"","parse-names":false,"suffix":""},{"dropping-particle":"","family":"Flynn","given":"Corey","non-dropping-particle":"","parse-names":false,"suffix":""},{"dropping-particle":"","family":"Rosains","given":"Jacqueline","non-dropping-particle":"","parse-names":false,"suffix":""},{"dropping-particle":"","family":"Takeda","given":"David Y.","non-dropping-particle":"","parse-names":false,"suffix":""},{"dropping-particle":"","family":"Hu","given":"Roger","non-dropping-particle":"","parse-names":false,"suffix":""},{"dropping-particle":"","family":"Davison","given":"Desiree","non-dropping-particle":"","parse-names":false,"suffix":""},{"dropping-particle":"","family":"Lamb","given":"Justin","non-dropping-particle":"","parse-names":false,"suffix":""},{"dropping-particle":"","family":"Ardlie","given":"Kristin","non-dropping-particle":"","parse-names":false,"suffix":""},{"dropping-particle":"","family":"Hogstrom","given":"Larson","non-dropping-particle":"","parse-names":false,"suffix":""},{"dropping-particle":"","family":"Greenside","given":"Peyton","non-dropping-particle":"","parse-names":false,"suffix":""},{"dropping-particle":"","family":"Gray","given":"Nathanael S.","non-dropping-particle":"","parse-names":false,"suffix":""},{"dropping-particle":"","family":"Clemons","given":"Paul A.","non-dropping-particle":"","parse-names":false,"suffix":""},{"dropping-particle":"","family":"Silver","given":"Serena","non-dropping-particle":"","parse-names":false,"suffix":""},{"dropping-particle":"","family":"Wu","given":"Xiaoyun","non-dropping-particle":"","parse-names":false,"suffix":""},{"dropping-particle":"","family":"Zhao","given":"Wen Ning","non-dropping-particle":"","parse-names":false,"suffix":""},{"dropping-particle":"","family":"Read-Button","given":"Willis","non-dropping-particle":"","parse-names":false,"suffix":""},{"dropping-particle":"","family":"Wu","given":"Xiaohua","non-dropping-particle":"","parse-names":false,"suffix":""},{"dropping-particle":"","family":"Haggarty","given":"Stephen J.","non-dropping-particle":"","parse-names":false,"suffix":""},{"dropping-particle":"V.","family":"Ronco","given":"Lucienne","non-dropping-particle":"","parse-names":false,"suffix":""},{"dropping-particle":"","family":"Boehm","given":"Jesse S.","non-dropping-particle":"","parse-names":false,"suffix":""},{"dropping-particle":"","family":"Schreiber","given":"Stuart L.","non-dropping-particle":"","parse-names":false,"suffix":""},{"dropping-particle":"","family":"Doench","given":"John G.","non-dropping-particle":"","parse-names":false,"suffix":""},{"dropping-particle":"","family":"Bittker","given":"Joshua A.","non-dropping-particle":"","parse-names":false,"suffix":""},{"dropping-particle":"","family":"Root","given":"David E.","non-dropping-particle":"","parse-names":false,"suffix":""},{"dropping-particle":"","family":"Wong","given":"Bang","non-dropping-particle":"","parse-names":false,"suffix":""},{"dropping-particle":"","family":"Golub","given":"Todd R.","non-dropping-particle":"","parse-names":false,"suffix":""}],"container-title":"Cell","id":"ITEM-1","issued":{"date-parts":[["2017"]]},"title":"A Next Generation Connectivity Map: L1000 Platform and the First 1,000,000 Profiles","type":"article-journal"},"uris":["http://www.mendeley.com/documents/?uuid=075b6214-7ef3-4e12-beb1-73fbac89e412"]}],"mendeley":{"formattedCitation":"&lt;sup&gt;52&lt;/sup&gt;","plainTextFormattedCitation":"52","previouslyFormattedCitation":"&lt;sup&gt;53&lt;/sup&gt;"},"properties":{"noteIndex":0},"schema":"https://github.com/citation-style-language/schema/raw/master/csl-citation.json"}</w:instrText>
      </w:r>
      <w:r>
        <w:rPr>
          <w:rFonts w:asciiTheme="majorBidi" w:hAnsiTheme="majorBidi" w:cstheme="majorBidi"/>
          <w:sz w:val="24"/>
          <w:szCs w:val="24"/>
        </w:rPr>
        <w:fldChar w:fldCharType="separate"/>
      </w:r>
      <w:r w:rsidR="008D4307">
        <w:rPr>
          <w:rFonts w:asciiTheme="majorBidi" w:hAnsiTheme="majorBidi" w:cstheme="majorBidi"/>
          <w:noProof/>
          <w:sz w:val="24"/>
          <w:szCs w:val="24"/>
          <w:vertAlign w:val="superscript"/>
        </w:rPr>
        <w:t>63</w:t>
      </w:r>
      <w:r>
        <w:rPr>
          <w:rFonts w:asciiTheme="majorBidi" w:hAnsiTheme="majorBidi" w:cstheme="majorBidi"/>
          <w:sz w:val="24"/>
          <w:szCs w:val="24"/>
        </w:rPr>
        <w:fldChar w:fldCharType="end"/>
      </w:r>
      <w:r>
        <w:rPr>
          <w:rFonts w:asciiTheme="majorBidi" w:hAnsiTheme="majorBidi" w:cstheme="majorBidi"/>
          <w:sz w:val="24"/>
          <w:szCs w:val="24"/>
        </w:rPr>
        <w:t xml:space="preserve"> in HCT116-WT, HCT116-GFP, HPT1 and HPT2 cells treated with reversine (250nM or 500nM), MPI-0479605 (250nM), positive controls (reversine at 10µM and </w:t>
      </w:r>
      <w:proofErr w:type="spellStart"/>
      <w:r>
        <w:rPr>
          <w:rFonts w:asciiTheme="majorBidi" w:hAnsiTheme="majorBidi" w:cstheme="majorBidi"/>
          <w:sz w:val="24"/>
          <w:szCs w:val="24"/>
        </w:rPr>
        <w:t>Mitoxantrone</w:t>
      </w:r>
      <w:proofErr w:type="spellEnd"/>
      <w:r>
        <w:rPr>
          <w:rFonts w:asciiTheme="majorBidi" w:hAnsiTheme="majorBidi" w:cstheme="majorBidi"/>
          <w:sz w:val="24"/>
          <w:szCs w:val="24"/>
        </w:rPr>
        <w:t xml:space="preserve"> at 10µM) or negative controls (DMSO).</w:t>
      </w:r>
    </w:p>
    <w:p w:rsidR="001638EE" w:rsidRPr="00B57BCB" w:rsidRDefault="001638EE" w:rsidP="001638EE">
      <w:pPr>
        <w:spacing w:after="160"/>
        <w:jc w:val="both"/>
        <w:rPr>
          <w:rFonts w:asciiTheme="majorBidi" w:hAnsiTheme="majorBidi" w:cstheme="majorBidi"/>
          <w:sz w:val="24"/>
          <w:szCs w:val="24"/>
        </w:rPr>
      </w:pPr>
      <w:r>
        <w:rPr>
          <w:rFonts w:asciiTheme="majorBidi" w:hAnsiTheme="majorBidi" w:cstheme="majorBidi"/>
          <w:b/>
          <w:sz w:val="24"/>
          <w:szCs w:val="24"/>
        </w:rPr>
        <w:t>Supplementary</w:t>
      </w:r>
      <w:r>
        <w:rPr>
          <w:rFonts w:asciiTheme="majorBidi" w:hAnsiTheme="majorBidi" w:cstheme="majorBidi"/>
          <w:b/>
          <w:bCs/>
          <w:sz w:val="24"/>
          <w:szCs w:val="24"/>
        </w:rPr>
        <w:t xml:space="preserve"> Table </w:t>
      </w:r>
      <w:r>
        <w:rPr>
          <w:rFonts w:asciiTheme="majorBidi" w:hAnsiTheme="majorBidi" w:cstheme="majorBidi" w:hint="cs"/>
          <w:b/>
          <w:bCs/>
          <w:sz w:val="24"/>
          <w:szCs w:val="24"/>
          <w:rtl/>
        </w:rPr>
        <w:t>8</w:t>
      </w:r>
      <w:r w:rsidRPr="008A0A9C">
        <w:rPr>
          <w:rFonts w:asciiTheme="majorBidi" w:hAnsiTheme="majorBidi" w:cstheme="majorBidi"/>
          <w:b/>
          <w:bCs/>
          <w:sz w:val="24"/>
          <w:szCs w:val="24"/>
        </w:rPr>
        <w:t>: Association between aneuploidy levels and KIF18A mRNA and protein expression levels</w:t>
      </w:r>
      <w:r>
        <w:rPr>
          <w:rFonts w:asciiTheme="majorBidi" w:hAnsiTheme="majorBidi" w:cstheme="majorBidi"/>
          <w:sz w:val="24"/>
          <w:szCs w:val="24"/>
        </w:rPr>
        <w:t xml:space="preserve">. Comparison of CCLE mRNA and protein expression values between the </w:t>
      </w:r>
      <w:r>
        <w:rPr>
          <w:rFonts w:asciiTheme="majorBidi" w:hAnsiTheme="majorBidi" w:cstheme="majorBidi"/>
          <w:sz w:val="24"/>
          <w:szCs w:val="24"/>
        </w:rPr>
        <w:lastRenderedPageBreak/>
        <w:t>near-euploid and highly-aneuploid cell line groups, across multiple tissue types. P-values are derived from a two-tailed t-test.</w:t>
      </w:r>
    </w:p>
    <w:p w:rsidR="00192139" w:rsidRDefault="0019213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rsidR="001638EE" w:rsidRDefault="001638EE" w:rsidP="001638EE">
      <w:pPr>
        <w:rPr>
          <w:rFonts w:ascii="Times New Roman" w:hAnsi="Times New Roman" w:cs="Times New Roman"/>
          <w:b/>
          <w:bCs/>
          <w:sz w:val="24"/>
          <w:szCs w:val="24"/>
          <w:u w:val="single"/>
        </w:rPr>
      </w:pPr>
      <w:r w:rsidRPr="00556FC6">
        <w:rPr>
          <w:rFonts w:ascii="Times New Roman" w:hAnsi="Times New Roman" w:cs="Times New Roman"/>
          <w:b/>
          <w:bCs/>
          <w:sz w:val="24"/>
          <w:szCs w:val="24"/>
          <w:u w:val="single"/>
        </w:rPr>
        <w:lastRenderedPageBreak/>
        <w:t>Supplementary References</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76.</w:t>
      </w:r>
      <w:r w:rsidRPr="00070E8F">
        <w:rPr>
          <w:rFonts w:ascii="Times New Roman" w:hAnsi="Times New Roman" w:cs="Times New Roman"/>
          <w:noProof/>
          <w:sz w:val="24"/>
          <w:szCs w:val="24"/>
        </w:rPr>
        <w:tab/>
        <w:t xml:space="preserve">Weaver, B. A. &amp; Cleveland, D. W. The Aneuploidy Paradox in Cell Growth and Tumorigenesis. </w:t>
      </w:r>
      <w:r w:rsidRPr="00070E8F">
        <w:rPr>
          <w:rFonts w:ascii="Times New Roman" w:hAnsi="Times New Roman" w:cs="Times New Roman"/>
          <w:i/>
          <w:iCs/>
          <w:noProof/>
          <w:sz w:val="24"/>
          <w:szCs w:val="24"/>
        </w:rPr>
        <w:t>Cancer Cell</w:t>
      </w:r>
      <w:r w:rsidRPr="00070E8F">
        <w:rPr>
          <w:rFonts w:ascii="Times New Roman" w:hAnsi="Times New Roman" w:cs="Times New Roman"/>
          <w:noProof/>
          <w:sz w:val="24"/>
          <w:szCs w:val="24"/>
        </w:rPr>
        <w:t xml:space="preserve"> (2008) doi:10.1016/j.ccr.2008.11.011.</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77.</w:t>
      </w:r>
      <w:r w:rsidRPr="00070E8F">
        <w:rPr>
          <w:rFonts w:ascii="Times New Roman" w:hAnsi="Times New Roman" w:cs="Times New Roman"/>
          <w:noProof/>
          <w:sz w:val="24"/>
          <w:szCs w:val="24"/>
        </w:rPr>
        <w:tab/>
        <w:t xml:space="preserve">Gordon, D. J., Resio, B. &amp; Pellman, D. Causes and consequences of aneuploidy in cancer. </w:t>
      </w:r>
      <w:r w:rsidRPr="00070E8F">
        <w:rPr>
          <w:rFonts w:ascii="Times New Roman" w:hAnsi="Times New Roman" w:cs="Times New Roman"/>
          <w:i/>
          <w:iCs/>
          <w:noProof/>
          <w:sz w:val="24"/>
          <w:szCs w:val="24"/>
        </w:rPr>
        <w:t>Nat Rev Genet</w:t>
      </w:r>
      <w:r w:rsidRPr="00070E8F">
        <w:rPr>
          <w:rFonts w:ascii="Times New Roman" w:hAnsi="Times New Roman" w:cs="Times New Roman"/>
          <w:noProof/>
          <w:sz w:val="24"/>
          <w:szCs w:val="24"/>
        </w:rPr>
        <w:t xml:space="preserve"> </w:t>
      </w:r>
      <w:r w:rsidRPr="00070E8F">
        <w:rPr>
          <w:rFonts w:ascii="Times New Roman" w:hAnsi="Times New Roman" w:cs="Times New Roman"/>
          <w:b/>
          <w:bCs/>
          <w:noProof/>
          <w:sz w:val="24"/>
          <w:szCs w:val="24"/>
        </w:rPr>
        <w:t>13</w:t>
      </w:r>
      <w:r w:rsidRPr="00070E8F">
        <w:rPr>
          <w:rFonts w:ascii="Times New Roman" w:hAnsi="Times New Roman" w:cs="Times New Roman"/>
          <w:noProof/>
          <w:sz w:val="24"/>
          <w:szCs w:val="24"/>
        </w:rPr>
        <w:t>, 189–203 (2012).</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78.</w:t>
      </w:r>
      <w:r w:rsidRPr="00070E8F">
        <w:rPr>
          <w:rFonts w:ascii="Times New Roman" w:hAnsi="Times New Roman" w:cs="Times New Roman"/>
          <w:noProof/>
          <w:sz w:val="24"/>
          <w:szCs w:val="24"/>
        </w:rPr>
        <w:tab/>
        <w:t xml:space="preserve">Sheltzer, J. M. &amp; Amon, A. The aneuploidy paradox: costs and benefits of an incorrect karyotype. </w:t>
      </w:r>
      <w:r w:rsidRPr="00070E8F">
        <w:rPr>
          <w:rFonts w:ascii="Times New Roman" w:hAnsi="Times New Roman" w:cs="Times New Roman"/>
          <w:i/>
          <w:iCs/>
          <w:noProof/>
          <w:sz w:val="24"/>
          <w:szCs w:val="24"/>
        </w:rPr>
        <w:t>Trends Genet</w:t>
      </w:r>
      <w:r w:rsidRPr="00070E8F">
        <w:rPr>
          <w:rFonts w:ascii="Times New Roman" w:hAnsi="Times New Roman" w:cs="Times New Roman"/>
          <w:noProof/>
          <w:sz w:val="24"/>
          <w:szCs w:val="24"/>
        </w:rPr>
        <w:t xml:space="preserve"> </w:t>
      </w:r>
      <w:r w:rsidRPr="00070E8F">
        <w:rPr>
          <w:rFonts w:ascii="Times New Roman" w:hAnsi="Times New Roman" w:cs="Times New Roman"/>
          <w:b/>
          <w:bCs/>
          <w:noProof/>
          <w:sz w:val="24"/>
          <w:szCs w:val="24"/>
        </w:rPr>
        <w:t>27</w:t>
      </w:r>
      <w:r w:rsidRPr="00070E8F">
        <w:rPr>
          <w:rFonts w:ascii="Times New Roman" w:hAnsi="Times New Roman" w:cs="Times New Roman"/>
          <w:noProof/>
          <w:sz w:val="24"/>
          <w:szCs w:val="24"/>
        </w:rPr>
        <w:t>, 446–453 (2011).</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79.</w:t>
      </w:r>
      <w:r w:rsidRPr="00070E8F">
        <w:rPr>
          <w:rFonts w:ascii="Times New Roman" w:hAnsi="Times New Roman" w:cs="Times New Roman"/>
          <w:noProof/>
          <w:sz w:val="24"/>
          <w:szCs w:val="24"/>
        </w:rPr>
        <w:tab/>
        <w:t xml:space="preserve">Cai, Y.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Loss of Chromosome 8p Governs Tumor Progression and Drug Response by Altering Lipid Metabolism. </w:t>
      </w:r>
      <w:r w:rsidRPr="00070E8F">
        <w:rPr>
          <w:rFonts w:ascii="Times New Roman" w:hAnsi="Times New Roman" w:cs="Times New Roman"/>
          <w:i/>
          <w:iCs/>
          <w:noProof/>
          <w:sz w:val="24"/>
          <w:szCs w:val="24"/>
        </w:rPr>
        <w:t>Cancer Cell</w:t>
      </w:r>
      <w:r w:rsidRPr="00070E8F">
        <w:rPr>
          <w:rFonts w:ascii="Times New Roman" w:hAnsi="Times New Roman" w:cs="Times New Roman"/>
          <w:noProof/>
          <w:sz w:val="24"/>
          <w:szCs w:val="24"/>
        </w:rPr>
        <w:t xml:space="preserve"> </w:t>
      </w:r>
      <w:r w:rsidRPr="00070E8F">
        <w:rPr>
          <w:rFonts w:ascii="Times New Roman" w:hAnsi="Times New Roman" w:cs="Times New Roman"/>
          <w:b/>
          <w:bCs/>
          <w:noProof/>
          <w:sz w:val="24"/>
          <w:szCs w:val="24"/>
        </w:rPr>
        <w:t>29</w:t>
      </w:r>
      <w:r w:rsidRPr="00070E8F">
        <w:rPr>
          <w:rFonts w:ascii="Times New Roman" w:hAnsi="Times New Roman" w:cs="Times New Roman"/>
          <w:noProof/>
          <w:sz w:val="24"/>
          <w:szCs w:val="24"/>
        </w:rPr>
        <w:t>, 751–766 (2016).</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80.</w:t>
      </w:r>
      <w:r w:rsidRPr="00070E8F">
        <w:rPr>
          <w:rFonts w:ascii="Times New Roman" w:hAnsi="Times New Roman" w:cs="Times New Roman"/>
          <w:noProof/>
          <w:sz w:val="24"/>
          <w:szCs w:val="24"/>
        </w:rPr>
        <w:tab/>
        <w:t xml:space="preserve">Viswanathan, S. R.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Genome-scale analysis identifies paralog lethality as a vulnerability of chromosome 1p loss in cancer. </w:t>
      </w:r>
      <w:r w:rsidRPr="00070E8F">
        <w:rPr>
          <w:rFonts w:ascii="Times New Roman" w:hAnsi="Times New Roman" w:cs="Times New Roman"/>
          <w:i/>
          <w:iCs/>
          <w:noProof/>
          <w:sz w:val="24"/>
          <w:szCs w:val="24"/>
        </w:rPr>
        <w:t>Nat. Genet.</w:t>
      </w:r>
      <w:r w:rsidRPr="00070E8F">
        <w:rPr>
          <w:rFonts w:ascii="Times New Roman" w:hAnsi="Times New Roman" w:cs="Times New Roman"/>
          <w:noProof/>
          <w:sz w:val="24"/>
          <w:szCs w:val="24"/>
        </w:rPr>
        <w:t xml:space="preserve"> (2018) doi:10.1038/s41588-018-0155-3.</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81.</w:t>
      </w:r>
      <w:r w:rsidRPr="00070E8F">
        <w:rPr>
          <w:rFonts w:ascii="Times New Roman" w:hAnsi="Times New Roman" w:cs="Times New Roman"/>
          <w:noProof/>
          <w:sz w:val="24"/>
          <w:szCs w:val="24"/>
        </w:rPr>
        <w:tab/>
        <w:t xml:space="preserve">Zhu, J., Tsai, H. J., Gordon, M. R. &amp; Li, R. Cellular Stress Associated with Aneuploidy. </w:t>
      </w:r>
      <w:r w:rsidRPr="00070E8F">
        <w:rPr>
          <w:rFonts w:ascii="Times New Roman" w:hAnsi="Times New Roman" w:cs="Times New Roman"/>
          <w:i/>
          <w:iCs/>
          <w:noProof/>
          <w:sz w:val="24"/>
          <w:szCs w:val="24"/>
        </w:rPr>
        <w:t>Dev Cell</w:t>
      </w:r>
      <w:r w:rsidRPr="00070E8F">
        <w:rPr>
          <w:rFonts w:ascii="Times New Roman" w:hAnsi="Times New Roman" w:cs="Times New Roman"/>
          <w:noProof/>
          <w:sz w:val="24"/>
          <w:szCs w:val="24"/>
        </w:rPr>
        <w:t xml:space="preserve"> </w:t>
      </w:r>
      <w:r w:rsidRPr="00070E8F">
        <w:rPr>
          <w:rFonts w:ascii="Times New Roman" w:hAnsi="Times New Roman" w:cs="Times New Roman"/>
          <w:b/>
          <w:bCs/>
          <w:noProof/>
          <w:sz w:val="24"/>
          <w:szCs w:val="24"/>
        </w:rPr>
        <w:t>44</w:t>
      </w:r>
      <w:r w:rsidRPr="00070E8F">
        <w:rPr>
          <w:rFonts w:ascii="Times New Roman" w:hAnsi="Times New Roman" w:cs="Times New Roman"/>
          <w:noProof/>
          <w:sz w:val="24"/>
          <w:szCs w:val="24"/>
        </w:rPr>
        <w:t>, 420–431 (2018).</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82.</w:t>
      </w:r>
      <w:r w:rsidRPr="00070E8F">
        <w:rPr>
          <w:rFonts w:ascii="Times New Roman" w:hAnsi="Times New Roman" w:cs="Times New Roman"/>
          <w:noProof/>
          <w:sz w:val="24"/>
          <w:szCs w:val="24"/>
        </w:rPr>
        <w:tab/>
        <w:t xml:space="preserve">He, B.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Chromosomes missegregated into micronuclei contribute to chromosomal instability by missegregating at the next division. </w:t>
      </w:r>
      <w:r w:rsidRPr="00070E8F">
        <w:rPr>
          <w:rFonts w:ascii="Times New Roman" w:hAnsi="Times New Roman" w:cs="Times New Roman"/>
          <w:i/>
          <w:iCs/>
          <w:noProof/>
          <w:sz w:val="24"/>
          <w:szCs w:val="24"/>
        </w:rPr>
        <w:t>Oncotarget</w:t>
      </w:r>
      <w:r w:rsidRPr="00070E8F">
        <w:rPr>
          <w:rFonts w:ascii="Times New Roman" w:hAnsi="Times New Roman" w:cs="Times New Roman"/>
          <w:noProof/>
          <w:sz w:val="24"/>
          <w:szCs w:val="24"/>
        </w:rPr>
        <w:t xml:space="preserve"> </w:t>
      </w:r>
      <w:r w:rsidRPr="00070E8F">
        <w:rPr>
          <w:rFonts w:ascii="Times New Roman" w:hAnsi="Times New Roman" w:cs="Times New Roman"/>
          <w:b/>
          <w:bCs/>
          <w:noProof/>
          <w:sz w:val="24"/>
          <w:szCs w:val="24"/>
        </w:rPr>
        <w:t>10</w:t>
      </w:r>
      <w:r w:rsidRPr="00070E8F">
        <w:rPr>
          <w:rFonts w:ascii="Times New Roman" w:hAnsi="Times New Roman" w:cs="Times New Roman"/>
          <w:noProof/>
          <w:sz w:val="24"/>
          <w:szCs w:val="24"/>
        </w:rPr>
        <w:t>, 2660–2674 (2019).</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83.</w:t>
      </w:r>
      <w:r w:rsidRPr="00070E8F">
        <w:rPr>
          <w:rFonts w:ascii="Times New Roman" w:hAnsi="Times New Roman" w:cs="Times New Roman"/>
          <w:noProof/>
          <w:sz w:val="24"/>
          <w:szCs w:val="24"/>
        </w:rPr>
        <w:tab/>
        <w:t xml:space="preserve">Pachis, S. T. &amp; Kops, G. J. P. L. Leader of the SAC: Molecular mechanisms of Mps1/TTK regulation in mitosis. </w:t>
      </w:r>
      <w:r w:rsidRPr="00070E8F">
        <w:rPr>
          <w:rFonts w:ascii="Times New Roman" w:hAnsi="Times New Roman" w:cs="Times New Roman"/>
          <w:i/>
          <w:iCs/>
          <w:noProof/>
          <w:sz w:val="24"/>
          <w:szCs w:val="24"/>
        </w:rPr>
        <w:t>Open Biology</w:t>
      </w:r>
      <w:r w:rsidRPr="00070E8F">
        <w:rPr>
          <w:rFonts w:ascii="Times New Roman" w:hAnsi="Times New Roman" w:cs="Times New Roman"/>
          <w:noProof/>
          <w:sz w:val="24"/>
          <w:szCs w:val="24"/>
        </w:rPr>
        <w:t xml:space="preserve"> (2018) doi:10.1098/rsob.180109.</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84.</w:t>
      </w:r>
      <w:r w:rsidRPr="00070E8F">
        <w:rPr>
          <w:rFonts w:ascii="Times New Roman" w:hAnsi="Times New Roman" w:cs="Times New Roman"/>
          <w:noProof/>
          <w:sz w:val="24"/>
          <w:szCs w:val="24"/>
        </w:rPr>
        <w:tab/>
        <w:t xml:space="preserve">Sheltzer, J. M.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Aneuploidy drives genomic instability in yeast. </w:t>
      </w:r>
      <w:r w:rsidRPr="00070E8F">
        <w:rPr>
          <w:rFonts w:ascii="Times New Roman" w:hAnsi="Times New Roman" w:cs="Times New Roman"/>
          <w:i/>
          <w:iCs/>
          <w:noProof/>
          <w:sz w:val="24"/>
          <w:szCs w:val="24"/>
        </w:rPr>
        <w:t>Science (80-. ).</w:t>
      </w:r>
      <w:r w:rsidRPr="00070E8F">
        <w:rPr>
          <w:rFonts w:ascii="Times New Roman" w:hAnsi="Times New Roman" w:cs="Times New Roman"/>
          <w:noProof/>
          <w:sz w:val="24"/>
          <w:szCs w:val="24"/>
        </w:rPr>
        <w:t xml:space="preserve"> (2011) doi:10.1126/science.1206412.</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85.</w:t>
      </w:r>
      <w:r w:rsidRPr="00070E8F">
        <w:rPr>
          <w:rFonts w:ascii="Times New Roman" w:hAnsi="Times New Roman" w:cs="Times New Roman"/>
          <w:noProof/>
          <w:sz w:val="24"/>
          <w:szCs w:val="24"/>
        </w:rPr>
        <w:tab/>
        <w:t xml:space="preserve">Passerini, V.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The presence of extra chromosomes leads to genomic instability. </w:t>
      </w:r>
      <w:r w:rsidRPr="00070E8F">
        <w:rPr>
          <w:rFonts w:ascii="Times New Roman" w:hAnsi="Times New Roman" w:cs="Times New Roman"/>
          <w:i/>
          <w:iCs/>
          <w:noProof/>
          <w:sz w:val="24"/>
          <w:szCs w:val="24"/>
        </w:rPr>
        <w:t>Nat. Commun.</w:t>
      </w:r>
      <w:r w:rsidRPr="00070E8F">
        <w:rPr>
          <w:rFonts w:ascii="Times New Roman" w:hAnsi="Times New Roman" w:cs="Times New Roman"/>
          <w:noProof/>
          <w:sz w:val="24"/>
          <w:szCs w:val="24"/>
        </w:rPr>
        <w:t xml:space="preserve"> (2016) doi:10.1038/ncomms10754.</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86.</w:t>
      </w:r>
      <w:r w:rsidRPr="00070E8F">
        <w:rPr>
          <w:rFonts w:ascii="Times New Roman" w:hAnsi="Times New Roman" w:cs="Times New Roman"/>
          <w:noProof/>
          <w:sz w:val="24"/>
          <w:szCs w:val="24"/>
        </w:rPr>
        <w:tab/>
        <w:t xml:space="preserve">Catarinella, M., Grüner, T., Strittmatter, T., Marx, A. &amp; Mayer, T. U. BTB-1 A small molecule inhibitor of the mitotic motor protein kif18A. </w:t>
      </w:r>
      <w:r w:rsidRPr="00070E8F">
        <w:rPr>
          <w:rFonts w:ascii="Times New Roman" w:hAnsi="Times New Roman" w:cs="Times New Roman"/>
          <w:i/>
          <w:iCs/>
          <w:noProof/>
          <w:sz w:val="24"/>
          <w:szCs w:val="24"/>
        </w:rPr>
        <w:t>Angew. Chemie - Int. Ed.</w:t>
      </w:r>
      <w:r w:rsidRPr="00070E8F">
        <w:rPr>
          <w:rFonts w:ascii="Times New Roman" w:hAnsi="Times New Roman" w:cs="Times New Roman"/>
          <w:noProof/>
          <w:sz w:val="24"/>
          <w:szCs w:val="24"/>
        </w:rPr>
        <w:t xml:space="preserve"> (2009) doi:10.1002/anie.200904510.</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szCs w:val="24"/>
        </w:rPr>
      </w:pPr>
      <w:r w:rsidRPr="00070E8F">
        <w:rPr>
          <w:rFonts w:ascii="Times New Roman" w:hAnsi="Times New Roman" w:cs="Times New Roman"/>
          <w:noProof/>
          <w:sz w:val="24"/>
          <w:szCs w:val="24"/>
        </w:rPr>
        <w:t>87.</w:t>
      </w:r>
      <w:r w:rsidRPr="00070E8F">
        <w:rPr>
          <w:rFonts w:ascii="Times New Roman" w:hAnsi="Times New Roman" w:cs="Times New Roman"/>
          <w:noProof/>
          <w:sz w:val="24"/>
          <w:szCs w:val="24"/>
        </w:rPr>
        <w:tab/>
        <w:t xml:space="preserve">Fonseca, C. L.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Mitotic chromosome alignment ensures mitotic fidelity by promoting interchromosomal compaction during anaphase. </w:t>
      </w:r>
      <w:r w:rsidRPr="00070E8F">
        <w:rPr>
          <w:rFonts w:ascii="Times New Roman" w:hAnsi="Times New Roman" w:cs="Times New Roman"/>
          <w:i/>
          <w:iCs/>
          <w:noProof/>
          <w:sz w:val="24"/>
          <w:szCs w:val="24"/>
        </w:rPr>
        <w:t>J. Cell Biol.</w:t>
      </w:r>
      <w:r w:rsidRPr="00070E8F">
        <w:rPr>
          <w:rFonts w:ascii="Times New Roman" w:hAnsi="Times New Roman" w:cs="Times New Roman"/>
          <w:noProof/>
          <w:sz w:val="24"/>
          <w:szCs w:val="24"/>
        </w:rPr>
        <w:t xml:space="preserve"> (2019) doi:10.1083/jcb.201807228.</w:t>
      </w:r>
    </w:p>
    <w:p w:rsidR="001638EE" w:rsidRPr="00070E8F" w:rsidRDefault="001638EE" w:rsidP="001638EE">
      <w:pPr>
        <w:widowControl w:val="0"/>
        <w:autoSpaceDE w:val="0"/>
        <w:autoSpaceDN w:val="0"/>
        <w:adjustRightInd w:val="0"/>
        <w:spacing w:after="240" w:line="240" w:lineRule="auto"/>
        <w:ind w:left="640" w:hanging="640"/>
        <w:rPr>
          <w:rFonts w:ascii="Times New Roman" w:hAnsi="Times New Roman" w:cs="Times New Roman"/>
          <w:noProof/>
          <w:sz w:val="24"/>
        </w:rPr>
      </w:pPr>
      <w:r w:rsidRPr="00070E8F">
        <w:rPr>
          <w:rFonts w:ascii="Times New Roman" w:hAnsi="Times New Roman" w:cs="Times New Roman"/>
          <w:noProof/>
          <w:sz w:val="24"/>
          <w:szCs w:val="24"/>
        </w:rPr>
        <w:t>88.</w:t>
      </w:r>
      <w:r w:rsidRPr="00070E8F">
        <w:rPr>
          <w:rFonts w:ascii="Times New Roman" w:hAnsi="Times New Roman" w:cs="Times New Roman"/>
          <w:noProof/>
          <w:sz w:val="24"/>
          <w:szCs w:val="24"/>
        </w:rPr>
        <w:tab/>
        <w:t xml:space="preserve">Schukken, K. M. </w:t>
      </w:r>
      <w:r w:rsidRPr="00070E8F">
        <w:rPr>
          <w:rFonts w:ascii="Times New Roman" w:hAnsi="Times New Roman" w:cs="Times New Roman"/>
          <w:i/>
          <w:iCs/>
          <w:noProof/>
          <w:sz w:val="24"/>
          <w:szCs w:val="24"/>
        </w:rPr>
        <w:t>et al.</w:t>
      </w:r>
      <w:r w:rsidRPr="00070E8F">
        <w:rPr>
          <w:rFonts w:ascii="Times New Roman" w:hAnsi="Times New Roman" w:cs="Times New Roman"/>
          <w:noProof/>
          <w:sz w:val="24"/>
          <w:szCs w:val="24"/>
        </w:rPr>
        <w:t xml:space="preserve"> Altering microtubule dynamics is synergistically toxic with spindle assembly checkpoint inhibition. </w:t>
      </w:r>
      <w:r w:rsidRPr="00070E8F">
        <w:rPr>
          <w:rFonts w:ascii="Times New Roman" w:hAnsi="Times New Roman" w:cs="Times New Roman"/>
          <w:i/>
          <w:iCs/>
          <w:noProof/>
          <w:sz w:val="24"/>
          <w:szCs w:val="24"/>
        </w:rPr>
        <w:t>Life Sci. Alliance</w:t>
      </w:r>
      <w:r w:rsidRPr="00070E8F">
        <w:rPr>
          <w:rFonts w:ascii="Times New Roman" w:hAnsi="Times New Roman" w:cs="Times New Roman"/>
          <w:noProof/>
          <w:sz w:val="24"/>
          <w:szCs w:val="24"/>
        </w:rPr>
        <w:t xml:space="preserve"> (2020).</w:t>
      </w:r>
    </w:p>
    <w:p w:rsidR="001638EE" w:rsidRDefault="001638EE" w:rsidP="001638EE">
      <w:pPr>
        <w:rPr>
          <w:rFonts w:ascii="Times New Roman" w:hAnsi="Times New Roman" w:cs="Times New Roman"/>
          <w:b/>
          <w:bCs/>
          <w:sz w:val="24"/>
          <w:szCs w:val="24"/>
          <w:u w:val="single"/>
        </w:rPr>
      </w:pPr>
    </w:p>
    <w:p w:rsidR="00326C9F" w:rsidRDefault="00326C9F" w:rsidP="001638EE">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u w:val="single"/>
        </w:rPr>
      </w:pPr>
    </w:p>
    <w:sectPr w:rsidR="00326C9F" w:rsidSect="008141C4">
      <w:footerReference w:type="default" r:id="rId16"/>
      <w:pgSz w:w="12240" w:h="15840"/>
      <w:pgMar w:top="1304" w:right="1304" w:bottom="130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302" w:rsidRDefault="001A1302">
      <w:pPr>
        <w:spacing w:after="0" w:line="240" w:lineRule="auto"/>
      </w:pPr>
      <w:r>
        <w:separator/>
      </w:r>
    </w:p>
  </w:endnote>
  <w:endnote w:type="continuationSeparator" w:id="0">
    <w:p w:rsidR="001A1302" w:rsidRDefault="001A1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751496"/>
      <w:docPartObj>
        <w:docPartGallery w:val="Page Numbers (Bottom of Page)"/>
        <w:docPartUnique/>
      </w:docPartObj>
    </w:sdtPr>
    <w:sdtEndPr>
      <w:rPr>
        <w:noProof/>
      </w:rPr>
    </w:sdtEndPr>
    <w:sdtContent>
      <w:p w:rsidR="005F0E35" w:rsidRDefault="002C36CA">
        <w:pPr>
          <w:pStyle w:val="Footer"/>
          <w:jc w:val="center"/>
        </w:pPr>
        <w:r>
          <w:fldChar w:fldCharType="begin"/>
        </w:r>
        <w:r>
          <w:instrText xml:space="preserve"> PAGE   \* MERGEFORMAT </w:instrText>
        </w:r>
        <w:r>
          <w:fldChar w:fldCharType="separate"/>
        </w:r>
        <w:r w:rsidR="00BF75FD">
          <w:rPr>
            <w:noProof/>
          </w:rPr>
          <w:t>14</w:t>
        </w:r>
        <w:r>
          <w:rPr>
            <w:noProof/>
          </w:rPr>
          <w:fldChar w:fldCharType="end"/>
        </w:r>
      </w:p>
    </w:sdtContent>
  </w:sdt>
  <w:p w:rsidR="005F0E35" w:rsidRDefault="001A13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302" w:rsidRDefault="001A1302">
      <w:pPr>
        <w:spacing w:after="0" w:line="240" w:lineRule="auto"/>
      </w:pPr>
      <w:r>
        <w:separator/>
      </w:r>
    </w:p>
  </w:footnote>
  <w:footnote w:type="continuationSeparator" w:id="0">
    <w:p w:rsidR="001A1302" w:rsidRDefault="001A1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E051A"/>
    <w:multiLevelType w:val="multilevel"/>
    <w:tmpl w:val="D46EF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1E1A3F"/>
    <w:multiLevelType w:val="hybridMultilevel"/>
    <w:tmpl w:val="E2FA4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115150"/>
    <w:multiLevelType w:val="hybridMultilevel"/>
    <w:tmpl w:val="E54E9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914A11"/>
    <w:multiLevelType w:val="hybridMultilevel"/>
    <w:tmpl w:val="E54E9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48"/>
    <w:rsid w:val="000146F3"/>
    <w:rsid w:val="000150F8"/>
    <w:rsid w:val="000B2226"/>
    <w:rsid w:val="000B3213"/>
    <w:rsid w:val="00103E11"/>
    <w:rsid w:val="00107E27"/>
    <w:rsid w:val="001638EE"/>
    <w:rsid w:val="00192139"/>
    <w:rsid w:val="00196B34"/>
    <w:rsid w:val="001A1302"/>
    <w:rsid w:val="001A77C3"/>
    <w:rsid w:val="002745C3"/>
    <w:rsid w:val="002C36CA"/>
    <w:rsid w:val="003225C8"/>
    <w:rsid w:val="00326C9F"/>
    <w:rsid w:val="003B1D44"/>
    <w:rsid w:val="003C0A61"/>
    <w:rsid w:val="00433F66"/>
    <w:rsid w:val="00443073"/>
    <w:rsid w:val="0055454F"/>
    <w:rsid w:val="00586F01"/>
    <w:rsid w:val="005A4551"/>
    <w:rsid w:val="005D1671"/>
    <w:rsid w:val="00751D72"/>
    <w:rsid w:val="007939E7"/>
    <w:rsid w:val="007B4748"/>
    <w:rsid w:val="007C0F94"/>
    <w:rsid w:val="007C5F48"/>
    <w:rsid w:val="00807C44"/>
    <w:rsid w:val="00811EF2"/>
    <w:rsid w:val="008141C4"/>
    <w:rsid w:val="008A3A17"/>
    <w:rsid w:val="008B1CB0"/>
    <w:rsid w:val="008D4307"/>
    <w:rsid w:val="009010BD"/>
    <w:rsid w:val="009459A1"/>
    <w:rsid w:val="009538E2"/>
    <w:rsid w:val="00972DA7"/>
    <w:rsid w:val="00990129"/>
    <w:rsid w:val="009D3992"/>
    <w:rsid w:val="009E3CA9"/>
    <w:rsid w:val="00A16918"/>
    <w:rsid w:val="00A83CB5"/>
    <w:rsid w:val="00AA0DA9"/>
    <w:rsid w:val="00AC28B5"/>
    <w:rsid w:val="00B573F0"/>
    <w:rsid w:val="00BE1896"/>
    <w:rsid w:val="00BF75FD"/>
    <w:rsid w:val="00CA06A7"/>
    <w:rsid w:val="00CA47BD"/>
    <w:rsid w:val="00CC5CE5"/>
    <w:rsid w:val="00CE2D87"/>
    <w:rsid w:val="00D27CA5"/>
    <w:rsid w:val="00D8467F"/>
    <w:rsid w:val="00D857FF"/>
    <w:rsid w:val="00DC1E95"/>
    <w:rsid w:val="00E34739"/>
    <w:rsid w:val="00E763A5"/>
    <w:rsid w:val="00F05182"/>
    <w:rsid w:val="00F23970"/>
    <w:rsid w:val="00F3177E"/>
    <w:rsid w:val="00FE688F"/>
    <w:rsid w:val="00FF4A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E56B"/>
  <w15:docId w15:val="{3E81E02D-1E61-45FD-A47F-CAC86A4F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5F48"/>
    <w:pPr>
      <w:pBdr>
        <w:top w:val="nil"/>
        <w:left w:val="nil"/>
        <w:bottom w:val="nil"/>
        <w:right w:val="nil"/>
        <w:between w:val="nil"/>
      </w:pBdr>
    </w:pPr>
    <w:rPr>
      <w:rFonts w:ascii="Calibri" w:eastAsia="Calibri" w:hAnsi="Calibri" w:cs="Calibri"/>
      <w:color w:val="000000"/>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2C36CA"/>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cstheme="minorBidi"/>
      <w:noProof/>
      <w:color w:val="auto"/>
      <w:lang w:bidi="ar-SA"/>
    </w:rPr>
  </w:style>
  <w:style w:type="character" w:customStyle="1" w:styleId="EndNoteBibliographyChar">
    <w:name w:val="EndNote Bibliography Char"/>
    <w:basedOn w:val="DefaultParagraphFont"/>
    <w:link w:val="EndNoteBibliography"/>
    <w:rsid w:val="002C36CA"/>
    <w:rPr>
      <w:rFonts w:ascii="Calibri" w:hAnsi="Calibri"/>
      <w:noProof/>
    </w:rPr>
  </w:style>
  <w:style w:type="paragraph" w:styleId="Footer">
    <w:name w:val="footer"/>
    <w:basedOn w:val="Normal"/>
    <w:link w:val="FooterChar"/>
    <w:uiPriority w:val="99"/>
    <w:unhideWhenUsed/>
    <w:rsid w:val="002C36CA"/>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after="0" w:line="240" w:lineRule="auto"/>
    </w:pPr>
    <w:rPr>
      <w:rFonts w:asciiTheme="minorHAnsi" w:eastAsiaTheme="minorHAnsi" w:hAnsiTheme="minorHAnsi" w:cstheme="minorBidi"/>
      <w:color w:val="auto"/>
      <w:lang w:bidi="ar-SA"/>
    </w:rPr>
  </w:style>
  <w:style w:type="character" w:customStyle="1" w:styleId="FooterChar">
    <w:name w:val="Footer Char"/>
    <w:basedOn w:val="DefaultParagraphFont"/>
    <w:link w:val="Footer"/>
    <w:uiPriority w:val="99"/>
    <w:rsid w:val="002C36CA"/>
  </w:style>
  <w:style w:type="paragraph" w:styleId="BalloonText">
    <w:name w:val="Balloon Text"/>
    <w:basedOn w:val="Normal"/>
    <w:link w:val="BalloonTextChar"/>
    <w:uiPriority w:val="99"/>
    <w:semiHidden/>
    <w:unhideWhenUsed/>
    <w:rsid w:val="002C3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6CA"/>
    <w:rPr>
      <w:rFonts w:ascii="Tahoma" w:eastAsia="Calibri" w:hAnsi="Tahoma" w:cs="Tahoma"/>
      <w:color w:val="000000"/>
      <w:sz w:val="16"/>
      <w:szCs w:val="16"/>
      <w:lang w:bidi="he-IL"/>
    </w:rPr>
  </w:style>
  <w:style w:type="paragraph" w:styleId="ListParagraph">
    <w:name w:val="List Paragraph"/>
    <w:basedOn w:val="Normal"/>
    <w:uiPriority w:val="34"/>
    <w:qFormat/>
    <w:rsid w:val="002C36CA"/>
    <w:pPr>
      <w:pBdr>
        <w:top w:val="none" w:sz="0" w:space="0" w:color="auto"/>
        <w:left w:val="none" w:sz="0" w:space="0" w:color="auto"/>
        <w:bottom w:val="none" w:sz="0" w:space="0" w:color="auto"/>
        <w:right w:val="none" w:sz="0" w:space="0" w:color="auto"/>
        <w:between w:val="none" w:sz="0" w:space="0" w:color="auto"/>
      </w:pBdr>
      <w:bidi/>
      <w:ind w:left="720"/>
    </w:pPr>
    <w:rPr>
      <w:rFonts w:cs="Arial"/>
      <w:color w:val="auto"/>
    </w:rPr>
  </w:style>
  <w:style w:type="character" w:styleId="Hyperlink">
    <w:name w:val="Hyperlink"/>
    <w:basedOn w:val="DefaultParagraphFont"/>
    <w:uiPriority w:val="99"/>
    <w:rsid w:val="00B573F0"/>
    <w:rPr>
      <w:color w:val="0000FF" w:themeColor="hyperlink"/>
      <w:u w:val="single"/>
    </w:rPr>
  </w:style>
  <w:style w:type="paragraph" w:customStyle="1" w:styleId="Affiliation">
    <w:name w:val="Affiliation"/>
    <w:basedOn w:val="Normal"/>
    <w:rsid w:val="00B573F0"/>
    <w:pPr>
      <w:pBdr>
        <w:top w:val="none" w:sz="0" w:space="0" w:color="auto"/>
        <w:left w:val="none" w:sz="0" w:space="0" w:color="auto"/>
        <w:bottom w:val="none" w:sz="0" w:space="0" w:color="auto"/>
        <w:right w:val="none" w:sz="0" w:space="0" w:color="auto"/>
        <w:between w:val="none" w:sz="0" w:space="0" w:color="auto"/>
      </w:pBdr>
      <w:overflowPunct w:val="0"/>
      <w:autoSpaceDE w:val="0"/>
      <w:autoSpaceDN w:val="0"/>
      <w:spacing w:after="0" w:line="240" w:lineRule="auto"/>
      <w:jc w:val="center"/>
    </w:pPr>
    <w:rPr>
      <w:rFonts w:ascii="Times New Roman" w:eastAsiaTheme="minorHAnsi" w:hAnsi="Times New Roman" w:cs="Times New Roman"/>
      <w:color w:val="auto"/>
      <w:lang w:eastAsia="fr-FR"/>
    </w:rPr>
  </w:style>
  <w:style w:type="paragraph" w:customStyle="1" w:styleId="DataField11pt-Single">
    <w:name w:val="Data Field 11pt-Single"/>
    <w:basedOn w:val="Normal"/>
    <w:link w:val="DataField11pt-SingleChar"/>
    <w:rsid w:val="00B573F0"/>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Arial" w:eastAsia="Times New Roman" w:hAnsi="Arial" w:cs="Arial"/>
      <w:color w:val="auto"/>
      <w:szCs w:val="20"/>
      <w:lang w:bidi="ar-SA"/>
    </w:rPr>
  </w:style>
  <w:style w:type="character" w:customStyle="1" w:styleId="DataField11pt-SingleChar">
    <w:name w:val="Data Field 11pt-Single Char"/>
    <w:basedOn w:val="DefaultParagraphFont"/>
    <w:link w:val="DataField11pt-Single"/>
    <w:rsid w:val="00B573F0"/>
    <w:rPr>
      <w:rFonts w:ascii="Arial" w:eastAsia="Times New Roman" w:hAnsi="Arial" w:cs="Arial"/>
      <w:szCs w:val="20"/>
    </w:rPr>
  </w:style>
  <w:style w:type="paragraph" w:styleId="Header">
    <w:name w:val="header"/>
    <w:basedOn w:val="Normal"/>
    <w:link w:val="HeaderChar"/>
    <w:uiPriority w:val="99"/>
    <w:unhideWhenUsed/>
    <w:rsid w:val="00163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8EE"/>
    <w:rPr>
      <w:rFonts w:ascii="Calibri" w:eastAsia="Calibri" w:hAnsi="Calibri" w:cs="Calibri"/>
      <w:color w:val="00000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epmap.org/porta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14</Pages>
  <Words>27441</Words>
  <Characters>156415</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The Broad Institute</Company>
  <LinksUpToDate>false</LinksUpToDate>
  <CharactersWithSpaces>183490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 Ben-David</dc:creator>
  <cp:lastModifiedBy>Uri</cp:lastModifiedBy>
  <cp:revision>10</cp:revision>
  <cp:lastPrinted>2018-06-12T22:43:00Z</cp:lastPrinted>
  <dcterms:created xsi:type="dcterms:W3CDTF">2020-12-17T09:14:00Z</dcterms:created>
  <dcterms:modified xsi:type="dcterms:W3CDTF">2020-12-18T08:50:00Z</dcterms:modified>
</cp:coreProperties>
</file>