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sz w:val="32"/>
          <w:szCs w:val="32"/>
        </w:rPr>
      </w:pPr>
      <w:r w:rsidDel="00000000" w:rsidR="00000000" w:rsidRPr="00000000">
        <w:rPr>
          <w:b w:val="1"/>
          <w:sz w:val="32"/>
          <w:szCs w:val="32"/>
          <w:rtl w:val="0"/>
        </w:rPr>
        <w:t xml:space="preserve">Supplementary Information</w:t>
      </w:r>
    </w:p>
    <w:p w:rsidR="00000000" w:rsidDel="00000000" w:rsidP="00000000" w:rsidRDefault="00000000" w:rsidRPr="00000000" w14:paraId="00000002">
      <w:pPr>
        <w:jc w:val="center"/>
        <w:rPr/>
      </w:pPr>
      <w:r w:rsidDel="00000000" w:rsidR="00000000" w:rsidRPr="00000000">
        <w:rPr>
          <w:rtl w:val="0"/>
        </w:rPr>
        <w:t xml:space="preserve">The Anglo-Saxon migration and the formation of the Early English gene pool</w:t>
      </w:r>
    </w:p>
    <w:p w:rsidR="00000000" w:rsidDel="00000000" w:rsidP="00000000" w:rsidRDefault="00000000" w:rsidRPr="00000000" w14:paraId="00000003">
      <w:pPr>
        <w:jc w:val="center"/>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62"/>
        </w:tabs>
        <w:spacing w:after="100" w:before="0" w:line="259" w:lineRule="auto"/>
        <w:ind w:left="0" w:right="0" w:firstLine="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Supplementary Information Guide</w:t>
      </w:r>
    </w:p>
    <w:sdt>
      <w:sdtPr>
        <w:docPartObj>
          <w:docPartGallery w:val="Table of Contents"/>
          <w:docPartUnique w:val="1"/>
        </w:docPartObj>
      </w:sdtPr>
      <w:sdtContent>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62"/>
            </w:tabs>
            <w:spacing w:after="100" w:before="0" w:line="259" w:lineRule="auto"/>
            <w:ind w:left="0" w:right="0" w:firstLine="0"/>
            <w:jc w:val="left"/>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fldChar w:fldCharType="begin"/>
            <w:instrText xml:space="preserve"> TOC \h \u \z </w:instrText>
            <w:fldChar w:fldCharType="separate"/>
          </w:r>
          <w:hyperlink w:anchor="_heading=h.gjdgxs">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Supplementary Note 1 </w:t>
            </w:r>
          </w:hyperlink>
          <w:hyperlink w:anchor="_heading=h.gjdgxs">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Site descriptions</w:t>
            </w:r>
          </w:hyperlink>
          <w:hyperlink w:anchor="_heading=h.gjdgxs">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3</w:t>
            </w:r>
          </w:hyperlink>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62"/>
            </w:tabs>
            <w:spacing w:after="100" w:before="0" w:line="259" w:lineRule="auto"/>
            <w:ind w:left="220" w:right="0" w:firstLine="0"/>
            <w:jc w:val="left"/>
            <w:rPr>
              <w:rFonts w:ascii="Cambria" w:cs="Cambria" w:eastAsia="Cambria" w:hAnsi="Cambria"/>
              <w:b w:val="0"/>
              <w:i w:val="0"/>
              <w:smallCaps w:val="0"/>
              <w:strike w:val="0"/>
              <w:color w:val="000000"/>
              <w:sz w:val="22"/>
              <w:szCs w:val="22"/>
              <w:u w:val="none"/>
              <w:shd w:fill="auto" w:val="clear"/>
              <w:vertAlign w:val="baseline"/>
            </w:rPr>
          </w:pPr>
          <w:hyperlink w:anchor="_heading=h.30j0zll">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England</w:t>
              <w:tab/>
              <w:t xml:space="preserve">3</w:t>
            </w:r>
          </w:hyperlink>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62"/>
            </w:tabs>
            <w:spacing w:after="100" w:before="0" w:line="259" w:lineRule="auto"/>
            <w:ind w:left="660" w:right="0" w:firstLine="0"/>
            <w:jc w:val="left"/>
            <w:rPr>
              <w:rFonts w:ascii="Cambria" w:cs="Cambria" w:eastAsia="Cambria" w:hAnsi="Cambria"/>
              <w:b w:val="0"/>
              <w:i w:val="0"/>
              <w:smallCaps w:val="0"/>
              <w:strike w:val="0"/>
              <w:color w:val="000000"/>
              <w:sz w:val="22"/>
              <w:szCs w:val="22"/>
              <w:u w:val="none"/>
              <w:shd w:fill="auto" w:val="clear"/>
              <w:vertAlign w:val="baseline"/>
            </w:rPr>
          </w:pPr>
          <w:hyperlink w:anchor="_heading=h.1fob9te">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Apple Down, Chichester, West Sussex</w:t>
              <w:tab/>
              <w:t xml:space="preserve">3</w:t>
            </w:r>
          </w:hyperlink>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62"/>
            </w:tabs>
            <w:spacing w:after="100" w:before="0" w:line="259" w:lineRule="auto"/>
            <w:ind w:left="660" w:right="0" w:firstLine="0"/>
            <w:jc w:val="left"/>
            <w:rPr>
              <w:rFonts w:ascii="Cambria" w:cs="Cambria" w:eastAsia="Cambria" w:hAnsi="Cambria"/>
              <w:b w:val="0"/>
              <w:i w:val="0"/>
              <w:smallCaps w:val="0"/>
              <w:strike w:val="0"/>
              <w:color w:val="000000"/>
              <w:sz w:val="22"/>
              <w:szCs w:val="22"/>
              <w:u w:val="none"/>
              <w:shd w:fill="auto" w:val="clear"/>
              <w:vertAlign w:val="baseline"/>
            </w:rPr>
          </w:pPr>
          <w:hyperlink w:anchor="_heading=h.2et92p0">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Dover Buckland, Dover, Kent</w:t>
              <w:tab/>
              <w:t xml:space="preserve">4</w:t>
            </w:r>
          </w:hyperlink>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62"/>
            </w:tabs>
            <w:spacing w:after="100" w:before="0" w:line="259" w:lineRule="auto"/>
            <w:ind w:left="660" w:right="0" w:firstLine="0"/>
            <w:jc w:val="left"/>
            <w:rPr>
              <w:rFonts w:ascii="Cambria" w:cs="Cambria" w:eastAsia="Cambria" w:hAnsi="Cambria"/>
              <w:b w:val="0"/>
              <w:i w:val="0"/>
              <w:smallCaps w:val="0"/>
              <w:strike w:val="0"/>
              <w:color w:val="000000"/>
              <w:sz w:val="22"/>
              <w:szCs w:val="22"/>
              <w:u w:val="none"/>
              <w:shd w:fill="auto" w:val="clear"/>
              <w:vertAlign w:val="baseline"/>
            </w:rPr>
          </w:pPr>
          <w:hyperlink w:anchor="_heading=h.tyjcwt">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Widemouth Bay, Bude, Cornwall</w:t>
              <w:tab/>
              <w:t xml:space="preserve">6</w:t>
            </w:r>
          </w:hyperlink>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62"/>
            </w:tabs>
            <w:spacing w:after="100" w:before="0" w:line="259" w:lineRule="auto"/>
            <w:ind w:left="660" w:right="0" w:firstLine="0"/>
            <w:jc w:val="left"/>
            <w:rPr>
              <w:rFonts w:ascii="Cambria" w:cs="Cambria" w:eastAsia="Cambria" w:hAnsi="Cambria"/>
              <w:b w:val="0"/>
              <w:i w:val="0"/>
              <w:smallCaps w:val="0"/>
              <w:strike w:val="0"/>
              <w:color w:val="000000"/>
              <w:sz w:val="22"/>
              <w:szCs w:val="22"/>
              <w:u w:val="none"/>
              <w:shd w:fill="auto" w:val="clear"/>
              <w:vertAlign w:val="baseline"/>
            </w:rPr>
          </w:pPr>
          <w:hyperlink w:anchor="_heading=h.3dy6vkm">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Fox Holes Cave, Clapdale, North Yorkshire</w:t>
              <w:tab/>
              <w:t xml:space="preserve">6</w:t>
            </w:r>
          </w:hyperlink>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62"/>
            </w:tabs>
            <w:spacing w:after="100" w:before="0" w:line="259" w:lineRule="auto"/>
            <w:ind w:left="660" w:right="0" w:firstLine="0"/>
            <w:jc w:val="left"/>
            <w:rPr>
              <w:rFonts w:ascii="Cambria" w:cs="Cambria" w:eastAsia="Cambria" w:hAnsi="Cambria"/>
              <w:b w:val="0"/>
              <w:i w:val="0"/>
              <w:smallCaps w:val="0"/>
              <w:strike w:val="0"/>
              <w:color w:val="000000"/>
              <w:sz w:val="22"/>
              <w:szCs w:val="22"/>
              <w:u w:val="none"/>
              <w:shd w:fill="auto" w:val="clear"/>
              <w:vertAlign w:val="baseline"/>
            </w:rPr>
          </w:pPr>
          <w:hyperlink w:anchor="_heading=h.1t3h5sf">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Eastry Updown, Dover District, Kent</w:t>
              <w:tab/>
              <w:t xml:space="preserve">6</w:t>
            </w:r>
          </w:hyperlink>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62"/>
            </w:tabs>
            <w:spacing w:after="100" w:before="0" w:line="259" w:lineRule="auto"/>
            <w:ind w:left="660" w:right="0" w:firstLine="0"/>
            <w:jc w:val="left"/>
            <w:rPr>
              <w:rFonts w:ascii="Cambria" w:cs="Cambria" w:eastAsia="Cambria" w:hAnsi="Cambria"/>
              <w:b w:val="0"/>
              <w:i w:val="0"/>
              <w:smallCaps w:val="0"/>
              <w:strike w:val="0"/>
              <w:color w:val="000000"/>
              <w:sz w:val="22"/>
              <w:szCs w:val="22"/>
              <w:u w:val="none"/>
              <w:shd w:fill="auto" w:val="clear"/>
              <w:vertAlign w:val="baseline"/>
            </w:rPr>
          </w:pPr>
          <w:hyperlink w:anchor="_heading=h.4d34og8">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Ely, East Cambridgeshire, Cambridgeshire</w:t>
              <w:tab/>
              <w:t xml:space="preserve">7</w:t>
            </w:r>
          </w:hyperlink>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62"/>
            </w:tabs>
            <w:spacing w:after="100" w:before="0" w:line="259" w:lineRule="auto"/>
            <w:ind w:left="660" w:right="0" w:firstLine="0"/>
            <w:jc w:val="left"/>
            <w:rPr>
              <w:rFonts w:ascii="Cambria" w:cs="Cambria" w:eastAsia="Cambria" w:hAnsi="Cambria"/>
              <w:b w:val="0"/>
              <w:i w:val="0"/>
              <w:smallCaps w:val="0"/>
              <w:strike w:val="0"/>
              <w:color w:val="000000"/>
              <w:sz w:val="22"/>
              <w:szCs w:val="22"/>
              <w:u w:val="none"/>
              <w:shd w:fill="auto" w:val="clear"/>
              <w:vertAlign w:val="baseline"/>
            </w:rPr>
          </w:pPr>
          <w:hyperlink w:anchor="_heading=h.2s8eyo1">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Hartlepool, Olive Street, Unitary Authority Hartlepool</w:t>
              <w:tab/>
              <w:t xml:space="preserve">8</w:t>
            </w:r>
          </w:hyperlink>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62"/>
            </w:tabs>
            <w:spacing w:after="100" w:before="0" w:line="259" w:lineRule="auto"/>
            <w:ind w:left="660" w:right="0" w:firstLine="0"/>
            <w:jc w:val="left"/>
            <w:rPr>
              <w:rFonts w:ascii="Cambria" w:cs="Cambria" w:eastAsia="Cambria" w:hAnsi="Cambria"/>
              <w:b w:val="0"/>
              <w:i w:val="0"/>
              <w:smallCaps w:val="0"/>
              <w:strike w:val="0"/>
              <w:color w:val="000000"/>
              <w:sz w:val="22"/>
              <w:szCs w:val="22"/>
              <w:u w:val="none"/>
              <w:shd w:fill="auto" w:val="clear"/>
              <w:vertAlign w:val="baseline"/>
            </w:rPr>
          </w:pPr>
          <w:hyperlink w:anchor="_heading=h.17dp8vu">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Dover Hill, Folkestone, Kent</w:t>
              <w:tab/>
              <w:t xml:space="preserve">9</w:t>
            </w:r>
          </w:hyperlink>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62"/>
            </w:tabs>
            <w:spacing w:after="100" w:before="0" w:line="259" w:lineRule="auto"/>
            <w:ind w:left="660" w:right="0" w:firstLine="0"/>
            <w:jc w:val="left"/>
            <w:rPr>
              <w:rFonts w:ascii="Cambria" w:cs="Cambria" w:eastAsia="Cambria" w:hAnsi="Cambria"/>
              <w:b w:val="0"/>
              <w:i w:val="0"/>
              <w:smallCaps w:val="0"/>
              <w:strike w:val="0"/>
              <w:color w:val="000000"/>
              <w:sz w:val="22"/>
              <w:szCs w:val="22"/>
              <w:u w:val="none"/>
              <w:shd w:fill="auto" w:val="clear"/>
              <w:vertAlign w:val="baseline"/>
            </w:rPr>
          </w:pPr>
          <w:hyperlink w:anchor="_heading=h.3rdcrjn">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Hatherdene Close, Cherry Hinton, Cambridgeshire</w:t>
              <w:tab/>
              <w:t xml:space="preserve">9</w:t>
            </w:r>
          </w:hyperlink>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62"/>
            </w:tabs>
            <w:spacing w:after="100" w:before="0" w:line="259" w:lineRule="auto"/>
            <w:ind w:left="660" w:right="0" w:firstLine="0"/>
            <w:jc w:val="left"/>
            <w:rPr>
              <w:rFonts w:ascii="Cambria" w:cs="Cambria" w:eastAsia="Cambria" w:hAnsi="Cambria"/>
              <w:b w:val="0"/>
              <w:i w:val="0"/>
              <w:smallCaps w:val="0"/>
              <w:strike w:val="0"/>
              <w:color w:val="000000"/>
              <w:sz w:val="22"/>
              <w:szCs w:val="22"/>
              <w:u w:val="none"/>
              <w:shd w:fill="auto" w:val="clear"/>
              <w:vertAlign w:val="baseline"/>
            </w:rPr>
          </w:pPr>
          <w:hyperlink w:anchor="_heading=h.26in1rg">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RAF Lakenheath, Eriswell parish, Suffolk</w:t>
              <w:tab/>
              <w:t xml:space="preserve">10</w:t>
            </w:r>
          </w:hyperlink>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62"/>
            </w:tabs>
            <w:spacing w:after="100" w:before="0" w:line="259" w:lineRule="auto"/>
            <w:ind w:left="660" w:right="0" w:firstLine="0"/>
            <w:jc w:val="left"/>
            <w:rPr>
              <w:rFonts w:ascii="Cambria" w:cs="Cambria" w:eastAsia="Cambria" w:hAnsi="Cambria"/>
              <w:b w:val="0"/>
              <w:i w:val="0"/>
              <w:smallCaps w:val="0"/>
              <w:strike w:val="0"/>
              <w:color w:val="000000"/>
              <w:sz w:val="22"/>
              <w:szCs w:val="22"/>
              <w:u w:val="none"/>
              <w:shd w:fill="auto" w:val="clear"/>
              <w:vertAlign w:val="baseline"/>
            </w:rPr>
          </w:pPr>
          <w:hyperlink w:anchor="_heading=h.lnxbz9">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Lincoln Castle, Lincoln, Lincolnshire</w:t>
              <w:tab/>
              <w:t xml:space="preserve">11</w:t>
            </w:r>
          </w:hyperlink>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62"/>
            </w:tabs>
            <w:spacing w:after="100" w:before="0" w:line="259" w:lineRule="auto"/>
            <w:ind w:left="660" w:right="0" w:firstLine="0"/>
            <w:jc w:val="left"/>
            <w:rPr>
              <w:rFonts w:ascii="Cambria" w:cs="Cambria" w:eastAsia="Cambria" w:hAnsi="Cambria"/>
              <w:b w:val="0"/>
              <w:i w:val="0"/>
              <w:smallCaps w:val="0"/>
              <w:strike w:val="0"/>
              <w:color w:val="000000"/>
              <w:sz w:val="22"/>
              <w:szCs w:val="22"/>
              <w:u w:val="none"/>
              <w:shd w:fill="auto" w:val="clear"/>
              <w:vertAlign w:val="baseline"/>
            </w:rPr>
          </w:pPr>
          <w:hyperlink w:anchor="_heading=h.35nkun2">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Newquay, Crantock, Cornwall</w:t>
              <w:tab/>
              <w:t xml:space="preserve">12</w:t>
            </w:r>
          </w:hyperlink>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62"/>
            </w:tabs>
            <w:spacing w:after="100" w:before="0" w:line="259" w:lineRule="auto"/>
            <w:ind w:left="660" w:right="0" w:firstLine="0"/>
            <w:jc w:val="left"/>
            <w:rPr>
              <w:rFonts w:ascii="Cambria" w:cs="Cambria" w:eastAsia="Cambria" w:hAnsi="Cambria"/>
              <w:b w:val="0"/>
              <w:i w:val="0"/>
              <w:smallCaps w:val="0"/>
              <w:strike w:val="0"/>
              <w:color w:val="000000"/>
              <w:sz w:val="22"/>
              <w:szCs w:val="22"/>
              <w:u w:val="none"/>
              <w:shd w:fill="auto" w:val="clear"/>
              <w:vertAlign w:val="baseline"/>
            </w:rPr>
          </w:pPr>
          <w:hyperlink w:anchor="_heading=h.1ksv4uv">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Norton, Bishopsmill, Stockton on Tees</w:t>
              <w:tab/>
              <w:t xml:space="preserve">12</w:t>
            </w:r>
          </w:hyperlink>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62"/>
            </w:tabs>
            <w:spacing w:after="100" w:before="0" w:line="259" w:lineRule="auto"/>
            <w:ind w:left="660" w:right="0" w:firstLine="0"/>
            <w:jc w:val="left"/>
            <w:rPr>
              <w:rFonts w:ascii="Cambria" w:cs="Cambria" w:eastAsia="Cambria" w:hAnsi="Cambria"/>
              <w:b w:val="0"/>
              <w:i w:val="0"/>
              <w:smallCaps w:val="0"/>
              <w:strike w:val="0"/>
              <w:color w:val="000000"/>
              <w:sz w:val="22"/>
              <w:szCs w:val="22"/>
              <w:u w:val="none"/>
              <w:shd w:fill="auto" w:val="clear"/>
              <w:vertAlign w:val="baseline"/>
            </w:rPr>
          </w:pPr>
          <w:hyperlink w:anchor="_heading=h.44sinio">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Norton, East Mill, Stockton on Tees</w:t>
              <w:tab/>
              <w:t xml:space="preserve">12</w:t>
            </w:r>
          </w:hyperlink>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62"/>
            </w:tabs>
            <w:spacing w:after="100" w:before="0" w:line="259" w:lineRule="auto"/>
            <w:ind w:left="660" w:right="0" w:firstLine="0"/>
            <w:jc w:val="left"/>
            <w:rPr>
              <w:rFonts w:ascii="Cambria" w:cs="Cambria" w:eastAsia="Cambria" w:hAnsi="Cambria"/>
              <w:b w:val="0"/>
              <w:i w:val="0"/>
              <w:smallCaps w:val="0"/>
              <w:strike w:val="0"/>
              <w:color w:val="000000"/>
              <w:sz w:val="22"/>
              <w:szCs w:val="22"/>
              <w:u w:val="none"/>
              <w:shd w:fill="auto" w:val="clear"/>
              <w:vertAlign w:val="baseline"/>
            </w:rPr>
          </w:pPr>
          <w:hyperlink w:anchor="_heading=h.2jxsxqh">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Oakington, South Cambridgeshire, Cambridgeshire</w:t>
              <w:tab/>
              <w:t xml:space="preserve">13</w:t>
            </w:r>
          </w:hyperlink>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62"/>
            </w:tabs>
            <w:spacing w:after="100" w:before="0" w:line="259" w:lineRule="auto"/>
            <w:ind w:left="660" w:right="0" w:firstLine="0"/>
            <w:jc w:val="left"/>
            <w:rPr>
              <w:rFonts w:ascii="Cambria" w:cs="Cambria" w:eastAsia="Cambria" w:hAnsi="Cambria"/>
              <w:b w:val="0"/>
              <w:i w:val="0"/>
              <w:smallCaps w:val="0"/>
              <w:strike w:val="0"/>
              <w:color w:val="000000"/>
              <w:sz w:val="22"/>
              <w:szCs w:val="22"/>
              <w:u w:val="none"/>
              <w:shd w:fill="auto" w:val="clear"/>
              <w:vertAlign w:val="baseline"/>
            </w:rPr>
          </w:pPr>
          <w:hyperlink w:anchor="_heading=h.z337ya">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Polhill, Maidstone District, Kent</w:t>
              <w:tab/>
              <w:t xml:space="preserve">14</w:t>
            </w:r>
          </w:hyperlink>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62"/>
            </w:tabs>
            <w:spacing w:after="100" w:before="0" w:line="259" w:lineRule="auto"/>
            <w:ind w:left="660" w:right="0" w:firstLine="0"/>
            <w:jc w:val="left"/>
            <w:rPr>
              <w:rFonts w:ascii="Cambria" w:cs="Cambria" w:eastAsia="Cambria" w:hAnsi="Cambria"/>
              <w:b w:val="0"/>
              <w:i w:val="0"/>
              <w:smallCaps w:val="0"/>
              <w:strike w:val="0"/>
              <w:color w:val="000000"/>
              <w:sz w:val="22"/>
              <w:szCs w:val="22"/>
              <w:u w:val="none"/>
              <w:shd w:fill="auto" w:val="clear"/>
              <w:vertAlign w:val="baseline"/>
            </w:rPr>
          </w:pPr>
          <w:hyperlink w:anchor="_heading=h.3j2qqm3">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Rookery Hill, Bishopstone, East Sussex</w:t>
              <w:tab/>
              <w:t xml:space="preserve">15</w:t>
            </w:r>
          </w:hyperlink>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62"/>
            </w:tabs>
            <w:spacing w:after="100" w:before="0" w:line="259" w:lineRule="auto"/>
            <w:ind w:left="660" w:right="0" w:firstLine="0"/>
            <w:jc w:val="left"/>
            <w:rPr>
              <w:rFonts w:ascii="Cambria" w:cs="Cambria" w:eastAsia="Cambria" w:hAnsi="Cambria"/>
              <w:b w:val="0"/>
              <w:i w:val="0"/>
              <w:smallCaps w:val="0"/>
              <w:strike w:val="0"/>
              <w:color w:val="000000"/>
              <w:sz w:val="22"/>
              <w:szCs w:val="22"/>
              <w:u w:val="none"/>
              <w:shd w:fill="auto" w:val="clear"/>
              <w:vertAlign w:val="baseline"/>
            </w:rPr>
          </w:pPr>
          <w:hyperlink w:anchor="_heading=h.1y810tw">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Sedgeford, King's Lynn and West Norfolk, Norfolk</w:t>
              <w:tab/>
              <w:t xml:space="preserve">16</w:t>
            </w:r>
          </w:hyperlink>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62"/>
            </w:tabs>
            <w:spacing w:after="100" w:before="0" w:line="259" w:lineRule="auto"/>
            <w:ind w:left="660" w:right="0" w:firstLine="0"/>
            <w:jc w:val="left"/>
            <w:rPr>
              <w:rFonts w:ascii="Cambria" w:cs="Cambria" w:eastAsia="Cambria" w:hAnsi="Cambria"/>
              <w:b w:val="0"/>
              <w:i w:val="0"/>
              <w:smallCaps w:val="0"/>
              <w:strike w:val="0"/>
              <w:color w:val="000000"/>
              <w:sz w:val="22"/>
              <w:szCs w:val="22"/>
              <w:u w:val="none"/>
              <w:shd w:fill="auto" w:val="clear"/>
              <w:vertAlign w:val="baseline"/>
            </w:rPr>
          </w:pPr>
          <w:hyperlink w:anchor="_heading=h.4i7ojhp">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West Heslerton, Ryedale District, North Yorkshire</w:t>
              <w:tab/>
              <w:t xml:space="preserve">17</w:t>
            </w:r>
          </w:hyperlink>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62"/>
            </w:tabs>
            <w:spacing w:after="100" w:before="0" w:line="259" w:lineRule="auto"/>
            <w:ind w:left="660" w:right="0" w:firstLine="0"/>
            <w:jc w:val="left"/>
            <w:rPr>
              <w:rFonts w:ascii="Cambria" w:cs="Cambria" w:eastAsia="Cambria" w:hAnsi="Cambria"/>
              <w:b w:val="0"/>
              <w:i w:val="0"/>
              <w:smallCaps w:val="0"/>
              <w:strike w:val="0"/>
              <w:color w:val="000000"/>
              <w:sz w:val="22"/>
              <w:szCs w:val="22"/>
              <w:u w:val="none"/>
              <w:shd w:fill="auto" w:val="clear"/>
              <w:vertAlign w:val="baseline"/>
            </w:rPr>
          </w:pPr>
          <w:hyperlink w:anchor="_heading=h.2xcytpi">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Wolverton, Radcliffe School Mid-Saxon Cemetery, Borough of Milton Keynes</w:t>
              <w:tab/>
              <w:t xml:space="preserve">18</w:t>
            </w:r>
          </w:hyperlink>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62"/>
            </w:tabs>
            <w:spacing w:after="100" w:before="0" w:line="259" w:lineRule="auto"/>
            <w:ind w:left="660" w:right="0" w:firstLine="0"/>
            <w:jc w:val="left"/>
            <w:rPr>
              <w:rFonts w:ascii="Cambria" w:cs="Cambria" w:eastAsia="Cambria" w:hAnsi="Cambria"/>
              <w:b w:val="0"/>
              <w:i w:val="0"/>
              <w:smallCaps w:val="0"/>
              <w:strike w:val="0"/>
              <w:color w:val="000000"/>
              <w:sz w:val="22"/>
              <w:szCs w:val="22"/>
              <w:u w:val="none"/>
              <w:shd w:fill="auto" w:val="clear"/>
              <w:vertAlign w:val="baseline"/>
            </w:rPr>
          </w:pPr>
          <w:hyperlink w:anchor="_heading=h.1ci93xb">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Worth Matravers, Football Field, Dorset</w:t>
              <w:tab/>
              <w:t xml:space="preserve">19</w:t>
            </w:r>
          </w:hyperlink>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62"/>
            </w:tabs>
            <w:spacing w:after="100" w:before="0" w:line="259" w:lineRule="auto"/>
            <w:ind w:left="220" w:right="0" w:firstLine="0"/>
            <w:jc w:val="left"/>
            <w:rPr>
              <w:rFonts w:ascii="Cambria" w:cs="Cambria" w:eastAsia="Cambria" w:hAnsi="Cambria"/>
              <w:b w:val="0"/>
              <w:i w:val="0"/>
              <w:smallCaps w:val="0"/>
              <w:strike w:val="0"/>
              <w:color w:val="000000"/>
              <w:sz w:val="22"/>
              <w:szCs w:val="22"/>
              <w:u w:val="none"/>
              <w:shd w:fill="auto" w:val="clear"/>
              <w:vertAlign w:val="baseline"/>
            </w:rPr>
          </w:pPr>
          <w:hyperlink w:anchor="_heading=h.3whwml4">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Ireland</w:t>
              <w:tab/>
              <w:t xml:space="preserve">19</w:t>
            </w:r>
          </w:hyperlink>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62"/>
            </w:tabs>
            <w:spacing w:after="100" w:before="0" w:line="259" w:lineRule="auto"/>
            <w:ind w:left="660" w:right="0" w:firstLine="0"/>
            <w:jc w:val="left"/>
            <w:rPr>
              <w:rFonts w:ascii="Cambria" w:cs="Cambria" w:eastAsia="Cambria" w:hAnsi="Cambria"/>
              <w:b w:val="0"/>
              <w:i w:val="0"/>
              <w:smallCaps w:val="0"/>
              <w:strike w:val="0"/>
              <w:color w:val="000000"/>
              <w:sz w:val="22"/>
              <w:szCs w:val="22"/>
              <w:u w:val="none"/>
              <w:shd w:fill="auto" w:val="clear"/>
              <w:vertAlign w:val="baseline"/>
            </w:rPr>
          </w:pPr>
          <w:hyperlink w:anchor="_heading=h.2bn6wsx">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Kilteasheen, The Bishop’s Seat, County Roscommon</w:t>
              <w:tab/>
              <w:t xml:space="preserve">19</w:t>
            </w:r>
          </w:hyperlink>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62"/>
            </w:tabs>
            <w:spacing w:after="100" w:before="0" w:line="259" w:lineRule="auto"/>
            <w:ind w:left="220" w:right="0" w:firstLine="0"/>
            <w:jc w:val="left"/>
            <w:rPr>
              <w:rFonts w:ascii="Cambria" w:cs="Cambria" w:eastAsia="Cambria" w:hAnsi="Cambria"/>
              <w:b w:val="0"/>
              <w:i w:val="0"/>
              <w:smallCaps w:val="0"/>
              <w:strike w:val="0"/>
              <w:color w:val="000000"/>
              <w:sz w:val="22"/>
              <w:szCs w:val="22"/>
              <w:u w:val="none"/>
              <w:shd w:fill="auto" w:val="clear"/>
              <w:vertAlign w:val="baseline"/>
            </w:rPr>
          </w:pPr>
          <w:hyperlink w:anchor="_heading=h.qsh70q">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Netherlands</w:t>
              <w:tab/>
              <w:t xml:space="preserve">20</w:t>
            </w:r>
          </w:hyperlink>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62"/>
            </w:tabs>
            <w:spacing w:after="100" w:before="0" w:line="259" w:lineRule="auto"/>
            <w:ind w:left="660" w:right="0" w:firstLine="0"/>
            <w:jc w:val="left"/>
            <w:rPr>
              <w:rFonts w:ascii="Cambria" w:cs="Cambria" w:eastAsia="Cambria" w:hAnsi="Cambria"/>
              <w:b w:val="0"/>
              <w:i w:val="0"/>
              <w:smallCaps w:val="0"/>
              <w:strike w:val="0"/>
              <w:color w:val="000000"/>
              <w:sz w:val="22"/>
              <w:szCs w:val="22"/>
              <w:u w:val="none"/>
              <w:shd w:fill="auto" w:val="clear"/>
              <w:vertAlign w:val="baseline"/>
            </w:rPr>
          </w:pPr>
          <w:hyperlink w:anchor="_heading=h.3as4poj">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Groningen, Groningen</w:t>
              <w:tab/>
              <w:t xml:space="preserve">20</w:t>
            </w:r>
          </w:hyperlink>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62"/>
            </w:tabs>
            <w:spacing w:after="100" w:before="0" w:line="259" w:lineRule="auto"/>
            <w:ind w:left="660" w:right="0" w:firstLine="0"/>
            <w:jc w:val="left"/>
            <w:rPr>
              <w:rFonts w:ascii="Cambria" w:cs="Cambria" w:eastAsia="Cambria" w:hAnsi="Cambria"/>
              <w:b w:val="0"/>
              <w:i w:val="0"/>
              <w:smallCaps w:val="0"/>
              <w:strike w:val="0"/>
              <w:color w:val="000000"/>
              <w:sz w:val="22"/>
              <w:szCs w:val="22"/>
              <w:u w:val="none"/>
              <w:shd w:fill="auto" w:val="clear"/>
              <w:vertAlign w:val="baseline"/>
            </w:rPr>
          </w:pPr>
          <w:hyperlink w:anchor="_heading=h.1pxezwc">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Midlum, Friesland</w:t>
              <w:tab/>
              <w:t xml:space="preserve">20</w:t>
            </w:r>
          </w:hyperlink>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62"/>
            </w:tabs>
            <w:spacing w:after="100" w:before="0" w:line="259" w:lineRule="auto"/>
            <w:ind w:left="220" w:right="0" w:firstLine="0"/>
            <w:jc w:val="left"/>
            <w:rPr>
              <w:rFonts w:ascii="Cambria" w:cs="Cambria" w:eastAsia="Cambria" w:hAnsi="Cambria"/>
              <w:b w:val="0"/>
              <w:i w:val="0"/>
              <w:smallCaps w:val="0"/>
              <w:strike w:val="0"/>
              <w:color w:val="000000"/>
              <w:sz w:val="22"/>
              <w:szCs w:val="22"/>
              <w:u w:val="none"/>
              <w:shd w:fill="auto" w:val="clear"/>
              <w:vertAlign w:val="baseline"/>
            </w:rPr>
          </w:pPr>
          <w:hyperlink w:anchor="_heading=h.49x2ik5">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Denmark</w:t>
              <w:tab/>
              <w:t xml:space="preserve">21</w:t>
            </w:r>
          </w:hyperlink>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62"/>
            </w:tabs>
            <w:spacing w:after="100" w:before="0" w:line="259" w:lineRule="auto"/>
            <w:ind w:left="660" w:right="0" w:firstLine="0"/>
            <w:jc w:val="left"/>
            <w:rPr>
              <w:rFonts w:ascii="Cambria" w:cs="Cambria" w:eastAsia="Cambria" w:hAnsi="Cambria"/>
              <w:b w:val="0"/>
              <w:i w:val="0"/>
              <w:smallCaps w:val="0"/>
              <w:strike w:val="0"/>
              <w:color w:val="000000"/>
              <w:sz w:val="22"/>
              <w:szCs w:val="22"/>
              <w:u w:val="none"/>
              <w:shd w:fill="auto" w:val="clear"/>
              <w:vertAlign w:val="baseline"/>
            </w:rPr>
          </w:pPr>
          <w:hyperlink w:anchor="_heading=h.2p2csry">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Copenhagen, Sct. Clements, KBM3621, Denmark</w:t>
              <w:tab/>
              <w:t xml:space="preserve">21</w:t>
            </w:r>
          </w:hyperlink>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62"/>
            </w:tabs>
            <w:spacing w:after="100" w:before="0" w:line="259" w:lineRule="auto"/>
            <w:ind w:left="220" w:right="0" w:firstLine="0"/>
            <w:jc w:val="left"/>
            <w:rPr>
              <w:rFonts w:ascii="Cambria" w:cs="Cambria" w:eastAsia="Cambria" w:hAnsi="Cambria"/>
              <w:b w:val="0"/>
              <w:i w:val="0"/>
              <w:smallCaps w:val="0"/>
              <w:strike w:val="0"/>
              <w:color w:val="000000"/>
              <w:sz w:val="22"/>
              <w:szCs w:val="22"/>
              <w:u w:val="none"/>
              <w:shd w:fill="auto" w:val="clear"/>
              <w:vertAlign w:val="baseline"/>
            </w:rPr>
          </w:pPr>
          <w:hyperlink w:anchor="_heading=h.147n2z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Germany</w:t>
              <w:tab/>
              <w:t xml:space="preserve">22</w:t>
            </w:r>
          </w:hyperlink>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62"/>
            </w:tabs>
            <w:spacing w:after="100" w:before="0" w:line="259" w:lineRule="auto"/>
            <w:ind w:left="660" w:right="0" w:firstLine="0"/>
            <w:jc w:val="left"/>
            <w:rPr>
              <w:rFonts w:ascii="Cambria" w:cs="Cambria" w:eastAsia="Cambria" w:hAnsi="Cambria"/>
              <w:b w:val="0"/>
              <w:i w:val="0"/>
              <w:smallCaps w:val="0"/>
              <w:strike w:val="0"/>
              <w:color w:val="000000"/>
              <w:sz w:val="22"/>
              <w:szCs w:val="22"/>
              <w:u w:val="none"/>
              <w:shd w:fill="auto" w:val="clear"/>
              <w:vertAlign w:val="baseline"/>
            </w:rPr>
          </w:pPr>
          <w:hyperlink w:anchor="_heading=h.3o7al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Alt-Inden, North Rhine-Westphalia</w:t>
              <w:tab/>
              <w:t xml:space="preserve">22</w:t>
            </w:r>
          </w:hyperlink>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62"/>
            </w:tabs>
            <w:spacing w:after="100" w:before="0" w:line="259" w:lineRule="auto"/>
            <w:ind w:left="660" w:right="0" w:firstLine="0"/>
            <w:jc w:val="left"/>
            <w:rPr>
              <w:rFonts w:ascii="Cambria" w:cs="Cambria" w:eastAsia="Cambria" w:hAnsi="Cambria"/>
              <w:b w:val="0"/>
              <w:i w:val="0"/>
              <w:smallCaps w:val="0"/>
              <w:strike w:val="0"/>
              <w:color w:val="000000"/>
              <w:sz w:val="22"/>
              <w:szCs w:val="22"/>
              <w:u w:val="none"/>
              <w:shd w:fill="auto" w:val="clear"/>
              <w:vertAlign w:val="baseline"/>
            </w:rPr>
          </w:pPr>
          <w:hyperlink w:anchor="_heading=h.ihv636">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Hannover-Anderten, Hannover, Lower Saxony</w:t>
              <w:tab/>
              <w:t xml:space="preserve">22</w:t>
            </w:r>
          </w:hyperlink>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62"/>
            </w:tabs>
            <w:spacing w:after="100" w:before="0" w:line="259" w:lineRule="auto"/>
            <w:ind w:left="660" w:right="0" w:firstLine="0"/>
            <w:jc w:val="left"/>
            <w:rPr>
              <w:rFonts w:ascii="Cambria" w:cs="Cambria" w:eastAsia="Cambria" w:hAnsi="Cambria"/>
              <w:b w:val="0"/>
              <w:i w:val="0"/>
              <w:smallCaps w:val="0"/>
              <w:strike w:val="0"/>
              <w:color w:val="000000"/>
              <w:sz w:val="22"/>
              <w:szCs w:val="22"/>
              <w:u w:val="none"/>
              <w:shd w:fill="auto" w:val="clear"/>
              <w:vertAlign w:val="baseline"/>
            </w:rPr>
          </w:pPr>
          <w:hyperlink w:anchor="_heading=h.32hioqz">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Dunum, Wittmund, Lower Saxony</w:t>
              <w:tab/>
              <w:t xml:space="preserve">22</w:t>
            </w:r>
          </w:hyperlink>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62"/>
            </w:tabs>
            <w:spacing w:after="100" w:before="0" w:line="259" w:lineRule="auto"/>
            <w:ind w:left="660" w:right="0" w:firstLine="0"/>
            <w:jc w:val="left"/>
            <w:rPr>
              <w:rFonts w:ascii="Cambria" w:cs="Cambria" w:eastAsia="Cambria" w:hAnsi="Cambria"/>
              <w:b w:val="0"/>
              <w:i w:val="0"/>
              <w:smallCaps w:val="0"/>
              <w:strike w:val="0"/>
              <w:color w:val="000000"/>
              <w:sz w:val="22"/>
              <w:szCs w:val="22"/>
              <w:u w:val="none"/>
              <w:shd w:fill="auto" w:val="clear"/>
              <w:vertAlign w:val="baseline"/>
            </w:rPr>
          </w:pPr>
          <w:hyperlink w:anchor="_heading=h.1hmsyys">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Drantum, Cloppenburg, Lower Saxony</w:t>
              <w:tab/>
              <w:t xml:space="preserve">23</w:t>
            </w:r>
          </w:hyperlink>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62"/>
            </w:tabs>
            <w:spacing w:after="100" w:before="0" w:line="259" w:lineRule="auto"/>
            <w:ind w:left="660" w:right="0" w:firstLine="0"/>
            <w:jc w:val="left"/>
            <w:rPr>
              <w:rFonts w:ascii="Cambria" w:cs="Cambria" w:eastAsia="Cambria" w:hAnsi="Cambria"/>
              <w:b w:val="0"/>
              <w:i w:val="0"/>
              <w:smallCaps w:val="0"/>
              <w:strike w:val="0"/>
              <w:color w:val="000000"/>
              <w:sz w:val="22"/>
              <w:szCs w:val="22"/>
              <w:u w:val="none"/>
              <w:shd w:fill="auto" w:val="clear"/>
              <w:vertAlign w:val="baseline"/>
            </w:rPr>
          </w:pPr>
          <w:hyperlink w:anchor="_heading=h.41mghml">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Häven, district of Kloster Tempzin, Ludwigslust-Parchim, Mecklenburg-Western Pomerania</w:t>
              <w:tab/>
              <w:t xml:space="preserve">24</w:t>
            </w:r>
          </w:hyperlink>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62"/>
            </w:tabs>
            <w:spacing w:after="100" w:before="0" w:line="259" w:lineRule="auto"/>
            <w:ind w:left="660" w:right="0" w:firstLine="0"/>
            <w:jc w:val="left"/>
            <w:rPr>
              <w:rFonts w:ascii="Cambria" w:cs="Cambria" w:eastAsia="Cambria" w:hAnsi="Cambria"/>
              <w:b w:val="0"/>
              <w:i w:val="0"/>
              <w:smallCaps w:val="0"/>
              <w:strike w:val="0"/>
              <w:color w:val="000000"/>
              <w:sz w:val="22"/>
              <w:szCs w:val="22"/>
              <w:u w:val="none"/>
              <w:shd w:fill="auto" w:val="clear"/>
              <w:vertAlign w:val="baseline"/>
            </w:rPr>
          </w:pPr>
          <w:hyperlink w:anchor="_heading=h.2grqrue">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Hiddestorf, Hannover, Lower Saxony</w:t>
              <w:tab/>
              <w:t xml:space="preserve">24</w:t>
            </w:r>
          </w:hyperlink>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62"/>
            </w:tabs>
            <w:spacing w:after="100" w:before="0" w:line="259" w:lineRule="auto"/>
            <w:ind w:left="660" w:right="0" w:firstLine="0"/>
            <w:jc w:val="left"/>
            <w:rPr>
              <w:rFonts w:ascii="Cambria" w:cs="Cambria" w:eastAsia="Cambria" w:hAnsi="Cambria"/>
              <w:b w:val="0"/>
              <w:i w:val="0"/>
              <w:smallCaps w:val="0"/>
              <w:strike w:val="0"/>
              <w:color w:val="000000"/>
              <w:sz w:val="22"/>
              <w:szCs w:val="22"/>
              <w:u w:val="none"/>
              <w:shd w:fill="auto" w:val="clear"/>
              <w:vertAlign w:val="baseline"/>
            </w:rPr>
          </w:pPr>
          <w:hyperlink w:anchor="_heading=h.vx1227">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Issendorf, district of Stade, Lower Saxony</w:t>
              <w:tab/>
              <w:t xml:space="preserve">25</w:t>
            </w:r>
          </w:hyperlink>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62"/>
            </w:tabs>
            <w:spacing w:after="100" w:before="0" w:line="259" w:lineRule="auto"/>
            <w:ind w:left="660" w:right="0" w:firstLine="0"/>
            <w:jc w:val="left"/>
            <w:rPr>
              <w:rFonts w:ascii="Cambria" w:cs="Cambria" w:eastAsia="Cambria" w:hAnsi="Cambria"/>
              <w:b w:val="0"/>
              <w:i w:val="0"/>
              <w:smallCaps w:val="0"/>
              <w:strike w:val="0"/>
              <w:color w:val="000000"/>
              <w:sz w:val="22"/>
              <w:szCs w:val="22"/>
              <w:u w:val="none"/>
              <w:shd w:fill="auto" w:val="clear"/>
              <w:vertAlign w:val="baseline"/>
            </w:rPr>
          </w:pPr>
          <w:hyperlink w:anchor="_heading=h.3fwokq0">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Liebenau, Nienburg/Weser, Lower Saxony</w:t>
              <w:tab/>
              <w:t xml:space="preserve">26</w:t>
            </w:r>
          </w:hyperlink>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62"/>
            </w:tabs>
            <w:spacing w:after="100" w:before="0" w:line="259" w:lineRule="auto"/>
            <w:ind w:left="660" w:right="0" w:firstLine="0"/>
            <w:jc w:val="left"/>
            <w:rPr>
              <w:rFonts w:ascii="Cambria" w:cs="Cambria" w:eastAsia="Cambria" w:hAnsi="Cambria"/>
              <w:b w:val="0"/>
              <w:i w:val="0"/>
              <w:smallCaps w:val="0"/>
              <w:strike w:val="0"/>
              <w:color w:val="000000"/>
              <w:sz w:val="22"/>
              <w:szCs w:val="22"/>
              <w:u w:val="none"/>
              <w:shd w:fill="auto" w:val="clear"/>
              <w:vertAlign w:val="baseline"/>
            </w:rPr>
          </w:pPr>
          <w:hyperlink w:anchor="_heading=h.1v1yuxt">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Schleswig, Rathausmarkt, Schleswig-Flensburg, Schleswig-Holstein</w:t>
              <w:tab/>
              <w:t xml:space="preserve">26</w:t>
            </w:r>
          </w:hyperlink>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62"/>
            </w:tabs>
            <w:spacing w:after="100" w:before="0" w:line="259" w:lineRule="auto"/>
            <w:ind w:left="660" w:right="0" w:firstLine="0"/>
            <w:jc w:val="left"/>
            <w:rPr>
              <w:rFonts w:ascii="Cambria" w:cs="Cambria" w:eastAsia="Cambria" w:hAnsi="Cambria"/>
              <w:b w:val="0"/>
              <w:i w:val="0"/>
              <w:smallCaps w:val="0"/>
              <w:strike w:val="0"/>
              <w:color w:val="000000"/>
              <w:sz w:val="22"/>
              <w:szCs w:val="22"/>
              <w:u w:val="none"/>
              <w:shd w:fill="auto" w:val="clear"/>
              <w:vertAlign w:val="baseline"/>
            </w:rPr>
          </w:pPr>
          <w:hyperlink w:anchor="_heading=h.2u6wntf">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Schortens, Friesland, Lower Saxony</w:t>
              <w:tab/>
              <w:t xml:space="preserve">27</w:t>
            </w:r>
          </w:hyperlink>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62"/>
            </w:tabs>
            <w:spacing w:after="100" w:before="0" w:line="259" w:lineRule="auto"/>
            <w:ind w:left="660" w:right="0" w:firstLine="0"/>
            <w:jc w:val="left"/>
            <w:rPr>
              <w:rFonts w:ascii="Cambria" w:cs="Cambria" w:eastAsia="Cambria" w:hAnsi="Cambria"/>
              <w:b w:val="0"/>
              <w:i w:val="0"/>
              <w:smallCaps w:val="0"/>
              <w:strike w:val="0"/>
              <w:color w:val="000000"/>
              <w:sz w:val="22"/>
              <w:szCs w:val="22"/>
              <w:u w:val="none"/>
              <w:shd w:fill="auto" w:val="clear"/>
              <w:vertAlign w:val="baseline"/>
            </w:rPr>
          </w:pPr>
          <w:hyperlink w:anchor="_heading=h.19c6y18">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Zetel, Friesland, Lower Saxony</w:t>
              <w:tab/>
              <w:t xml:space="preserve">27</w:t>
            </w:r>
          </w:hyperlink>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62"/>
            </w:tabs>
            <w:spacing w:after="100" w:before="0" w:line="259" w:lineRule="auto"/>
            <w:ind w:left="0" w:right="0" w:firstLine="0"/>
            <w:jc w:val="left"/>
            <w:rPr>
              <w:rFonts w:ascii="Cambria" w:cs="Cambria" w:eastAsia="Cambria" w:hAnsi="Cambria"/>
              <w:b w:val="0"/>
              <w:i w:val="0"/>
              <w:smallCaps w:val="0"/>
              <w:strike w:val="0"/>
              <w:color w:val="000000"/>
              <w:sz w:val="22"/>
              <w:szCs w:val="22"/>
              <w:u w:val="none"/>
              <w:shd w:fill="auto" w:val="clear"/>
              <w:vertAlign w:val="baseline"/>
            </w:rPr>
          </w:pPr>
          <w:hyperlink w:anchor="_heading=h.3tbugp1">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Supplementary Note 2 </w:t>
            </w:r>
          </w:hyperlink>
          <w:hyperlink w:anchor="_heading=h.3tbugp1">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Reference data</w:t>
            </w:r>
          </w:hyperlink>
          <w:hyperlink w:anchor="_heading=h.3tbugp1">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hyperlink>
          <w:hyperlink w:anchor="_heading=h.3tbugp1">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kinship, uniparental markers, and potential sex bias in early medieval England</w:t>
            </w:r>
          </w:hyperlink>
          <w:hyperlink w:anchor="_heading=h.3tbugp1">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28</w:t>
            </w:r>
          </w:hyperlink>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62"/>
            </w:tabs>
            <w:spacing w:after="100" w:before="0" w:line="259" w:lineRule="auto"/>
            <w:ind w:left="220" w:right="0" w:firstLine="0"/>
            <w:jc w:val="left"/>
            <w:rPr>
              <w:rFonts w:ascii="Cambria" w:cs="Cambria" w:eastAsia="Cambria" w:hAnsi="Cambria"/>
              <w:b w:val="0"/>
              <w:i w:val="0"/>
              <w:smallCaps w:val="0"/>
              <w:strike w:val="0"/>
              <w:color w:val="000000"/>
              <w:sz w:val="22"/>
              <w:szCs w:val="22"/>
              <w:u w:val="none"/>
              <w:shd w:fill="auto" w:val="clear"/>
              <w:vertAlign w:val="baseline"/>
            </w:rPr>
          </w:pPr>
          <w:hyperlink w:anchor="_heading=h.28h4qwu">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Reference data</w:t>
              <w:tab/>
              <w:t xml:space="preserve">28</w:t>
            </w:r>
          </w:hyperlink>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62"/>
            </w:tabs>
            <w:spacing w:after="100" w:before="0" w:line="259" w:lineRule="auto"/>
            <w:ind w:left="220" w:right="0" w:firstLine="0"/>
            <w:jc w:val="left"/>
            <w:rPr>
              <w:rFonts w:ascii="Cambria" w:cs="Cambria" w:eastAsia="Cambria" w:hAnsi="Cambria"/>
              <w:b w:val="0"/>
              <w:i w:val="0"/>
              <w:smallCaps w:val="0"/>
              <w:strike w:val="0"/>
              <w:color w:val="000000"/>
              <w:sz w:val="22"/>
              <w:szCs w:val="22"/>
              <w:u w:val="none"/>
              <w:shd w:fill="auto" w:val="clear"/>
              <w:vertAlign w:val="baseline"/>
            </w:rPr>
          </w:pPr>
          <w:hyperlink w:anchor="_heading=h.nmf14n">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Kinship</w:t>
              <w:tab/>
              <w:t xml:space="preserve">31</w:t>
            </w:r>
          </w:hyperlink>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62"/>
            </w:tabs>
            <w:spacing w:after="100" w:before="0" w:line="259" w:lineRule="auto"/>
            <w:ind w:left="220" w:right="0" w:firstLine="0"/>
            <w:jc w:val="left"/>
            <w:rPr>
              <w:rFonts w:ascii="Cambria" w:cs="Cambria" w:eastAsia="Cambria" w:hAnsi="Cambria"/>
              <w:b w:val="0"/>
              <w:i w:val="0"/>
              <w:smallCaps w:val="0"/>
              <w:strike w:val="0"/>
              <w:color w:val="000000"/>
              <w:sz w:val="22"/>
              <w:szCs w:val="22"/>
              <w:u w:val="none"/>
              <w:shd w:fill="auto" w:val="clear"/>
              <w:vertAlign w:val="baseline"/>
            </w:rPr>
          </w:pPr>
          <w:hyperlink w:anchor="_heading=h.37m2jsg">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Mitochondrial DNA</w:t>
              <w:tab/>
              <w:t xml:space="preserve">32</w:t>
            </w:r>
          </w:hyperlink>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62"/>
            </w:tabs>
            <w:spacing w:after="100" w:before="0" w:line="259" w:lineRule="auto"/>
            <w:ind w:left="220" w:right="0" w:firstLine="0"/>
            <w:jc w:val="left"/>
            <w:rPr>
              <w:rFonts w:ascii="Cambria" w:cs="Cambria" w:eastAsia="Cambria" w:hAnsi="Cambria"/>
              <w:b w:val="0"/>
              <w:i w:val="0"/>
              <w:smallCaps w:val="0"/>
              <w:strike w:val="0"/>
              <w:color w:val="000000"/>
              <w:sz w:val="22"/>
              <w:szCs w:val="22"/>
              <w:u w:val="none"/>
              <w:shd w:fill="auto" w:val="clear"/>
              <w:vertAlign w:val="baseline"/>
            </w:rPr>
          </w:pPr>
          <w:hyperlink w:anchor="_heading=h.3l18frh">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Y-chromosome</w:t>
              <w:tab/>
              <w:t xml:space="preserve">43</w:t>
            </w:r>
          </w:hyperlink>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62"/>
            </w:tabs>
            <w:spacing w:after="100" w:before="0" w:line="259" w:lineRule="auto"/>
            <w:ind w:left="220" w:right="0" w:firstLine="0"/>
            <w:jc w:val="left"/>
            <w:rPr>
              <w:rFonts w:ascii="Cambria" w:cs="Cambria" w:eastAsia="Cambria" w:hAnsi="Cambria"/>
              <w:b w:val="0"/>
              <w:i w:val="0"/>
              <w:smallCaps w:val="0"/>
              <w:strike w:val="0"/>
              <w:color w:val="000000"/>
              <w:sz w:val="22"/>
              <w:szCs w:val="22"/>
              <w:u w:val="none"/>
              <w:shd w:fill="auto" w:val="clear"/>
              <w:vertAlign w:val="baseline"/>
            </w:rPr>
          </w:pPr>
          <w:hyperlink w:anchor="_heading=h.1egqt2p">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Sex bias</w:t>
              <w:tab/>
              <w:t xml:space="preserve">48</w:t>
            </w:r>
          </w:hyperlink>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62"/>
            </w:tabs>
            <w:spacing w:after="100" w:before="0" w:line="259" w:lineRule="auto"/>
            <w:ind w:left="440" w:right="0" w:firstLine="0"/>
            <w:jc w:val="left"/>
            <w:rPr>
              <w:rFonts w:ascii="Cambria" w:cs="Cambria" w:eastAsia="Cambria" w:hAnsi="Cambria"/>
              <w:b w:val="0"/>
              <w:i w:val="0"/>
              <w:smallCaps w:val="0"/>
              <w:strike w:val="0"/>
              <w:color w:val="000000"/>
              <w:sz w:val="22"/>
              <w:szCs w:val="22"/>
              <w:u w:val="none"/>
              <w:shd w:fill="auto" w:val="clear"/>
              <w:vertAlign w:val="baseline"/>
            </w:rPr>
          </w:pPr>
          <w:hyperlink w:anchor="_heading=h.3ygebqi">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Descriptive statistics</w:t>
              <w:tab/>
              <w:t xml:space="preserve">48</w:t>
            </w:r>
          </w:hyperlink>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62"/>
            </w:tabs>
            <w:spacing w:after="100" w:before="0" w:line="259" w:lineRule="auto"/>
            <w:ind w:left="440" w:right="0" w:firstLine="0"/>
            <w:jc w:val="left"/>
            <w:rPr>
              <w:rFonts w:ascii="Cambria" w:cs="Cambria" w:eastAsia="Cambria" w:hAnsi="Cambria"/>
              <w:b w:val="0"/>
              <w:i w:val="0"/>
              <w:smallCaps w:val="0"/>
              <w:strike w:val="0"/>
              <w:color w:val="000000"/>
              <w:sz w:val="22"/>
              <w:szCs w:val="22"/>
              <w:u w:val="none"/>
              <w:shd w:fill="auto" w:val="clear"/>
              <w:vertAlign w:val="baseline"/>
            </w:rPr>
          </w:pPr>
          <w:hyperlink w:anchor="_heading=h.2dlolyb">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ADMIXTURE analysis of the X-chromosome</w:t>
              <w:tab/>
              <w:t xml:space="preserve">50</w:t>
            </w:r>
          </w:hyperlink>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62"/>
            </w:tabs>
            <w:spacing w:after="100" w:before="0" w:line="259" w:lineRule="auto"/>
            <w:ind w:left="440" w:right="0" w:firstLine="0"/>
            <w:jc w:val="left"/>
            <w:rPr>
              <w:rFonts w:ascii="Cambria" w:cs="Cambria" w:eastAsia="Cambria" w:hAnsi="Cambria"/>
              <w:b w:val="0"/>
              <w:i w:val="0"/>
              <w:smallCaps w:val="0"/>
              <w:strike w:val="0"/>
              <w:color w:val="000000"/>
              <w:sz w:val="22"/>
              <w:szCs w:val="22"/>
              <w:u w:val="none"/>
              <w:shd w:fill="auto" w:val="clear"/>
              <w:vertAlign w:val="baseline"/>
            </w:rPr>
          </w:pPr>
          <w:hyperlink w:anchor="_heading=h.sqyw64">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Estimating sex-biased ancestry from uniparental markers in the presence of variable admixture proportions</w:t>
              <w:tab/>
              <w:t xml:space="preserve">52</w:t>
            </w:r>
          </w:hyperlink>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62"/>
            </w:tabs>
            <w:spacing w:after="100" w:before="0" w:line="259" w:lineRule="auto"/>
            <w:ind w:left="660" w:right="0" w:firstLine="0"/>
            <w:jc w:val="left"/>
            <w:rPr>
              <w:rFonts w:ascii="Cambria" w:cs="Cambria" w:eastAsia="Cambria" w:hAnsi="Cambria"/>
              <w:b w:val="0"/>
              <w:i w:val="0"/>
              <w:smallCaps w:val="0"/>
              <w:strike w:val="0"/>
              <w:color w:val="000000"/>
              <w:sz w:val="22"/>
              <w:szCs w:val="22"/>
              <w:u w:val="none"/>
              <w:shd w:fill="auto" w:val="clear"/>
              <w:vertAlign w:val="baseline"/>
            </w:rPr>
          </w:pPr>
          <w:hyperlink w:anchor="_heading=h.4bvk7pj">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Y-chromosomes</w:t>
              <w:tab/>
              <w:t xml:space="preserve">53</w:t>
            </w:r>
          </w:hyperlink>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62"/>
            </w:tabs>
            <w:spacing w:after="100" w:before="0" w:line="259" w:lineRule="auto"/>
            <w:ind w:left="660" w:right="0" w:firstLine="0"/>
            <w:jc w:val="left"/>
            <w:rPr>
              <w:rFonts w:ascii="Cambria" w:cs="Cambria" w:eastAsia="Cambria" w:hAnsi="Cambria"/>
              <w:b w:val="0"/>
              <w:i w:val="0"/>
              <w:smallCaps w:val="0"/>
              <w:strike w:val="0"/>
              <w:color w:val="000000"/>
              <w:sz w:val="22"/>
              <w:szCs w:val="22"/>
              <w:u w:val="none"/>
              <w:shd w:fill="auto" w:val="clear"/>
              <w:vertAlign w:val="baseline"/>
            </w:rPr>
          </w:pPr>
          <w:hyperlink w:anchor="_heading=h.1664s55">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Mitochondrial haplogroups</w:t>
              <w:tab/>
              <w:t xml:space="preserve">57</w:t>
            </w:r>
          </w:hyperlink>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62"/>
            </w:tabs>
            <w:spacing w:after="100" w:before="0" w:line="259" w:lineRule="auto"/>
            <w:ind w:left="0" w:right="0" w:firstLine="0"/>
            <w:jc w:val="left"/>
            <w:rPr>
              <w:rFonts w:ascii="Cambria" w:cs="Cambria" w:eastAsia="Cambria" w:hAnsi="Cambria"/>
              <w:b w:val="0"/>
              <w:i w:val="0"/>
              <w:smallCaps w:val="0"/>
              <w:strike w:val="0"/>
              <w:color w:val="000000"/>
              <w:sz w:val="22"/>
              <w:szCs w:val="22"/>
              <w:u w:val="none"/>
              <w:shd w:fill="auto" w:val="clear"/>
              <w:vertAlign w:val="baseline"/>
            </w:rPr>
          </w:pPr>
          <w:hyperlink w:anchor="_heading=h.kgcv8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Supplementary Note 3 </w:t>
            </w:r>
          </w:hyperlink>
          <w:hyperlink w:anchor="_heading=h.kgcv8k">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Continental affinities in early medieval samples from England</w:t>
            </w:r>
          </w:hyperlink>
          <w:hyperlink w:anchor="_heading=h.kgcv8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60</w:t>
            </w:r>
          </w:hyperlink>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62"/>
            </w:tabs>
            <w:spacing w:after="100" w:before="0" w:line="259" w:lineRule="auto"/>
            <w:ind w:left="220" w:right="0" w:firstLine="0"/>
            <w:jc w:val="left"/>
            <w:rPr>
              <w:rFonts w:ascii="Cambria" w:cs="Cambria" w:eastAsia="Cambria" w:hAnsi="Cambria"/>
              <w:b w:val="0"/>
              <w:i w:val="0"/>
              <w:smallCaps w:val="0"/>
              <w:strike w:val="0"/>
              <w:color w:val="000000"/>
              <w:sz w:val="22"/>
              <w:szCs w:val="22"/>
              <w:u w:val="none"/>
              <w:shd w:fill="auto" w:val="clear"/>
              <w:vertAlign w:val="baseline"/>
            </w:rPr>
          </w:pPr>
          <w:hyperlink w:anchor="_heading=h.34g0dwd">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General population genetic affinities</w:t>
              <w:tab/>
              <w:t xml:space="preserve">60</w:t>
            </w:r>
          </w:hyperlink>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62"/>
            </w:tabs>
            <w:spacing w:after="100" w:before="0" w:line="259" w:lineRule="auto"/>
            <w:ind w:left="220" w:right="0" w:firstLine="0"/>
            <w:jc w:val="left"/>
            <w:rPr>
              <w:rFonts w:ascii="Cambria" w:cs="Cambria" w:eastAsia="Cambria" w:hAnsi="Cambria"/>
              <w:b w:val="0"/>
              <w:i w:val="0"/>
              <w:smallCaps w:val="0"/>
              <w:strike w:val="0"/>
              <w:color w:val="000000"/>
              <w:sz w:val="22"/>
              <w:szCs w:val="22"/>
              <w:u w:val="none"/>
              <w:shd w:fill="auto" w:val="clear"/>
              <w:vertAlign w:val="baseline"/>
            </w:rPr>
          </w:pPr>
          <w:hyperlink w:anchor="_heading=h.1jlao46">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Estimating continental admixture</w:t>
              <w:tab/>
              <w:t xml:space="preserve">65</w:t>
            </w:r>
          </w:hyperlink>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62"/>
            </w:tabs>
            <w:spacing w:after="100" w:before="0" w:line="259" w:lineRule="auto"/>
            <w:ind w:left="220" w:right="0" w:firstLine="0"/>
            <w:jc w:val="left"/>
            <w:rPr>
              <w:rFonts w:ascii="Cambria" w:cs="Cambria" w:eastAsia="Cambria" w:hAnsi="Cambria"/>
              <w:b w:val="0"/>
              <w:i w:val="0"/>
              <w:smallCaps w:val="0"/>
              <w:strike w:val="0"/>
              <w:color w:val="000000"/>
              <w:sz w:val="22"/>
              <w:szCs w:val="22"/>
              <w:u w:val="none"/>
              <w:shd w:fill="auto" w:val="clear"/>
              <w:vertAlign w:val="baseline"/>
            </w:rPr>
          </w:pPr>
          <w:hyperlink w:anchor="_heading=h.43ky6rz">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Specific population genetic affinities</w:t>
              <w:tab/>
              <w:t xml:space="preserve">66</w:t>
            </w:r>
          </w:hyperlink>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62"/>
            </w:tabs>
            <w:spacing w:after="100" w:before="0" w:line="259" w:lineRule="auto"/>
            <w:ind w:left="0" w:right="0" w:firstLine="0"/>
            <w:jc w:val="left"/>
            <w:rPr>
              <w:rFonts w:ascii="Cambria" w:cs="Cambria" w:eastAsia="Cambria" w:hAnsi="Cambria"/>
              <w:b w:val="0"/>
              <w:i w:val="0"/>
              <w:smallCaps w:val="0"/>
              <w:strike w:val="0"/>
              <w:color w:val="000000"/>
              <w:sz w:val="22"/>
              <w:szCs w:val="22"/>
              <w:u w:val="none"/>
              <w:shd w:fill="auto" w:val="clear"/>
              <w:vertAlign w:val="baseline"/>
            </w:rPr>
          </w:pPr>
          <w:hyperlink w:anchor="_heading=h.xvir7l">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Supplementary Note 4 </w:t>
            </w:r>
          </w:hyperlink>
          <w:hyperlink w:anchor="_heading=h.xvir7l">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Genetic structure of continental medieval samples</w:t>
            </w:r>
          </w:hyperlink>
          <w:hyperlink w:anchor="_heading=h.xvir7l">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72</w:t>
            </w:r>
          </w:hyperlink>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62"/>
            </w:tabs>
            <w:spacing w:after="100" w:before="0" w:line="259" w:lineRule="auto"/>
            <w:ind w:left="220" w:right="0" w:firstLine="0"/>
            <w:jc w:val="left"/>
            <w:rPr>
              <w:rFonts w:ascii="Cambria" w:cs="Cambria" w:eastAsia="Cambria" w:hAnsi="Cambria"/>
              <w:b w:val="0"/>
              <w:i w:val="0"/>
              <w:smallCaps w:val="0"/>
              <w:strike w:val="0"/>
              <w:color w:val="000000"/>
              <w:sz w:val="22"/>
              <w:szCs w:val="22"/>
              <w:u w:val="none"/>
              <w:shd w:fill="auto" w:val="clear"/>
              <w:vertAlign w:val="baseline"/>
            </w:rPr>
          </w:pPr>
          <w:hyperlink w:anchor="_heading=h.3hv69ve">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General population genetic affinities</w:t>
              <w:tab/>
              <w:t xml:space="preserve">72</w:t>
            </w:r>
          </w:hyperlink>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62"/>
            </w:tabs>
            <w:spacing w:after="100" w:before="0" w:line="259" w:lineRule="auto"/>
            <w:ind w:left="220" w:right="0" w:firstLine="0"/>
            <w:jc w:val="left"/>
            <w:rPr>
              <w:rFonts w:ascii="Cambria" w:cs="Cambria" w:eastAsia="Cambria" w:hAnsi="Cambria"/>
              <w:b w:val="0"/>
              <w:i w:val="0"/>
              <w:smallCaps w:val="0"/>
              <w:strike w:val="0"/>
              <w:color w:val="000000"/>
              <w:sz w:val="22"/>
              <w:szCs w:val="22"/>
              <w:u w:val="none"/>
              <w:shd w:fill="auto" w:val="clear"/>
              <w:vertAlign w:val="baseline"/>
            </w:rPr>
          </w:pPr>
          <w:hyperlink w:anchor="_heading=h.4h042r0">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Identifying outliers</w:t>
              <w:tab/>
              <w:t xml:space="preserve">74</w:t>
            </w:r>
          </w:hyperlink>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62"/>
            </w:tabs>
            <w:spacing w:after="100" w:before="0" w:line="259" w:lineRule="auto"/>
            <w:ind w:left="220" w:right="0" w:firstLine="0"/>
            <w:jc w:val="left"/>
            <w:rPr>
              <w:rFonts w:ascii="Cambria" w:cs="Cambria" w:eastAsia="Cambria" w:hAnsi="Cambria"/>
              <w:b w:val="0"/>
              <w:i w:val="0"/>
              <w:smallCaps w:val="0"/>
              <w:strike w:val="0"/>
              <w:color w:val="000000"/>
              <w:sz w:val="22"/>
              <w:szCs w:val="22"/>
              <w:u w:val="none"/>
              <w:shd w:fill="auto" w:val="clear"/>
              <w:vertAlign w:val="baseline"/>
            </w:rPr>
          </w:pPr>
          <w:hyperlink w:anchor="_heading=h.2w5ecyt">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Estimating admixture</w:t>
              <w:tab/>
              <w:t xml:space="preserve">75</w:t>
            </w:r>
          </w:hyperlink>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62"/>
            </w:tabs>
            <w:spacing w:after="100" w:before="0" w:line="259" w:lineRule="auto"/>
            <w:ind w:left="0" w:right="0" w:firstLine="0"/>
            <w:jc w:val="left"/>
            <w:rPr>
              <w:rFonts w:ascii="Cambria" w:cs="Cambria" w:eastAsia="Cambria" w:hAnsi="Cambria"/>
              <w:b w:val="0"/>
              <w:i w:val="0"/>
              <w:smallCaps w:val="0"/>
              <w:strike w:val="0"/>
              <w:color w:val="000000"/>
              <w:sz w:val="22"/>
              <w:szCs w:val="22"/>
              <w:u w:val="none"/>
              <w:shd w:fill="auto" w:val="clear"/>
              <w:vertAlign w:val="baseline"/>
            </w:rPr>
          </w:pPr>
          <w:hyperlink w:anchor="_heading=h.3vac5uf">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Supplementary Note 5 </w:t>
            </w:r>
          </w:hyperlink>
          <w:hyperlink w:anchor="_heading=h.3vac5uf">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Continental west European ancestry in ancient and modern England</w:t>
            </w:r>
          </w:hyperlink>
          <w:hyperlink w:anchor="_heading=h.3vac5uf">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79</w:t>
            </w:r>
          </w:hyperlink>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62"/>
            </w:tabs>
            <w:spacing w:after="100" w:before="0" w:line="259" w:lineRule="auto"/>
            <w:ind w:left="220" w:right="0" w:firstLine="0"/>
            <w:jc w:val="left"/>
            <w:rPr>
              <w:rFonts w:ascii="Cambria" w:cs="Cambria" w:eastAsia="Cambria" w:hAnsi="Cambria"/>
              <w:b w:val="0"/>
              <w:i w:val="0"/>
              <w:smallCaps w:val="0"/>
              <w:strike w:val="0"/>
              <w:color w:val="000000"/>
              <w:sz w:val="22"/>
              <w:szCs w:val="22"/>
              <w:u w:val="none"/>
              <w:shd w:fill="auto" w:val="clear"/>
              <w:vertAlign w:val="baseline"/>
            </w:rPr>
          </w:pPr>
          <w:hyperlink w:anchor="_heading=h.2afmg28">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Modelling early medieval England</w:t>
              <w:tab/>
              <w:t xml:space="preserve">79</w:t>
            </w:r>
          </w:hyperlink>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62"/>
            </w:tabs>
            <w:spacing w:after="100" w:before="0" w:line="259" w:lineRule="auto"/>
            <w:ind w:left="440" w:right="0" w:firstLine="0"/>
            <w:jc w:val="left"/>
            <w:rPr>
              <w:rFonts w:ascii="Cambria" w:cs="Cambria" w:eastAsia="Cambria" w:hAnsi="Cambria"/>
              <w:b w:val="0"/>
              <w:i w:val="0"/>
              <w:smallCaps w:val="0"/>
              <w:strike w:val="0"/>
              <w:color w:val="000000"/>
              <w:sz w:val="22"/>
              <w:szCs w:val="22"/>
              <w:u w:val="none"/>
              <w:shd w:fill="auto" w:val="clear"/>
              <w:vertAlign w:val="baseline"/>
            </w:rPr>
          </w:pPr>
          <w:hyperlink w:anchor="_heading=h.pkwqa1">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Identifying outliers</w:t>
              <w:tab/>
              <w:t xml:space="preserve">79</w:t>
            </w:r>
          </w:hyperlink>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62"/>
            </w:tabs>
            <w:spacing w:after="100" w:before="0" w:line="259" w:lineRule="auto"/>
            <w:ind w:left="440" w:right="0" w:firstLine="0"/>
            <w:jc w:val="left"/>
            <w:rPr>
              <w:rFonts w:ascii="Cambria" w:cs="Cambria" w:eastAsia="Cambria" w:hAnsi="Cambria"/>
              <w:b w:val="0"/>
              <w:i w:val="0"/>
              <w:smallCaps w:val="0"/>
              <w:strike w:val="0"/>
              <w:color w:val="000000"/>
              <w:sz w:val="22"/>
              <w:szCs w:val="22"/>
              <w:u w:val="none"/>
              <w:shd w:fill="auto" w:val="clear"/>
              <w:vertAlign w:val="baseline"/>
            </w:rPr>
          </w:pPr>
          <w:hyperlink w:anchor="_heading=h.39kk8xu">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Modelling early medieval England</w:t>
              <w:tab/>
              <w:t xml:space="preserve">83</w:t>
            </w:r>
          </w:hyperlink>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62"/>
            </w:tabs>
            <w:spacing w:after="100" w:before="0" w:line="259" w:lineRule="auto"/>
            <w:ind w:left="220" w:right="0" w:firstLine="0"/>
            <w:jc w:val="left"/>
            <w:rPr>
              <w:rFonts w:ascii="Cambria" w:cs="Cambria" w:eastAsia="Cambria" w:hAnsi="Cambria"/>
              <w:b w:val="0"/>
              <w:i w:val="0"/>
              <w:smallCaps w:val="0"/>
              <w:strike w:val="0"/>
              <w:color w:val="000000"/>
              <w:sz w:val="22"/>
              <w:szCs w:val="22"/>
              <w:u w:val="none"/>
              <w:shd w:fill="auto" w:val="clear"/>
              <w:vertAlign w:val="baseline"/>
            </w:rPr>
          </w:pPr>
          <w:hyperlink w:anchor="_heading=h.1opuj5n">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Modelling present-day England</w:t>
              <w:tab/>
              <w:t xml:space="preserve">88</w:t>
            </w:r>
          </w:hyperlink>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62"/>
            </w:tabs>
            <w:spacing w:after="100" w:before="0" w:line="259" w:lineRule="auto"/>
            <w:ind w:left="440" w:right="0" w:firstLine="0"/>
            <w:jc w:val="left"/>
            <w:rPr>
              <w:rFonts w:ascii="Cambria" w:cs="Cambria" w:eastAsia="Cambria" w:hAnsi="Cambria"/>
              <w:b w:val="0"/>
              <w:i w:val="0"/>
              <w:smallCaps w:val="0"/>
              <w:strike w:val="0"/>
              <w:color w:val="000000"/>
              <w:sz w:val="22"/>
              <w:szCs w:val="22"/>
              <w:u w:val="none"/>
              <w:shd w:fill="auto" w:val="clear"/>
              <w:vertAlign w:val="baseline"/>
            </w:rPr>
          </w:pPr>
          <w:hyperlink w:anchor="_heading=h.2nusc19">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Identification of southern European-reated ancestry in England</w:t>
              <w:tab/>
              <w:t xml:space="preserve">91</w:t>
            </w:r>
          </w:hyperlink>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62"/>
            </w:tabs>
            <w:spacing w:after="100" w:before="0" w:line="259" w:lineRule="auto"/>
            <w:ind w:left="440" w:right="0" w:firstLine="0"/>
            <w:jc w:val="left"/>
            <w:rPr>
              <w:rFonts w:ascii="Cambria" w:cs="Cambria" w:eastAsia="Cambria" w:hAnsi="Cambria"/>
              <w:b w:val="0"/>
              <w:i w:val="0"/>
              <w:smallCaps w:val="0"/>
              <w:strike w:val="0"/>
              <w:color w:val="000000"/>
              <w:sz w:val="22"/>
              <w:szCs w:val="22"/>
              <w:u w:val="none"/>
              <w:shd w:fill="auto" w:val="clear"/>
              <w:vertAlign w:val="baseline"/>
            </w:rPr>
          </w:pPr>
          <w:hyperlink w:anchor="_heading=h.184mhaj">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Quantifying the impact on present-day England on a regional level</w:t>
              <w:tab/>
              <w:t xml:space="preserve">100</w:t>
            </w:r>
          </w:hyperlink>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62"/>
            </w:tabs>
            <w:spacing w:after="100" w:before="0" w:line="259" w:lineRule="auto"/>
            <w:ind w:left="0" w:right="0" w:firstLine="0"/>
            <w:jc w:val="left"/>
            <w:rPr>
              <w:rFonts w:ascii="Cambria" w:cs="Cambria" w:eastAsia="Cambria" w:hAnsi="Cambria"/>
              <w:b w:val="0"/>
              <w:i w:val="0"/>
              <w:smallCaps w:val="0"/>
              <w:strike w:val="0"/>
              <w:color w:val="000000"/>
              <w:sz w:val="22"/>
              <w:szCs w:val="22"/>
              <w:u w:val="none"/>
              <w:shd w:fill="auto" w:val="clear"/>
              <w:vertAlign w:val="baseline"/>
            </w:rPr>
          </w:pPr>
          <w:hyperlink w:anchor="_heading=h.2pta16n">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Supplementary Note 6 </w:t>
            </w:r>
          </w:hyperlink>
          <w:hyperlink w:anchor="_heading=h.2pta16n">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Scandinavian Peninsula ancestry in ancient and modern Britain</w:t>
            </w:r>
          </w:hyperlink>
          <w:hyperlink w:anchor="_heading=h.2pta16n">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111</w:t>
            </w:r>
          </w:hyperlink>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62"/>
            </w:tabs>
            <w:spacing w:after="100" w:before="0" w:line="259" w:lineRule="auto"/>
            <w:ind w:left="220" w:right="0" w:firstLine="0"/>
            <w:jc w:val="left"/>
            <w:rPr>
              <w:rFonts w:ascii="Cambria" w:cs="Cambria" w:eastAsia="Cambria" w:hAnsi="Cambria"/>
              <w:b w:val="0"/>
              <w:i w:val="0"/>
              <w:smallCaps w:val="0"/>
              <w:strike w:val="0"/>
              <w:color w:val="000000"/>
              <w:sz w:val="22"/>
              <w:szCs w:val="22"/>
              <w:u w:val="none"/>
              <w:shd w:fill="auto" w:val="clear"/>
              <w:vertAlign w:val="baseline"/>
            </w:rPr>
          </w:pPr>
          <w:hyperlink w:anchor="_heading=h.14ykbeg">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Early medieval England</w:t>
              <w:tab/>
              <w:t xml:space="preserve">111</w:t>
            </w:r>
          </w:hyperlink>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62"/>
            </w:tabs>
            <w:spacing w:after="100" w:before="0" w:line="259" w:lineRule="auto"/>
            <w:ind w:left="440" w:right="0" w:firstLine="0"/>
            <w:jc w:val="left"/>
            <w:rPr>
              <w:rFonts w:ascii="Cambria" w:cs="Cambria" w:eastAsia="Cambria" w:hAnsi="Cambria"/>
              <w:b w:val="0"/>
              <w:i w:val="0"/>
              <w:smallCaps w:val="0"/>
              <w:strike w:val="0"/>
              <w:color w:val="000000"/>
              <w:sz w:val="22"/>
              <w:szCs w:val="22"/>
              <w:u w:val="none"/>
              <w:shd w:fill="auto" w:val="clear"/>
              <w:vertAlign w:val="baseline"/>
            </w:rPr>
          </w:pPr>
          <w:hyperlink w:anchor="_heading=h.3oy7u29">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Identifying outliers</w:t>
              <w:tab/>
              <w:t xml:space="preserve">111</w:t>
            </w:r>
          </w:hyperlink>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62"/>
            </w:tabs>
            <w:spacing w:after="100" w:before="0" w:line="259" w:lineRule="auto"/>
            <w:ind w:left="440" w:right="0" w:firstLine="0"/>
            <w:jc w:val="left"/>
            <w:rPr>
              <w:rFonts w:ascii="Cambria" w:cs="Cambria" w:eastAsia="Cambria" w:hAnsi="Cambria"/>
              <w:b w:val="0"/>
              <w:i w:val="0"/>
              <w:smallCaps w:val="0"/>
              <w:strike w:val="0"/>
              <w:color w:val="000000"/>
              <w:sz w:val="22"/>
              <w:szCs w:val="22"/>
              <w:u w:val="none"/>
              <w:shd w:fill="auto" w:val="clear"/>
              <w:vertAlign w:val="baseline"/>
            </w:rPr>
          </w:pPr>
          <w:hyperlink w:anchor="_heading=h.338fx5o">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Estimating admixture from the Scandinavian Peninsula</w:t>
              <w:tab/>
              <w:t xml:space="preserve">113</w:t>
            </w:r>
          </w:hyperlink>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62"/>
            </w:tabs>
            <w:spacing w:after="100" w:before="0" w:line="259" w:lineRule="auto"/>
            <w:ind w:left="220" w:right="0" w:firstLine="0"/>
            <w:jc w:val="left"/>
            <w:rPr>
              <w:rFonts w:ascii="Cambria" w:cs="Cambria" w:eastAsia="Cambria" w:hAnsi="Cambria"/>
              <w:b w:val="0"/>
              <w:i w:val="0"/>
              <w:smallCaps w:val="0"/>
              <w:strike w:val="0"/>
              <w:color w:val="000000"/>
              <w:sz w:val="22"/>
              <w:szCs w:val="22"/>
              <w:u w:val="none"/>
              <w:shd w:fill="auto" w:val="clear"/>
              <w:vertAlign w:val="baseline"/>
            </w:rPr>
          </w:pPr>
          <w:hyperlink w:anchor="_heading=h.1idq7dh">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Modelling present-day Britain and Ireland</w:t>
              <w:tab/>
              <w:t xml:space="preserve">115</w:t>
            </w:r>
          </w:hyperlink>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62"/>
            </w:tabs>
            <w:spacing w:after="100" w:before="0" w:line="259" w:lineRule="auto"/>
            <w:ind w:left="440" w:right="0" w:firstLine="0"/>
            <w:jc w:val="left"/>
            <w:rPr>
              <w:rFonts w:ascii="Cambria" w:cs="Cambria" w:eastAsia="Cambria" w:hAnsi="Cambria"/>
              <w:b w:val="0"/>
              <w:i w:val="0"/>
              <w:smallCaps w:val="0"/>
              <w:strike w:val="0"/>
              <w:color w:val="000000"/>
              <w:sz w:val="22"/>
              <w:szCs w:val="22"/>
              <w:u w:val="none"/>
              <w:shd w:fill="auto" w:val="clear"/>
              <w:vertAlign w:val="baseline"/>
            </w:rPr>
          </w:pPr>
          <w:hyperlink w:anchor="_heading=h.42ddq1a">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qpAdm</w:t>
              <w:tab/>
              <w:t xml:space="preserve">115</w:t>
            </w:r>
          </w:hyperlink>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62"/>
            </w:tabs>
            <w:spacing w:after="100" w:before="0" w:line="259" w:lineRule="auto"/>
            <w:ind w:left="440" w:right="0" w:firstLine="0"/>
            <w:jc w:val="left"/>
            <w:rPr>
              <w:rFonts w:ascii="Cambria" w:cs="Cambria" w:eastAsia="Cambria" w:hAnsi="Cambria"/>
              <w:b w:val="0"/>
              <w:i w:val="0"/>
              <w:smallCaps w:val="0"/>
              <w:strike w:val="0"/>
              <w:color w:val="000000"/>
              <w:sz w:val="22"/>
              <w:szCs w:val="22"/>
              <w:u w:val="none"/>
              <w:shd w:fill="auto" w:val="clear"/>
              <w:vertAlign w:val="baseline"/>
            </w:rPr>
          </w:pPr>
          <w:hyperlink w:anchor="_heading=h.2hio093">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Supervised ADMIXTURE</w:t>
              <w:tab/>
              <w:t xml:space="preserve">115</w:t>
            </w:r>
          </w:hyperlink>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62"/>
            </w:tabs>
            <w:spacing w:after="100" w:before="0" w:line="259" w:lineRule="auto"/>
            <w:ind w:left="0" w:right="0" w:firstLine="0"/>
            <w:jc w:val="left"/>
            <w:rPr>
              <w:rFonts w:ascii="Cambria" w:cs="Cambria" w:eastAsia="Cambria" w:hAnsi="Cambria"/>
              <w:b w:val="0"/>
              <w:i w:val="0"/>
              <w:smallCaps w:val="0"/>
              <w:strike w:val="0"/>
              <w:color w:val="000000"/>
              <w:sz w:val="22"/>
              <w:szCs w:val="22"/>
              <w:u w:val="none"/>
              <w:shd w:fill="auto" w:val="clear"/>
              <w:vertAlign w:val="baseline"/>
            </w:rPr>
          </w:pPr>
          <w:hyperlink w:anchor="_heading=h.3gnlt4p">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Supplementary Note 7 </w:t>
            </w:r>
          </w:hyperlink>
          <w:hyperlink w:anchor="_heading=h.3gnlt4p">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Association of CNE ancestry with elements of material culture</w:t>
            </w:r>
          </w:hyperlink>
          <w:hyperlink w:anchor="_heading=h.3gnlt4p">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117</w:t>
            </w:r>
          </w:hyperlink>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62"/>
            </w:tabs>
            <w:spacing w:after="100" w:before="0" w:line="259" w:lineRule="auto"/>
            <w:ind w:left="220" w:right="0" w:firstLine="0"/>
            <w:jc w:val="left"/>
            <w:rPr>
              <w:rFonts w:ascii="Cambria" w:cs="Cambria" w:eastAsia="Cambria" w:hAnsi="Cambria"/>
              <w:b w:val="0"/>
              <w:i w:val="0"/>
              <w:smallCaps w:val="0"/>
              <w:strike w:val="0"/>
              <w:color w:val="000000"/>
              <w:sz w:val="22"/>
              <w:szCs w:val="22"/>
              <w:u w:val="none"/>
              <w:shd w:fill="auto" w:val="clear"/>
              <w:vertAlign w:val="baseline"/>
            </w:rPr>
          </w:pPr>
          <w:hyperlink w:anchor="_heading=h.1vsw3ci">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Fisher’s exact test</w:t>
              <w:tab/>
              <w:t xml:space="preserve">117</w:t>
            </w:r>
          </w:hyperlink>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62"/>
            </w:tabs>
            <w:spacing w:after="100" w:before="0" w:line="259" w:lineRule="auto"/>
            <w:ind w:left="440" w:right="0" w:firstLine="0"/>
            <w:jc w:val="left"/>
            <w:rPr>
              <w:rFonts w:ascii="Cambria" w:cs="Cambria" w:eastAsia="Cambria" w:hAnsi="Cambria"/>
              <w:b w:val="0"/>
              <w:i w:val="0"/>
              <w:smallCaps w:val="0"/>
              <w:strike w:val="0"/>
              <w:color w:val="000000"/>
              <w:sz w:val="22"/>
              <w:szCs w:val="22"/>
              <w:u w:val="none"/>
              <w:shd w:fill="auto" w:val="clear"/>
              <w:vertAlign w:val="baseline"/>
            </w:rPr>
          </w:pPr>
          <w:hyperlink w:anchor="_heading=h.4fsjm0b">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For England as a whole</w:t>
              <w:tab/>
              <w:t xml:space="preserve">117</w:t>
            </w:r>
          </w:hyperlink>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62"/>
            </w:tabs>
            <w:spacing w:after="100" w:before="0" w:line="259" w:lineRule="auto"/>
            <w:ind w:left="440" w:right="0" w:firstLine="0"/>
            <w:jc w:val="left"/>
            <w:rPr>
              <w:rFonts w:ascii="Cambria" w:cs="Cambria" w:eastAsia="Cambria" w:hAnsi="Cambria"/>
              <w:b w:val="0"/>
              <w:i w:val="0"/>
              <w:smallCaps w:val="0"/>
              <w:strike w:val="0"/>
              <w:color w:val="000000"/>
              <w:sz w:val="22"/>
              <w:szCs w:val="22"/>
              <w:u w:val="none"/>
              <w:shd w:fill="auto" w:val="clear"/>
              <w:vertAlign w:val="baseline"/>
            </w:rPr>
          </w:pPr>
          <w:hyperlink w:anchor="_heading=h.2uxtw84">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Regional Patterns</w:t>
              <w:tab/>
              <w:t xml:space="preserve">118</w:t>
            </w:r>
          </w:hyperlink>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62"/>
            </w:tabs>
            <w:spacing w:after="100" w:before="0" w:line="259" w:lineRule="auto"/>
            <w:ind w:left="440" w:right="0" w:firstLine="0"/>
            <w:jc w:val="left"/>
            <w:rPr>
              <w:rFonts w:ascii="Cambria" w:cs="Cambria" w:eastAsia="Cambria" w:hAnsi="Cambria"/>
              <w:b w:val="0"/>
              <w:i w:val="0"/>
              <w:smallCaps w:val="0"/>
              <w:strike w:val="0"/>
              <w:color w:val="000000"/>
              <w:sz w:val="22"/>
              <w:szCs w:val="22"/>
              <w:u w:val="none"/>
              <w:shd w:fill="auto" w:val="clear"/>
              <w:vertAlign w:val="baseline"/>
            </w:rPr>
          </w:pPr>
          <w:hyperlink w:anchor="_heading=h.1a346fx">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Cemetery Patterns</w:t>
              <w:tab/>
              <w:t xml:space="preserve">118</w:t>
            </w:r>
          </w:hyperlink>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62"/>
            </w:tabs>
            <w:spacing w:after="100" w:before="0" w:line="259" w:lineRule="auto"/>
            <w:ind w:left="220" w:right="0" w:firstLine="0"/>
            <w:jc w:val="left"/>
            <w:rPr>
              <w:rFonts w:ascii="Cambria" w:cs="Cambria" w:eastAsia="Cambria" w:hAnsi="Cambria"/>
              <w:b w:val="0"/>
              <w:i w:val="0"/>
              <w:smallCaps w:val="0"/>
              <w:strike w:val="0"/>
              <w:color w:val="000000"/>
              <w:sz w:val="22"/>
              <w:szCs w:val="22"/>
              <w:u w:val="none"/>
              <w:shd w:fill="auto" w:val="clear"/>
              <w:vertAlign w:val="baseline"/>
            </w:rPr>
          </w:pPr>
          <w:hyperlink w:anchor="_heading=h.3u2rp3q">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Wilcoxon Rank Sum test</w:t>
              <w:tab/>
              <w:t xml:space="preserve">119</w:t>
            </w:r>
          </w:hyperlink>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62"/>
            </w:tabs>
            <w:spacing w:after="100" w:before="0" w:line="259" w:lineRule="auto"/>
            <w:ind w:left="0" w:right="0" w:firstLine="0"/>
            <w:jc w:val="left"/>
            <w:rPr>
              <w:rFonts w:ascii="Cambria" w:cs="Cambria" w:eastAsia="Cambria" w:hAnsi="Cambria"/>
              <w:b w:val="0"/>
              <w:i w:val="0"/>
              <w:smallCaps w:val="0"/>
              <w:strike w:val="0"/>
              <w:color w:val="000000"/>
              <w:sz w:val="22"/>
              <w:szCs w:val="22"/>
              <w:u w:val="none"/>
              <w:shd w:fill="auto" w:val="clear"/>
              <w:vertAlign w:val="baseline"/>
            </w:rPr>
          </w:pPr>
          <w:hyperlink w:anchor="_heading=h.2981zbj">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References</w:t>
              <w:tab/>
              <w:t xml:space="preserve">121</w:t>
            </w:r>
          </w:hyperlink>
          <w:r w:rsidDel="00000000" w:rsidR="00000000" w:rsidRPr="00000000">
            <w:rPr>
              <w:rtl w:val="0"/>
            </w:rPr>
          </w:r>
        </w:p>
        <w:p w:rsidR="00000000" w:rsidDel="00000000" w:rsidP="00000000" w:rsidRDefault="00000000" w:rsidRPr="00000000" w14:paraId="00000057">
          <w:pPr>
            <w:tabs>
              <w:tab w:val="right" w:pos="9071"/>
            </w:tabs>
            <w:spacing w:after="80" w:before="200" w:line="240" w:lineRule="auto"/>
            <w:rPr>
              <w:b w:val="1"/>
              <w:color w:val="000000"/>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58">
      <w:pPr>
        <w:rPr/>
      </w:pPr>
      <w:r w:rsidDel="00000000" w:rsidR="00000000" w:rsidRPr="00000000">
        <w:rPr>
          <w:rtl w:val="0"/>
        </w:rPr>
      </w:r>
    </w:p>
    <w:p w:rsidR="00000000" w:rsidDel="00000000" w:rsidP="00000000" w:rsidRDefault="00000000" w:rsidRPr="00000000" w14:paraId="00000059">
      <w:pPr>
        <w:pStyle w:val="Heading1"/>
        <w:rPr>
          <w:color w:val="000000"/>
        </w:rPr>
      </w:pPr>
      <w:bookmarkStart w:colFirst="0" w:colLast="0" w:name="_heading=h.gjdgxs" w:id="0"/>
      <w:bookmarkEnd w:id="0"/>
      <w:r w:rsidDel="00000000" w:rsidR="00000000" w:rsidRPr="00000000">
        <w:rPr>
          <w:color w:val="000000"/>
          <w:rtl w:val="0"/>
        </w:rPr>
        <w:t xml:space="preserve">Supplementary Note 1 </w:t>
      </w:r>
      <w:r w:rsidDel="00000000" w:rsidR="00000000" w:rsidRPr="00000000">
        <w:rPr>
          <w:i w:val="1"/>
          <w:color w:val="000000"/>
          <w:rtl w:val="0"/>
        </w:rPr>
        <w:t xml:space="preserve">Site descriptions</w:t>
      </w:r>
      <w:r w:rsidDel="00000000" w:rsidR="00000000" w:rsidRPr="00000000">
        <w:rPr>
          <w:rtl w:val="0"/>
        </w:rPr>
      </w:r>
    </w:p>
    <w:p w:rsidR="00000000" w:rsidDel="00000000" w:rsidP="00000000" w:rsidRDefault="00000000" w:rsidRPr="00000000" w14:paraId="0000005A">
      <w:pPr>
        <w:pStyle w:val="Heading2"/>
        <w:rPr>
          <w:color w:val="000000"/>
        </w:rPr>
      </w:pPr>
      <w:bookmarkStart w:colFirst="0" w:colLast="0" w:name="_heading=h.30j0zll" w:id="1"/>
      <w:bookmarkEnd w:id="1"/>
      <w:r w:rsidDel="00000000" w:rsidR="00000000" w:rsidRPr="00000000">
        <w:rPr>
          <w:color w:val="000000"/>
          <w:rtl w:val="0"/>
        </w:rPr>
        <w:t xml:space="preserve">England</w:t>
      </w:r>
    </w:p>
    <w:p w:rsidR="00000000" w:rsidDel="00000000" w:rsidP="00000000" w:rsidRDefault="00000000" w:rsidRPr="00000000" w14:paraId="0000005B">
      <w:pPr>
        <w:pStyle w:val="Heading4"/>
        <w:rPr>
          <w:color w:val="000000"/>
        </w:rPr>
      </w:pPr>
      <w:bookmarkStart w:colFirst="0" w:colLast="0" w:name="_heading=h.1fob9te" w:id="2"/>
      <w:bookmarkEnd w:id="2"/>
      <w:r w:rsidDel="00000000" w:rsidR="00000000" w:rsidRPr="00000000">
        <w:rPr>
          <w:color w:val="000000"/>
          <w:rtl w:val="0"/>
        </w:rPr>
        <w:t xml:space="preserve">Apple Down, Chichester, West Sussex</w:t>
      </w:r>
    </w:p>
    <w:p w:rsidR="00000000" w:rsidDel="00000000" w:rsidP="00000000" w:rsidRDefault="00000000" w:rsidRPr="00000000" w14:paraId="0000005C">
      <w:pPr>
        <w:rPr/>
      </w:pPr>
      <w:r w:rsidDel="00000000" w:rsidR="00000000" w:rsidRPr="00000000">
        <w:rPr>
          <w:rtl w:val="0"/>
        </w:rPr>
        <w:t xml:space="preserve">The early Anglo-Saxon cemetery at Apple Down, West Sussex, was discovered in 1981 and excavated between 1982 and 1987 by the Chichester Research Committee. The Apple Down cemetery was located north of the old Roman Civitas capital </w:t>
      </w:r>
      <w:r w:rsidDel="00000000" w:rsidR="00000000" w:rsidRPr="00000000">
        <w:rPr>
          <w:i w:val="1"/>
          <w:rtl w:val="0"/>
        </w:rPr>
        <w:t xml:space="preserve">Noviomagus Reginorum</w:t>
      </w:r>
      <w:r w:rsidDel="00000000" w:rsidR="00000000" w:rsidRPr="00000000">
        <w:rPr>
          <w:rtl w:val="0"/>
        </w:rPr>
        <w:t xml:space="preserve">. It was a mixed-rite site containing 121 inhumation and 64 cremation burials dating from the fifth to the seventh century (Supp. Fig. 1.1)</w:t>
      </w:r>
      <w:hyperlink r:id="rId7">
        <w:r w:rsidDel="00000000" w:rsidR="00000000" w:rsidRPr="00000000">
          <w:rPr>
            <w:color w:val="000000"/>
            <w:vertAlign w:val="superscript"/>
            <w:rtl w:val="0"/>
          </w:rPr>
          <w:t xml:space="preserve">1</w:t>
        </w:r>
      </w:hyperlink>
      <w:r w:rsidDel="00000000" w:rsidR="00000000" w:rsidRPr="00000000">
        <w:rPr>
          <w:rtl w:val="0"/>
        </w:rPr>
        <w:t xml:space="preserve">. Apple Down is an interesting site because there were three distinct ways to treat the dead: i) cremation, ii) east west inhumation or iii) north south inhumation. These different disposal methods seem to have been contemporary and show different patterns in skeletal trauma, infant burial and grave good use. Consequently, this spatial patterning suggests the co-existence of different groups or communities who shared the same cemetery space but used it in different ways</w:t>
      </w:r>
      <w:hyperlink r:id="rId8">
        <w:r w:rsidDel="00000000" w:rsidR="00000000" w:rsidRPr="00000000">
          <w:rPr>
            <w:color w:val="000000"/>
            <w:vertAlign w:val="superscript"/>
            <w:rtl w:val="0"/>
          </w:rPr>
          <w:t xml:space="preserve">2</w:t>
        </w:r>
      </w:hyperlink>
      <w:r w:rsidDel="00000000" w:rsidR="00000000" w:rsidRPr="00000000">
        <w:rPr>
          <w:rtl w:val="0"/>
        </w:rPr>
        <w:t xml:space="preserve">. </w:t>
      </w:r>
    </w:p>
    <w:p w:rsidR="00000000" w:rsidDel="00000000" w:rsidP="00000000" w:rsidRDefault="00000000" w:rsidRPr="00000000" w14:paraId="0000005D">
      <w:pPr>
        <w:rPr/>
      </w:pPr>
      <w:r w:rsidDel="00000000" w:rsidR="00000000" w:rsidRPr="00000000">
        <w:rPr>
          <w:u w:val="single"/>
          <w:rtl w:val="0"/>
        </w:rPr>
        <w:t xml:space="preserve">Provenance note:</w:t>
      </w:r>
      <w:r w:rsidDel="00000000" w:rsidR="00000000" w:rsidRPr="00000000">
        <w:rPr>
          <w:rtl w:val="0"/>
        </w:rPr>
        <w:t xml:space="preserve"> Samples from Apple Down were provided by the Novium Museum, Chichester. Permission to analyse was granted to coauthor Ceiridwen Edwards in 2012.</w:t>
      </w:r>
    </w:p>
    <w:p w:rsidR="00000000" w:rsidDel="00000000" w:rsidP="00000000" w:rsidRDefault="00000000" w:rsidRPr="00000000" w14:paraId="0000005E">
      <w:pPr>
        <w:rPr/>
      </w:pPr>
      <w:r w:rsidDel="00000000" w:rsidR="00000000" w:rsidRPr="00000000">
        <w:rPr>
          <w:rtl w:val="0"/>
        </w:rPr>
      </w:r>
    </w:p>
    <w:p w:rsidR="00000000" w:rsidDel="00000000" w:rsidP="00000000" w:rsidRDefault="00000000" w:rsidRPr="00000000" w14:paraId="0000005F">
      <w:pPr>
        <w:keepNext w:val="1"/>
        <w:jc w:val="center"/>
        <w:rPr/>
      </w:pPr>
      <w:r w:rsidDel="00000000" w:rsidR="00000000" w:rsidRPr="00000000">
        <w:rPr/>
        <w:drawing>
          <wp:inline distB="114300" distT="114300" distL="114300" distR="114300">
            <wp:extent cx="4452196" cy="6305868"/>
            <wp:effectExtent b="0" l="0" r="0" t="0"/>
            <wp:docPr id="152" name="image35.png"/>
            <a:graphic>
              <a:graphicData uri="http://schemas.openxmlformats.org/drawingml/2006/picture">
                <pic:pic>
                  <pic:nvPicPr>
                    <pic:cNvPr id="0" name="image35.png"/>
                    <pic:cNvPicPr preferRelativeResize="0"/>
                  </pic:nvPicPr>
                  <pic:blipFill>
                    <a:blip r:embed="rId9"/>
                    <a:srcRect b="0" l="0" r="0" t="0"/>
                    <a:stretch>
                      <a:fillRect/>
                    </a:stretch>
                  </pic:blipFill>
                  <pic:spPr>
                    <a:xfrm>
                      <a:off x="0" y="0"/>
                      <a:ext cx="4452196" cy="6305868"/>
                    </a:xfrm>
                    <a:prstGeom prst="rect"/>
                    <a:ln/>
                  </pic:spPr>
                </pic:pic>
              </a:graphicData>
            </a:graphic>
          </wp:inline>
        </w:drawing>
      </w:r>
      <w:r w:rsidDel="00000000" w:rsidR="00000000" w:rsidRPr="00000000">
        <w:rPr>
          <w:rtl w:val="0"/>
        </w:rPr>
      </w:r>
    </w:p>
    <w:p w:rsidR="00000000" w:rsidDel="00000000" w:rsidP="00000000" w:rsidRDefault="00000000" w:rsidRPr="00000000" w14:paraId="00000060">
      <w:pPr>
        <w:pBdr>
          <w:top w:space="0" w:sz="0" w:val="nil"/>
          <w:left w:space="0" w:sz="0" w:val="nil"/>
          <w:bottom w:space="0" w:sz="0" w:val="nil"/>
          <w:right w:space="0" w:sz="0" w:val="nil"/>
          <w:between w:space="0" w:sz="0" w:val="nil"/>
        </w:pBdr>
        <w:spacing w:after="200" w:line="240" w:lineRule="auto"/>
        <w:rPr>
          <w:i w:val="1"/>
          <w:sz w:val="18"/>
          <w:szCs w:val="18"/>
        </w:rPr>
      </w:pPr>
      <w:r w:rsidDel="00000000" w:rsidR="00000000" w:rsidRPr="00000000">
        <w:rPr>
          <w:b w:val="1"/>
          <w:i w:val="1"/>
          <w:sz w:val="18"/>
          <w:szCs w:val="18"/>
          <w:rtl w:val="0"/>
        </w:rPr>
        <w:t xml:space="preserve">Supplementary Figure 1.1, Site plan of Apple Down. </w:t>
      </w:r>
      <w:r w:rsidDel="00000000" w:rsidR="00000000" w:rsidRPr="00000000">
        <w:rPr>
          <w:i w:val="1"/>
          <w:sz w:val="18"/>
          <w:szCs w:val="18"/>
          <w:rtl w:val="0"/>
        </w:rPr>
        <w:t xml:space="preserve">Shown are the locations of the graves, major artifacts in them, the DNA attribution of each grave (red is CNE, yellow 2/3 CNE, green is WBI, blue 2/3 WBI). </w:t>
      </w:r>
    </w:p>
    <w:p w:rsidR="00000000" w:rsidDel="00000000" w:rsidP="00000000" w:rsidRDefault="00000000" w:rsidRPr="00000000" w14:paraId="00000061">
      <w:pPr>
        <w:pBdr>
          <w:top w:space="0" w:sz="0" w:val="nil"/>
          <w:left w:space="0" w:sz="0" w:val="nil"/>
          <w:bottom w:space="0" w:sz="0" w:val="nil"/>
          <w:right w:space="0" w:sz="0" w:val="nil"/>
          <w:between w:space="0" w:sz="0" w:val="nil"/>
        </w:pBdr>
        <w:spacing w:after="200" w:line="240" w:lineRule="auto"/>
        <w:rPr>
          <w:i w:val="1"/>
          <w:sz w:val="18"/>
          <w:szCs w:val="18"/>
        </w:rPr>
      </w:pPr>
      <w:bookmarkStart w:colFirst="0" w:colLast="0" w:name="_heading=h.3znysh7" w:id="3"/>
      <w:bookmarkEnd w:id="3"/>
      <w:r w:rsidDel="00000000" w:rsidR="00000000" w:rsidRPr="00000000">
        <w:rPr>
          <w:rtl w:val="0"/>
        </w:rPr>
      </w:r>
    </w:p>
    <w:p w:rsidR="00000000" w:rsidDel="00000000" w:rsidP="00000000" w:rsidRDefault="00000000" w:rsidRPr="00000000" w14:paraId="00000062">
      <w:pPr>
        <w:pStyle w:val="Heading4"/>
        <w:spacing w:after="200" w:line="240" w:lineRule="auto"/>
        <w:rPr>
          <w:color w:val="000000"/>
        </w:rPr>
      </w:pPr>
      <w:bookmarkStart w:colFirst="0" w:colLast="0" w:name="_heading=h.2et92p0" w:id="4"/>
      <w:bookmarkEnd w:id="4"/>
      <w:r w:rsidDel="00000000" w:rsidR="00000000" w:rsidRPr="00000000">
        <w:rPr>
          <w:color w:val="000000"/>
          <w:rtl w:val="0"/>
        </w:rPr>
        <w:t xml:space="preserve">Dover Buckland, Dover, Kent</w:t>
      </w:r>
    </w:p>
    <w:p w:rsidR="00000000" w:rsidDel="00000000" w:rsidP="00000000" w:rsidRDefault="00000000" w:rsidRPr="00000000" w14:paraId="00000063">
      <w:pPr>
        <w:rPr/>
      </w:pPr>
      <w:r w:rsidDel="00000000" w:rsidR="00000000" w:rsidRPr="00000000">
        <w:rPr>
          <w:rtl w:val="0"/>
        </w:rPr>
        <w:t xml:space="preserve">The early Anglo-Saxon cemetery at Dover Buckland in East Kent was first excavated in 1951 by Vera Everson, following the discovery of artifacts when building the Buckland Estate housing development</w:t>
      </w:r>
      <w:hyperlink r:id="rId10">
        <w:r w:rsidDel="00000000" w:rsidR="00000000" w:rsidRPr="00000000">
          <w:rPr>
            <w:color w:val="000000"/>
            <w:vertAlign w:val="superscript"/>
            <w:rtl w:val="0"/>
          </w:rPr>
          <w:t xml:space="preserve">3</w:t>
        </w:r>
      </w:hyperlink>
      <w:r w:rsidDel="00000000" w:rsidR="00000000" w:rsidRPr="00000000">
        <w:rPr>
          <w:rtl w:val="0"/>
        </w:rPr>
        <w:t xml:space="preserve">. Further housing development in 1994 saw the second phase of excavation by the Canterbury Archaeological Trust. The sites of these two excavations were separated by an earlier railway line, which destroyed a limited number of graves</w:t>
      </w:r>
      <w:hyperlink r:id="rId11">
        <w:r w:rsidDel="00000000" w:rsidR="00000000" w:rsidRPr="00000000">
          <w:rPr>
            <w:color w:val="000000"/>
            <w:vertAlign w:val="superscript"/>
            <w:rtl w:val="0"/>
          </w:rPr>
          <w:t xml:space="preserve">4</w:t>
        </w:r>
      </w:hyperlink>
      <w:r w:rsidDel="00000000" w:rsidR="00000000" w:rsidRPr="00000000">
        <w:rPr>
          <w:rtl w:val="0"/>
        </w:rPr>
        <w:t xml:space="preserve">. Together, the two elements comprised about 507 inhumation graves, but no cremations. Fascinatingly, these two elements (north and south) were organised in very different ways: The south-westernmost part of the cemetery, excavated in 1994, consisted of seven plots of graves, all neatly separated and consistently clustered at 2m. From this part of the cemetery, samples for ancient DNA analysis were taken (Supp. Fig. 1.2). </w:t>
      </w:r>
    </w:p>
    <w:p w:rsidR="00000000" w:rsidDel="00000000" w:rsidP="00000000" w:rsidRDefault="00000000" w:rsidRPr="00000000" w14:paraId="00000064">
      <w:pPr>
        <w:rPr/>
      </w:pPr>
      <w:r w:rsidDel="00000000" w:rsidR="00000000" w:rsidRPr="00000000">
        <w:rPr>
          <w:rtl w:val="0"/>
        </w:rPr>
        <w:t xml:space="preserve">Dover Buckland has been established as an important Anglo Saxon site by Everson, who placed a considerable interpretive weight on what she learned from this excavation. She compared Buckland favourably with Merovingian cemeteries and, in particular, their chronologies. She developed Knife and shield boss typologies, and performed a rudimentary investigation of cemetery organisation by comparing the site to others recently excavated. Her impression of an early medieval male martial elite came from her analysis of this site. Subsequent analysis of Dover Buckland has identified several important aspects of female dress costume - including burials which appeared to be buried with objects incongruent with their biological sex</w:t>
      </w:r>
      <w:hyperlink r:id="rId12">
        <w:r w:rsidDel="00000000" w:rsidR="00000000" w:rsidRPr="00000000">
          <w:rPr>
            <w:color w:val="000000"/>
            <w:vertAlign w:val="superscript"/>
            <w:rtl w:val="0"/>
          </w:rPr>
          <w:t xml:space="preserve">5,6</w:t>
        </w:r>
      </w:hyperlink>
      <w:r w:rsidDel="00000000" w:rsidR="00000000" w:rsidRPr="00000000">
        <w:rPr>
          <w:rtl w:val="0"/>
        </w:rPr>
        <w:t xml:space="preserve">.</w:t>
      </w:r>
    </w:p>
    <w:p w:rsidR="00000000" w:rsidDel="00000000" w:rsidP="00000000" w:rsidRDefault="00000000" w:rsidRPr="00000000" w14:paraId="00000065">
      <w:pPr>
        <w:rPr/>
      </w:pPr>
      <w:r w:rsidDel="00000000" w:rsidR="00000000" w:rsidRPr="00000000">
        <w:rPr>
          <w:rtl w:val="0"/>
        </w:rPr>
        <w:t xml:space="preserve">This project sampled from the remains exacted in 1994 and investigated 74 individuals. The sample was selected based on petrous bone preservation and includes individuals with a diverse range of grave goods, both full weapon burials and brooch burials as well as individuals with no artifacts at all. Grave 281 has previously been identified as a male based on skeletal assessment but is genetically female. Her grave goods included disc brooches, beads, and two small square-headed brooches.</w:t>
      </w:r>
    </w:p>
    <w:p w:rsidR="00000000" w:rsidDel="00000000" w:rsidP="00000000" w:rsidRDefault="00000000" w:rsidRPr="00000000" w14:paraId="00000066">
      <w:pPr>
        <w:rPr/>
      </w:pPr>
      <w:r w:rsidDel="00000000" w:rsidR="00000000" w:rsidRPr="00000000">
        <w:rPr>
          <w:u w:val="single"/>
          <w:rtl w:val="0"/>
        </w:rPr>
        <w:t xml:space="preserve">Provenance Note:</w:t>
      </w:r>
      <w:r w:rsidDel="00000000" w:rsidR="00000000" w:rsidRPr="00000000">
        <w:rPr>
          <w:rtl w:val="0"/>
        </w:rPr>
        <w:t xml:space="preserve"> ​​Samples from Dover Buckland were provided by the Canterbury Archaeological Trust. Permission to analyse was granted to coauthor Duncan Sayer in 2019.</w:t>
      </w:r>
    </w:p>
    <w:p w:rsidR="00000000" w:rsidDel="00000000" w:rsidP="00000000" w:rsidRDefault="00000000" w:rsidRPr="00000000" w14:paraId="00000067">
      <w:pPr>
        <w:rPr/>
      </w:pPr>
      <w:r w:rsidDel="00000000" w:rsidR="00000000" w:rsidRPr="00000000">
        <w:rPr>
          <w:rtl w:val="0"/>
        </w:rPr>
      </w:r>
    </w:p>
    <w:p w:rsidR="00000000" w:rsidDel="00000000" w:rsidP="00000000" w:rsidRDefault="00000000" w:rsidRPr="00000000" w14:paraId="00000068">
      <w:pPr>
        <w:rPr/>
      </w:pPr>
      <w:r w:rsidDel="00000000" w:rsidR="00000000" w:rsidRPr="00000000">
        <w:rPr/>
        <w:drawing>
          <wp:inline distB="114300" distT="114300" distL="114300" distR="114300">
            <wp:extent cx="5760410" cy="4076700"/>
            <wp:effectExtent b="0" l="0" r="0" t="0"/>
            <wp:docPr id="154" name="image42.png"/>
            <a:graphic>
              <a:graphicData uri="http://schemas.openxmlformats.org/drawingml/2006/picture">
                <pic:pic>
                  <pic:nvPicPr>
                    <pic:cNvPr id="0" name="image42.png"/>
                    <pic:cNvPicPr preferRelativeResize="0"/>
                  </pic:nvPicPr>
                  <pic:blipFill>
                    <a:blip r:embed="rId13"/>
                    <a:srcRect b="0" l="0" r="0" t="0"/>
                    <a:stretch>
                      <a:fillRect/>
                    </a:stretch>
                  </pic:blipFill>
                  <pic:spPr>
                    <a:xfrm>
                      <a:off x="0" y="0"/>
                      <a:ext cx="5760410" cy="4076700"/>
                    </a:xfrm>
                    <a:prstGeom prst="rect"/>
                    <a:ln/>
                  </pic:spPr>
                </pic:pic>
              </a:graphicData>
            </a:graphic>
          </wp:inline>
        </w:drawing>
      </w:r>
      <w:r w:rsidDel="00000000" w:rsidR="00000000" w:rsidRPr="00000000">
        <w:rPr>
          <w:rtl w:val="0"/>
        </w:rPr>
      </w:r>
    </w:p>
    <w:p w:rsidR="00000000" w:rsidDel="00000000" w:rsidP="00000000" w:rsidRDefault="00000000" w:rsidRPr="00000000" w14:paraId="00000069">
      <w:pPr>
        <w:spacing w:after="200" w:line="240" w:lineRule="auto"/>
        <w:rPr/>
      </w:pPr>
      <w:r w:rsidDel="00000000" w:rsidR="00000000" w:rsidRPr="00000000">
        <w:rPr>
          <w:b w:val="1"/>
          <w:i w:val="1"/>
          <w:sz w:val="18"/>
          <w:szCs w:val="18"/>
          <w:rtl w:val="0"/>
        </w:rPr>
        <w:t xml:space="preserve">Supplementary Figure 1.2, Site plan of Dover Buckland. </w:t>
      </w:r>
      <w:r w:rsidDel="00000000" w:rsidR="00000000" w:rsidRPr="00000000">
        <w:rPr>
          <w:i w:val="1"/>
          <w:sz w:val="18"/>
          <w:szCs w:val="18"/>
          <w:rtl w:val="0"/>
        </w:rPr>
        <w:t xml:space="preserve">Shown are the locations of the graves, major artifacts in them, the DNA attribution of each grave (red is CNE, yellow 2/3 CNE, green is WBI, blue 2/3 WBI). </w:t>
      </w:r>
      <w:r w:rsidDel="00000000" w:rsidR="00000000" w:rsidRPr="00000000">
        <w:rPr>
          <w:rtl w:val="0"/>
        </w:rPr>
      </w:r>
    </w:p>
    <w:p w:rsidR="00000000" w:rsidDel="00000000" w:rsidP="00000000" w:rsidRDefault="00000000" w:rsidRPr="00000000" w14:paraId="0000006A">
      <w:pPr>
        <w:pStyle w:val="Heading4"/>
        <w:spacing w:after="240" w:before="240" w:lineRule="auto"/>
        <w:rPr>
          <w:color w:val="000000"/>
        </w:rPr>
      </w:pPr>
      <w:bookmarkStart w:colFirst="0" w:colLast="0" w:name="_heading=h.tyjcwt" w:id="5"/>
      <w:bookmarkEnd w:id="5"/>
      <w:r w:rsidDel="00000000" w:rsidR="00000000" w:rsidRPr="00000000">
        <w:rPr>
          <w:color w:val="000000"/>
          <w:rtl w:val="0"/>
        </w:rPr>
        <w:t xml:space="preserve">Widemouth Bay, Bude, Cornwall</w:t>
      </w:r>
    </w:p>
    <w:p w:rsidR="00000000" w:rsidDel="00000000" w:rsidP="00000000" w:rsidRDefault="00000000" w:rsidRPr="00000000" w14:paraId="0000006B">
      <w:pPr>
        <w:spacing w:after="240" w:before="240" w:lineRule="auto"/>
        <w:rPr/>
      </w:pPr>
      <w:r w:rsidDel="00000000" w:rsidR="00000000" w:rsidRPr="00000000">
        <w:rPr>
          <w:rtl w:val="0"/>
        </w:rPr>
        <w:t xml:space="preserve">Widemouth Bay is a long, open coastline on the Atlantic coast of Cornwall, located close to the town of Bude. A Mr. J. North undertook some excavations on the Bay in 1968 and 1972. Very little detailed information is available regarding why these excavations took place and what was found. The excavations uncovered various finds including human and animal bone, a spindle whorl, a slate disc, a whetstone, some pottery, flint, shell, charcoal and an iron nail. The finds are stored at the Royal Cornwall Museum. A sample of the petrous portion of a temporal bone found at Widemouth Bay is included in this study.</w:t>
      </w:r>
    </w:p>
    <w:p w:rsidR="00000000" w:rsidDel="00000000" w:rsidP="00000000" w:rsidRDefault="00000000" w:rsidRPr="00000000" w14:paraId="0000006C">
      <w:pPr>
        <w:spacing w:after="240" w:before="240" w:lineRule="auto"/>
        <w:rPr/>
      </w:pPr>
      <w:r w:rsidDel="00000000" w:rsidR="00000000" w:rsidRPr="00000000">
        <w:rPr>
          <w:u w:val="single"/>
          <w:rtl w:val="0"/>
        </w:rPr>
        <w:t xml:space="preserve">Provenance note:</w:t>
      </w:r>
      <w:r w:rsidDel="00000000" w:rsidR="00000000" w:rsidRPr="00000000">
        <w:rPr>
          <w:rtl w:val="0"/>
        </w:rPr>
        <w:t xml:space="preserve"> Samples from Widemouth Bay were provided by the Royal Cornwall Museum. Permission to analyse was granted to coauthor Tom Booth in 2019.</w:t>
      </w:r>
    </w:p>
    <w:p w:rsidR="00000000" w:rsidDel="00000000" w:rsidP="00000000" w:rsidRDefault="00000000" w:rsidRPr="00000000" w14:paraId="0000006D">
      <w:pPr>
        <w:spacing w:after="240" w:before="240" w:lineRule="auto"/>
        <w:rPr/>
      </w:pPr>
      <w:r w:rsidDel="00000000" w:rsidR="00000000" w:rsidRPr="00000000">
        <w:rPr>
          <w:rtl w:val="0"/>
        </w:rPr>
        <w:t xml:space="preserve"> </w:t>
      </w:r>
    </w:p>
    <w:p w:rsidR="00000000" w:rsidDel="00000000" w:rsidP="00000000" w:rsidRDefault="00000000" w:rsidRPr="00000000" w14:paraId="0000006E">
      <w:pPr>
        <w:pStyle w:val="Heading4"/>
        <w:spacing w:after="240" w:before="240" w:lineRule="auto"/>
        <w:rPr>
          <w:color w:val="000000"/>
        </w:rPr>
      </w:pPr>
      <w:bookmarkStart w:colFirst="0" w:colLast="0" w:name="_heading=h.3dy6vkm" w:id="6"/>
      <w:bookmarkEnd w:id="6"/>
      <w:r w:rsidDel="00000000" w:rsidR="00000000" w:rsidRPr="00000000">
        <w:rPr>
          <w:color w:val="000000"/>
          <w:rtl w:val="0"/>
        </w:rPr>
        <w:t xml:space="preserve">Fox Holes Cave, Clapdale, North Yorkshire</w:t>
      </w:r>
    </w:p>
    <w:p w:rsidR="00000000" w:rsidDel="00000000" w:rsidP="00000000" w:rsidRDefault="00000000" w:rsidRPr="00000000" w14:paraId="0000006F">
      <w:pPr>
        <w:spacing w:after="240" w:before="240" w:lineRule="auto"/>
        <w:rPr/>
      </w:pPr>
      <w:r w:rsidDel="00000000" w:rsidR="00000000" w:rsidRPr="00000000">
        <w:rPr>
          <w:rtl w:val="0"/>
        </w:rPr>
        <w:t xml:space="preserve">Fox Holes Cave is a rock shelter near Trow Gill, close to the village of Clapdale in the North Yorkshire Dales</w:t>
      </w:r>
      <w:hyperlink r:id="rId14">
        <w:r w:rsidDel="00000000" w:rsidR="00000000" w:rsidRPr="00000000">
          <w:rPr>
            <w:color w:val="000000"/>
            <w:vertAlign w:val="superscript"/>
            <w:rtl w:val="0"/>
          </w:rPr>
          <w:t xml:space="preserve">7,8</w:t>
        </w:r>
      </w:hyperlink>
      <w:r w:rsidDel="00000000" w:rsidR="00000000" w:rsidRPr="00000000">
        <w:rPr>
          <w:rtl w:val="0"/>
        </w:rPr>
        <w:t xml:space="preserve">. Excavations at Fox Holes Cave in the 1920s uncovered human bones representing the remains of at least two people (Individual 1 and 2), as well as faunal remains, Neolithic pottery, Neolithic and Bronze Age arrowheads, stone tools and a bone pin. The burials were partial but semi-articulated, suggesting whole bodies had been interred in the cave originally. The human remains are kept by Tom Lord in his collection at Lower Winskill Farm. Human remains dating to the Early Neolithic have been recovered from other caves in the area which, combined with the prehistoric finds, suggested that the human remains from Fox Holes Cave were likely to be prehistoric, and Early Neolithic specifically. However, radiocarbon dating of the temporal bone of Individual 1 produced a surprising date of 655-774 cal. CE (1295 ± 36 bp, UBA-30799), in the early medieval period. A sample from the petrous portion of the temporal bone of Individual 2, which was assumed to date to around the same time as Individual 1, is included in this study.</w:t>
      </w:r>
    </w:p>
    <w:p w:rsidR="00000000" w:rsidDel="00000000" w:rsidP="00000000" w:rsidRDefault="00000000" w:rsidRPr="00000000" w14:paraId="00000070">
      <w:pPr>
        <w:spacing w:after="240" w:before="240" w:lineRule="auto"/>
        <w:rPr/>
      </w:pPr>
      <w:r w:rsidDel="00000000" w:rsidR="00000000" w:rsidRPr="00000000">
        <w:rPr>
          <w:u w:val="single"/>
          <w:rtl w:val="0"/>
        </w:rPr>
        <w:t xml:space="preserve">Provenance note:</w:t>
      </w:r>
      <w:r w:rsidDel="00000000" w:rsidR="00000000" w:rsidRPr="00000000">
        <w:rPr>
          <w:rtl w:val="0"/>
        </w:rPr>
        <w:t xml:space="preserve"> Samples from Fox Holes Cave were provided by the Tom Lord’s collection at Lower Winskill Farm. Permission to analyse was granted to coauthor Tom Booth in 2015.</w:t>
      </w:r>
    </w:p>
    <w:p w:rsidR="00000000" w:rsidDel="00000000" w:rsidP="00000000" w:rsidRDefault="00000000" w:rsidRPr="00000000" w14:paraId="00000071">
      <w:pPr>
        <w:spacing w:after="240" w:before="240" w:lineRule="auto"/>
        <w:rPr/>
      </w:pPr>
      <w:r w:rsidDel="00000000" w:rsidR="00000000" w:rsidRPr="00000000">
        <w:rPr>
          <w:rtl w:val="0"/>
        </w:rPr>
      </w:r>
    </w:p>
    <w:p w:rsidR="00000000" w:rsidDel="00000000" w:rsidP="00000000" w:rsidRDefault="00000000" w:rsidRPr="00000000" w14:paraId="00000072">
      <w:pPr>
        <w:pStyle w:val="Heading4"/>
        <w:rPr>
          <w:color w:val="000000"/>
        </w:rPr>
      </w:pPr>
      <w:bookmarkStart w:colFirst="0" w:colLast="0" w:name="_heading=h.1t3h5sf" w:id="7"/>
      <w:bookmarkEnd w:id="7"/>
      <w:r w:rsidDel="00000000" w:rsidR="00000000" w:rsidRPr="00000000">
        <w:rPr>
          <w:color w:val="000000"/>
          <w:rtl w:val="0"/>
        </w:rPr>
        <w:t xml:space="preserve">Eastry Updown, Dover District, Kent</w:t>
      </w:r>
    </w:p>
    <w:p w:rsidR="00000000" w:rsidDel="00000000" w:rsidP="00000000" w:rsidRDefault="00000000" w:rsidRPr="00000000" w14:paraId="00000073">
      <w:pPr>
        <w:spacing w:after="240" w:before="240" w:lineRule="auto"/>
        <w:rPr/>
      </w:pPr>
      <w:r w:rsidDel="00000000" w:rsidR="00000000" w:rsidRPr="00000000">
        <w:rPr>
          <w:rtl w:val="0"/>
        </w:rPr>
        <w:t xml:space="preserve">The early Anglo-Saxon cemetery at Updown, Eastry (or Eastry III) was excavated in 1976 by S.C. Hawkes in front of a water pipe and 1989 by Kent Rescue Unit. There are at least four cemeteries in Eastry and it has been suggested that it was an important centre within early medieval Kent. Eastry is part of a wealthy group of cemeteries in East Kent. The two phases of work on this site have identified a total of 78 inhumation graves dating to the seventh century and at least 19 small mounds (Supp. Fig. 1.3). There are a range of grave goods from Eastry including jewellery items and weapons, but notably the cemetery includes imported objects from the Frankish continent and even a Byzantine buckle and Amethyst Beads</w:t>
      </w:r>
      <w:hyperlink r:id="rId15">
        <w:r w:rsidDel="00000000" w:rsidR="00000000" w:rsidRPr="00000000">
          <w:rPr>
            <w:color w:val="000000"/>
            <w:vertAlign w:val="superscript"/>
            <w:rtl w:val="0"/>
          </w:rPr>
          <w:t xml:space="preserve">9</w:t>
        </w:r>
      </w:hyperlink>
      <w:r w:rsidDel="00000000" w:rsidR="00000000" w:rsidRPr="00000000">
        <w:rPr>
          <w:rtl w:val="0"/>
        </w:rPr>
        <w:t xml:space="preserve">.</w:t>
      </w:r>
    </w:p>
    <w:p w:rsidR="00000000" w:rsidDel="00000000" w:rsidP="00000000" w:rsidRDefault="00000000" w:rsidRPr="00000000" w14:paraId="00000074">
      <w:pPr>
        <w:spacing w:after="240" w:before="240" w:lineRule="auto"/>
        <w:rPr/>
      </w:pPr>
      <w:r w:rsidDel="00000000" w:rsidR="00000000" w:rsidRPr="00000000">
        <w:rPr>
          <w:u w:val="single"/>
          <w:rtl w:val="0"/>
        </w:rPr>
        <w:t xml:space="preserve">Provenance note:</w:t>
      </w:r>
      <w:r w:rsidDel="00000000" w:rsidR="00000000" w:rsidRPr="00000000">
        <w:rPr>
          <w:rtl w:val="0"/>
        </w:rPr>
        <w:t xml:space="preserve"> Samples from Eastry Updown were provided by the University of Central Lancashire. Permission to analyse was granted to coauthor Duncan Sayer in 2017.</w:t>
      </w:r>
    </w:p>
    <w:p w:rsidR="00000000" w:rsidDel="00000000" w:rsidP="00000000" w:rsidRDefault="00000000" w:rsidRPr="00000000" w14:paraId="00000075">
      <w:pPr>
        <w:rPr/>
      </w:pPr>
      <w:r w:rsidDel="00000000" w:rsidR="00000000" w:rsidRPr="00000000">
        <w:rPr>
          <w:rtl w:val="0"/>
        </w:rPr>
      </w:r>
    </w:p>
    <w:p w:rsidR="00000000" w:rsidDel="00000000" w:rsidP="00000000" w:rsidRDefault="00000000" w:rsidRPr="00000000" w14:paraId="00000076">
      <w:pPr>
        <w:keepNext w:val="1"/>
        <w:rPr/>
      </w:pPr>
      <w:r w:rsidDel="00000000" w:rsidR="00000000" w:rsidRPr="00000000">
        <w:rPr/>
        <w:drawing>
          <wp:inline distB="114300" distT="114300" distL="114300" distR="114300">
            <wp:extent cx="5760410" cy="3873500"/>
            <wp:effectExtent b="0" l="0" r="0" t="0"/>
            <wp:docPr id="153" name="image37.png"/>
            <a:graphic>
              <a:graphicData uri="http://schemas.openxmlformats.org/drawingml/2006/picture">
                <pic:pic>
                  <pic:nvPicPr>
                    <pic:cNvPr id="0" name="image37.png"/>
                    <pic:cNvPicPr preferRelativeResize="0"/>
                  </pic:nvPicPr>
                  <pic:blipFill>
                    <a:blip r:embed="rId16"/>
                    <a:srcRect b="0" l="0" r="0" t="0"/>
                    <a:stretch>
                      <a:fillRect/>
                    </a:stretch>
                  </pic:blipFill>
                  <pic:spPr>
                    <a:xfrm>
                      <a:off x="0" y="0"/>
                      <a:ext cx="5760410" cy="3873500"/>
                    </a:xfrm>
                    <a:prstGeom prst="rect"/>
                    <a:ln/>
                  </pic:spPr>
                </pic:pic>
              </a:graphicData>
            </a:graphic>
          </wp:inline>
        </w:drawing>
      </w:r>
      <w:r w:rsidDel="00000000" w:rsidR="00000000" w:rsidRPr="00000000">
        <w:rPr>
          <w:rtl w:val="0"/>
        </w:rPr>
      </w:r>
    </w:p>
    <w:p w:rsidR="00000000" w:rsidDel="00000000" w:rsidP="00000000" w:rsidRDefault="00000000" w:rsidRPr="00000000" w14:paraId="00000077">
      <w:pPr>
        <w:pBdr>
          <w:top w:space="0" w:sz="0" w:val="nil"/>
          <w:left w:space="0" w:sz="0" w:val="nil"/>
          <w:bottom w:space="0" w:sz="0" w:val="nil"/>
          <w:right w:space="0" w:sz="0" w:val="nil"/>
          <w:between w:space="0" w:sz="0" w:val="nil"/>
        </w:pBdr>
        <w:spacing w:after="200" w:line="240" w:lineRule="auto"/>
        <w:rPr>
          <w:b w:val="1"/>
          <w:i w:val="1"/>
          <w:sz w:val="18"/>
          <w:szCs w:val="18"/>
        </w:rPr>
      </w:pPr>
      <w:r w:rsidDel="00000000" w:rsidR="00000000" w:rsidRPr="00000000">
        <w:rPr>
          <w:b w:val="1"/>
          <w:i w:val="1"/>
          <w:sz w:val="18"/>
          <w:szCs w:val="18"/>
          <w:rtl w:val="0"/>
        </w:rPr>
        <w:t xml:space="preserve">Supplementary Figure 1.3, Site plan of Eastry Updown.</w:t>
      </w:r>
      <w:r w:rsidDel="00000000" w:rsidR="00000000" w:rsidRPr="00000000">
        <w:rPr>
          <w:i w:val="1"/>
          <w:sz w:val="18"/>
          <w:szCs w:val="18"/>
          <w:rtl w:val="0"/>
        </w:rPr>
        <w:t xml:space="preserve"> Shown are the locations of the graves, major artifacts in them, the DNA attribution of each grave (red is CNE, yellow 2/3 CNE, green is WBI, blue 2/3 WBI).</w:t>
      </w:r>
      <w:r w:rsidDel="00000000" w:rsidR="00000000" w:rsidRPr="00000000">
        <w:rPr>
          <w:rtl w:val="0"/>
        </w:rPr>
      </w:r>
    </w:p>
    <w:p w:rsidR="00000000" w:rsidDel="00000000" w:rsidP="00000000" w:rsidRDefault="00000000" w:rsidRPr="00000000" w14:paraId="00000078">
      <w:pPr>
        <w:rPr>
          <w:b w:val="1"/>
        </w:rPr>
      </w:pPr>
      <w:r w:rsidDel="00000000" w:rsidR="00000000" w:rsidRPr="00000000">
        <w:rPr>
          <w:rtl w:val="0"/>
        </w:rPr>
      </w:r>
    </w:p>
    <w:p w:rsidR="00000000" w:rsidDel="00000000" w:rsidP="00000000" w:rsidRDefault="00000000" w:rsidRPr="00000000" w14:paraId="00000079">
      <w:pPr>
        <w:pStyle w:val="Heading4"/>
        <w:rPr>
          <w:color w:val="000000"/>
        </w:rPr>
      </w:pPr>
      <w:bookmarkStart w:colFirst="0" w:colLast="0" w:name="_heading=h.4d34og8" w:id="8"/>
      <w:bookmarkEnd w:id="8"/>
      <w:r w:rsidDel="00000000" w:rsidR="00000000" w:rsidRPr="00000000">
        <w:rPr>
          <w:color w:val="000000"/>
          <w:rtl w:val="0"/>
        </w:rPr>
        <w:t xml:space="preserve">Ely, East Cambridgeshire, Cambridgeshire</w:t>
      </w:r>
    </w:p>
    <w:p w:rsidR="00000000" w:rsidDel="00000000" w:rsidP="00000000" w:rsidRDefault="00000000" w:rsidRPr="00000000" w14:paraId="0000007A">
      <w:pPr>
        <w:rPr/>
      </w:pPr>
      <w:r w:rsidDel="00000000" w:rsidR="00000000" w:rsidRPr="00000000">
        <w:rPr>
          <w:rtl w:val="0"/>
        </w:rPr>
        <w:t xml:space="preserve">There are four Early Anglo-Saxon cemeteries from Ely, Cambridgeshire.  The one sampled for this project was excavated by Oxford Archaeology East in 2017, and was located in Field D North West Ely. It was a mixed rite site consisting of 28 burials and two cremations. Twenty of the burials were sixth century in date and along with the cremations they were found in the northern group aligned alongside a Roman track (Supp. Fig 1.4). To the south there were eight burials within the limits of a small Roman enclosure. These eight may have been a little later in date and finds dated them to the later 6th and seventh centuries. </w:t>
      </w:r>
    </w:p>
    <w:p w:rsidR="00000000" w:rsidDel="00000000" w:rsidP="00000000" w:rsidRDefault="00000000" w:rsidRPr="00000000" w14:paraId="0000007B">
      <w:pPr>
        <w:rPr/>
      </w:pPr>
      <w:r w:rsidDel="00000000" w:rsidR="00000000" w:rsidRPr="00000000">
        <w:rPr>
          <w:u w:val="single"/>
          <w:rtl w:val="0"/>
        </w:rPr>
        <w:t xml:space="preserve">Provenance note:</w:t>
      </w:r>
      <w:r w:rsidDel="00000000" w:rsidR="00000000" w:rsidRPr="00000000">
        <w:rPr>
          <w:rtl w:val="0"/>
        </w:rPr>
        <w:t xml:space="preserve"> Samples from Ely were provided by Oxford Archaeology East. Permission to analyse was granted to coauthor Duncan Sayer in 2017.</w:t>
      </w:r>
    </w:p>
    <w:p w:rsidR="00000000" w:rsidDel="00000000" w:rsidP="00000000" w:rsidRDefault="00000000" w:rsidRPr="00000000" w14:paraId="0000007C">
      <w:pPr>
        <w:keepNext w:val="1"/>
        <w:jc w:val="center"/>
        <w:rPr/>
      </w:pPr>
      <w:r w:rsidDel="00000000" w:rsidR="00000000" w:rsidRPr="00000000">
        <w:rPr/>
        <w:drawing>
          <wp:inline distB="114300" distT="114300" distL="114300" distR="114300">
            <wp:extent cx="3972127" cy="5620067"/>
            <wp:effectExtent b="0" l="0" r="0" t="0"/>
            <wp:docPr id="156" name="image41.png"/>
            <a:graphic>
              <a:graphicData uri="http://schemas.openxmlformats.org/drawingml/2006/picture">
                <pic:pic>
                  <pic:nvPicPr>
                    <pic:cNvPr id="0" name="image41.png"/>
                    <pic:cNvPicPr preferRelativeResize="0"/>
                  </pic:nvPicPr>
                  <pic:blipFill>
                    <a:blip r:embed="rId17"/>
                    <a:srcRect b="0" l="0" r="0" t="0"/>
                    <a:stretch>
                      <a:fillRect/>
                    </a:stretch>
                  </pic:blipFill>
                  <pic:spPr>
                    <a:xfrm>
                      <a:off x="0" y="0"/>
                      <a:ext cx="3972127" cy="5620067"/>
                    </a:xfrm>
                    <a:prstGeom prst="rect"/>
                    <a:ln/>
                  </pic:spPr>
                </pic:pic>
              </a:graphicData>
            </a:graphic>
          </wp:inline>
        </w:drawing>
      </w:r>
      <w:r w:rsidDel="00000000" w:rsidR="00000000" w:rsidRPr="00000000">
        <w:rPr>
          <w:rtl w:val="0"/>
        </w:rPr>
      </w:r>
    </w:p>
    <w:p w:rsidR="00000000" w:rsidDel="00000000" w:rsidP="00000000" w:rsidRDefault="00000000" w:rsidRPr="00000000" w14:paraId="0000007D">
      <w:pPr>
        <w:pBdr>
          <w:top w:space="0" w:sz="0" w:val="nil"/>
          <w:left w:space="0" w:sz="0" w:val="nil"/>
          <w:bottom w:space="0" w:sz="0" w:val="nil"/>
          <w:right w:space="0" w:sz="0" w:val="nil"/>
          <w:between w:space="0" w:sz="0" w:val="nil"/>
        </w:pBdr>
        <w:spacing w:after="200" w:line="240" w:lineRule="auto"/>
        <w:rPr>
          <w:i w:val="1"/>
          <w:sz w:val="18"/>
          <w:szCs w:val="18"/>
        </w:rPr>
      </w:pPr>
      <w:r w:rsidDel="00000000" w:rsidR="00000000" w:rsidRPr="00000000">
        <w:rPr>
          <w:b w:val="1"/>
          <w:i w:val="1"/>
          <w:sz w:val="18"/>
          <w:szCs w:val="18"/>
          <w:rtl w:val="0"/>
        </w:rPr>
        <w:t xml:space="preserve">Supplementary Figure 1.4, Site plan of Ely.</w:t>
      </w:r>
      <w:r w:rsidDel="00000000" w:rsidR="00000000" w:rsidRPr="00000000">
        <w:rPr>
          <w:i w:val="1"/>
          <w:sz w:val="18"/>
          <w:szCs w:val="18"/>
          <w:rtl w:val="0"/>
        </w:rPr>
        <w:t xml:space="preserve"> Shown are the locations of the graves, major artifacts in them, the DNA attribution of each grave (red is CNE, yellow 2/3 CNE, green is WBI, blue 2/3 WBI).</w:t>
      </w:r>
    </w:p>
    <w:p w:rsidR="00000000" w:rsidDel="00000000" w:rsidP="00000000" w:rsidRDefault="00000000" w:rsidRPr="00000000" w14:paraId="0000007E">
      <w:pPr>
        <w:rPr/>
      </w:pPr>
      <w:r w:rsidDel="00000000" w:rsidR="00000000" w:rsidRPr="00000000">
        <w:rPr>
          <w:rtl w:val="0"/>
        </w:rPr>
      </w:r>
    </w:p>
    <w:p w:rsidR="00000000" w:rsidDel="00000000" w:rsidP="00000000" w:rsidRDefault="00000000" w:rsidRPr="00000000" w14:paraId="0000007F">
      <w:pPr>
        <w:pStyle w:val="Heading4"/>
        <w:rPr>
          <w:color w:val="000000"/>
        </w:rPr>
      </w:pPr>
      <w:bookmarkStart w:colFirst="0" w:colLast="0" w:name="_heading=h.2s8eyo1" w:id="9"/>
      <w:bookmarkEnd w:id="9"/>
      <w:r w:rsidDel="00000000" w:rsidR="00000000" w:rsidRPr="00000000">
        <w:rPr>
          <w:color w:val="000000"/>
          <w:rtl w:val="0"/>
        </w:rPr>
        <w:t xml:space="preserve">Hartlepool, Olive Street, Unitary Authority Hartlepool</w:t>
      </w:r>
    </w:p>
    <w:p w:rsidR="00000000" w:rsidDel="00000000" w:rsidP="00000000" w:rsidRDefault="00000000" w:rsidRPr="00000000" w14:paraId="00000080">
      <w:pPr>
        <w:rPr/>
      </w:pPr>
      <w:r w:rsidDel="00000000" w:rsidR="00000000" w:rsidRPr="00000000">
        <w:rPr>
          <w:rtl w:val="0"/>
        </w:rPr>
        <w:t xml:space="preserve">The site at Olive Street, Hartlepool, England was an accidental discovery. During repair work to a stone wall, human remains were found and Tees Archaeology were asked to investigate. In total six bodies were excavated and a small portion of a stone structure. There had been extensive inter-cutting of graves. Three of the bodies were radiocarbon-dated and these all provided dates between the 7</w:t>
      </w:r>
      <w:r w:rsidDel="00000000" w:rsidR="00000000" w:rsidRPr="00000000">
        <w:rPr>
          <w:vertAlign w:val="superscript"/>
          <w:rtl w:val="0"/>
        </w:rPr>
        <w:t xml:space="preserve">th</w:t>
      </w:r>
      <w:r w:rsidDel="00000000" w:rsidR="00000000" w:rsidRPr="00000000">
        <w:rPr>
          <w:rtl w:val="0"/>
        </w:rPr>
        <w:t xml:space="preserve"> and 10</w:t>
      </w:r>
      <w:r w:rsidDel="00000000" w:rsidR="00000000" w:rsidRPr="00000000">
        <w:rPr>
          <w:vertAlign w:val="superscript"/>
          <w:rtl w:val="0"/>
        </w:rPr>
        <w:t xml:space="preserve">th</w:t>
      </w:r>
      <w:r w:rsidDel="00000000" w:rsidR="00000000" w:rsidRPr="00000000">
        <w:rPr>
          <w:rtl w:val="0"/>
        </w:rPr>
        <w:t xml:space="preserve"> centuries. This is thought to be part of a large cemetery, part of which was excavated in 1964 and again yielded pre-conquest radiocarbon dates. The archive is held by Tees Archaeology and the site is forthcoming in the Durham Archaeological Journal under the title “Anglo-Saxon remains from Back Gladstone Street, Hartlepool” by Stephen J Sherlock.</w:t>
      </w:r>
    </w:p>
    <w:p w:rsidR="00000000" w:rsidDel="00000000" w:rsidP="00000000" w:rsidRDefault="00000000" w:rsidRPr="00000000" w14:paraId="00000081">
      <w:pPr>
        <w:rPr/>
      </w:pPr>
      <w:r w:rsidDel="00000000" w:rsidR="00000000" w:rsidRPr="00000000">
        <w:rPr>
          <w:u w:val="single"/>
          <w:rtl w:val="0"/>
        </w:rPr>
        <w:t xml:space="preserve">Provenance note:</w:t>
      </w:r>
      <w:r w:rsidDel="00000000" w:rsidR="00000000" w:rsidRPr="00000000">
        <w:rPr>
          <w:rtl w:val="0"/>
        </w:rPr>
        <w:t xml:space="preserve"> Samples from Hartlepool were provided by Tees Archaeology. Permission to analyse was granted to coauthor Tom Booth in 2019.</w:t>
      </w:r>
    </w:p>
    <w:p w:rsidR="00000000" w:rsidDel="00000000" w:rsidP="00000000" w:rsidRDefault="00000000" w:rsidRPr="00000000" w14:paraId="00000082">
      <w:pPr>
        <w:rPr/>
      </w:pPr>
      <w:r w:rsidDel="00000000" w:rsidR="00000000" w:rsidRPr="00000000">
        <w:rPr>
          <w:rtl w:val="0"/>
        </w:rPr>
      </w:r>
    </w:p>
    <w:p w:rsidR="00000000" w:rsidDel="00000000" w:rsidP="00000000" w:rsidRDefault="00000000" w:rsidRPr="00000000" w14:paraId="00000083">
      <w:pPr>
        <w:pStyle w:val="Heading4"/>
        <w:spacing w:before="240" w:lineRule="auto"/>
        <w:rPr>
          <w:color w:val="000000"/>
        </w:rPr>
      </w:pPr>
      <w:bookmarkStart w:colFirst="0" w:colLast="0" w:name="_heading=h.17dp8vu" w:id="10"/>
      <w:bookmarkEnd w:id="10"/>
      <w:r w:rsidDel="00000000" w:rsidR="00000000" w:rsidRPr="00000000">
        <w:rPr>
          <w:color w:val="000000"/>
          <w:rtl w:val="0"/>
        </w:rPr>
        <w:t xml:space="preserve">Dover Hill, Folkestone, Kent</w:t>
      </w:r>
    </w:p>
    <w:p w:rsidR="00000000" w:rsidDel="00000000" w:rsidP="00000000" w:rsidRDefault="00000000" w:rsidRPr="00000000" w14:paraId="00000084">
      <w:pPr>
        <w:spacing w:after="240" w:lineRule="auto"/>
        <w:rPr/>
      </w:pPr>
      <w:r w:rsidDel="00000000" w:rsidR="00000000" w:rsidRPr="00000000">
        <w:rPr>
          <w:rtl w:val="0"/>
        </w:rPr>
        <w:t xml:space="preserve">Digging associated with road building on Dover Hill near Folkestone in Kent through the late 19</w:t>
      </w:r>
      <w:r w:rsidDel="00000000" w:rsidR="00000000" w:rsidRPr="00000000">
        <w:rPr>
          <w:vertAlign w:val="superscript"/>
          <w:rtl w:val="0"/>
        </w:rPr>
        <w:t xml:space="preserve">th</w:t>
      </w:r>
      <w:r w:rsidDel="00000000" w:rsidR="00000000" w:rsidRPr="00000000">
        <w:rPr>
          <w:rtl w:val="0"/>
        </w:rPr>
        <w:t xml:space="preserve"> and early 20</w:t>
      </w:r>
      <w:r w:rsidDel="00000000" w:rsidR="00000000" w:rsidRPr="00000000">
        <w:rPr>
          <w:vertAlign w:val="superscript"/>
          <w:rtl w:val="0"/>
        </w:rPr>
        <w:t xml:space="preserve">th</w:t>
      </w:r>
      <w:r w:rsidDel="00000000" w:rsidR="00000000" w:rsidRPr="00000000">
        <w:rPr>
          <w:rtl w:val="0"/>
        </w:rPr>
        <w:t xml:space="preserve"> century resulted in repeated encounters with the remains of an early medieval ‘Pagan Saxon’ cemetery. Road widening works in 1907 led A.G. Nichols to excavate 35 of the burials from this Dover Hill cemetery. The graves had been cut into the soft chalk bedrock, and the heads of the skeletons were often supported by chalk pillows. Burials were accompanied by various grave goods; double-edged swords, spearheads, shield bosses, knives, a dagger, a crystal ball, several buckles, various amber and glass beads and one garnet-inlaid brooch. Based on the finds, the cemetery is thought to date to between 450-600 CE. In most cases only the skulls of the burials were retained and deposited at the Natural History Museum in London. However, one skeleton, Burial 4, a 30-40-year-old female was lifted in full and deposited at Folkestone Museum. Burial 4 was found with a brooch, a knife, a belt buckle, an amber bead necklace and bead bracelets The skeleton, known as the Folkestone Woman, is still on display at Folkestone Museum and has been nicknamed ‘Aefre’. A sample of the petrous portion of the temporal bone of ‘Aefre’ is included in this study.</w:t>
      </w:r>
    </w:p>
    <w:p w:rsidR="00000000" w:rsidDel="00000000" w:rsidP="00000000" w:rsidRDefault="00000000" w:rsidRPr="00000000" w14:paraId="00000085">
      <w:pPr>
        <w:spacing w:after="240" w:lineRule="auto"/>
        <w:rPr/>
      </w:pPr>
      <w:r w:rsidDel="00000000" w:rsidR="00000000" w:rsidRPr="00000000">
        <w:rPr>
          <w:u w:val="single"/>
          <w:rtl w:val="0"/>
        </w:rPr>
        <w:t xml:space="preserve">Provenance note:</w:t>
      </w:r>
      <w:r w:rsidDel="00000000" w:rsidR="00000000" w:rsidRPr="00000000">
        <w:rPr>
          <w:rtl w:val="0"/>
        </w:rPr>
        <w:t xml:space="preserve"> Samples from Dover Hill were provided by the Folkestone Museum. Permission to analyse was granted to coauthor Tom Booth in 2016.</w:t>
      </w:r>
    </w:p>
    <w:p w:rsidR="00000000" w:rsidDel="00000000" w:rsidP="00000000" w:rsidRDefault="00000000" w:rsidRPr="00000000" w14:paraId="00000086">
      <w:pPr>
        <w:rPr/>
      </w:pPr>
      <w:r w:rsidDel="00000000" w:rsidR="00000000" w:rsidRPr="00000000">
        <w:rPr>
          <w:rtl w:val="0"/>
        </w:rPr>
      </w:r>
    </w:p>
    <w:p w:rsidR="00000000" w:rsidDel="00000000" w:rsidP="00000000" w:rsidRDefault="00000000" w:rsidRPr="00000000" w14:paraId="00000087">
      <w:pPr>
        <w:pStyle w:val="Heading4"/>
        <w:rPr>
          <w:color w:val="000000"/>
        </w:rPr>
      </w:pPr>
      <w:bookmarkStart w:colFirst="0" w:colLast="0" w:name="_heading=h.3rdcrjn" w:id="11"/>
      <w:bookmarkEnd w:id="11"/>
      <w:r w:rsidDel="00000000" w:rsidR="00000000" w:rsidRPr="00000000">
        <w:rPr>
          <w:color w:val="000000"/>
          <w:rtl w:val="0"/>
        </w:rPr>
        <w:t xml:space="preserve">Hatherdene Close, Cherry Hinton, Cambridgeshire </w:t>
      </w:r>
    </w:p>
    <w:p w:rsidR="00000000" w:rsidDel="00000000" w:rsidP="00000000" w:rsidRDefault="00000000" w:rsidRPr="00000000" w14:paraId="00000088">
      <w:pPr>
        <w:rPr/>
      </w:pPr>
      <w:r w:rsidDel="00000000" w:rsidR="00000000" w:rsidRPr="00000000">
        <w:rPr>
          <w:rtl w:val="0"/>
        </w:rPr>
        <w:t xml:space="preserve">Hatherdene Close is an early Anglo-Saxon cemetery located in Cherry Hinton, Cambridgeshire and was excavated by Oxford Archaeology East in 2007 and 2016</w:t>
      </w:r>
      <w:hyperlink r:id="rId18">
        <w:r w:rsidDel="00000000" w:rsidR="00000000" w:rsidRPr="00000000">
          <w:rPr>
            <w:color w:val="000000"/>
            <w:vertAlign w:val="superscript"/>
            <w:rtl w:val="0"/>
          </w:rPr>
          <w:t xml:space="preserve">10</w:t>
        </w:r>
      </w:hyperlink>
      <w:r w:rsidDel="00000000" w:rsidR="00000000" w:rsidRPr="00000000">
        <w:rPr>
          <w:rtl w:val="0"/>
        </w:rPr>
        <w:t xml:space="preserve">. The cemetery was an inhumation site and consisted of 126 individuals dating to the early Anglo-Saxon period, 5</w:t>
      </w:r>
      <w:r w:rsidDel="00000000" w:rsidR="00000000" w:rsidRPr="00000000">
        <w:rPr>
          <w:vertAlign w:val="superscript"/>
          <w:rtl w:val="0"/>
        </w:rPr>
        <w:t xml:space="preserve">th</w:t>
      </w:r>
      <w:r w:rsidDel="00000000" w:rsidR="00000000" w:rsidRPr="00000000">
        <w:rPr>
          <w:rtl w:val="0"/>
        </w:rPr>
        <w:t xml:space="preserve"> to 6</w:t>
      </w:r>
      <w:r w:rsidDel="00000000" w:rsidR="00000000" w:rsidRPr="00000000">
        <w:rPr>
          <w:vertAlign w:val="superscript"/>
          <w:rtl w:val="0"/>
        </w:rPr>
        <w:t xml:space="preserve">th</w:t>
      </w:r>
      <w:r w:rsidDel="00000000" w:rsidR="00000000" w:rsidRPr="00000000">
        <w:rPr>
          <w:rtl w:val="0"/>
        </w:rPr>
        <w:t xml:space="preserve"> century. The majority of graves lay to the northeast of a Roman funerary enclosure and Iron Age square barrow, with eleven graves within the earlier features (Supp. Fig. 1.5). Hatherdeane is noteworthy because there were a number of ‘stacked’ burials where the same grave was used for multiple internments of individuals, one on top of the other as opposed to a more usual side by side interment seen in multiple inhumation graves. </w:t>
      </w:r>
    </w:p>
    <w:p w:rsidR="00000000" w:rsidDel="00000000" w:rsidP="00000000" w:rsidRDefault="00000000" w:rsidRPr="00000000" w14:paraId="00000089">
      <w:pPr>
        <w:rPr/>
      </w:pPr>
      <w:r w:rsidDel="00000000" w:rsidR="00000000" w:rsidRPr="00000000">
        <w:rPr>
          <w:u w:val="single"/>
          <w:rtl w:val="0"/>
        </w:rPr>
        <w:t xml:space="preserve">Provenance note:</w:t>
      </w:r>
      <w:r w:rsidDel="00000000" w:rsidR="00000000" w:rsidRPr="00000000">
        <w:rPr>
          <w:rtl w:val="0"/>
        </w:rPr>
        <w:t xml:space="preserve"> Samples from Hatherdene Close were provided by Oxford Archaeology East. Permission to analyse was granted to coauthor Duncan Sayer in 2017.</w:t>
      </w:r>
    </w:p>
    <w:p w:rsidR="00000000" w:rsidDel="00000000" w:rsidP="00000000" w:rsidRDefault="00000000" w:rsidRPr="00000000" w14:paraId="0000008A">
      <w:pPr>
        <w:rPr/>
      </w:pPr>
      <w:r w:rsidDel="00000000" w:rsidR="00000000" w:rsidRPr="00000000">
        <w:rPr/>
        <w:drawing>
          <wp:inline distB="114300" distT="114300" distL="114300" distR="114300">
            <wp:extent cx="5760410" cy="4064000"/>
            <wp:effectExtent b="0" l="0" r="0" t="0"/>
            <wp:docPr id="155" name="image40.png"/>
            <a:graphic>
              <a:graphicData uri="http://schemas.openxmlformats.org/drawingml/2006/picture">
                <pic:pic>
                  <pic:nvPicPr>
                    <pic:cNvPr id="0" name="image40.png"/>
                    <pic:cNvPicPr preferRelativeResize="0"/>
                  </pic:nvPicPr>
                  <pic:blipFill>
                    <a:blip r:embed="rId19"/>
                    <a:srcRect b="0" l="0" r="0" t="0"/>
                    <a:stretch>
                      <a:fillRect/>
                    </a:stretch>
                  </pic:blipFill>
                  <pic:spPr>
                    <a:xfrm>
                      <a:off x="0" y="0"/>
                      <a:ext cx="5760410" cy="4064000"/>
                    </a:xfrm>
                    <a:prstGeom prst="rect"/>
                    <a:ln/>
                  </pic:spPr>
                </pic:pic>
              </a:graphicData>
            </a:graphic>
          </wp:inline>
        </w:drawing>
      </w:r>
      <w:r w:rsidDel="00000000" w:rsidR="00000000" w:rsidRPr="00000000">
        <w:rPr>
          <w:rtl w:val="0"/>
        </w:rPr>
      </w:r>
    </w:p>
    <w:p w:rsidR="00000000" w:rsidDel="00000000" w:rsidP="00000000" w:rsidRDefault="00000000" w:rsidRPr="00000000" w14:paraId="0000008B">
      <w:pPr>
        <w:spacing w:after="200" w:line="240" w:lineRule="auto"/>
        <w:rPr/>
      </w:pPr>
      <w:r w:rsidDel="00000000" w:rsidR="00000000" w:rsidRPr="00000000">
        <w:rPr>
          <w:b w:val="1"/>
          <w:i w:val="1"/>
          <w:sz w:val="18"/>
          <w:szCs w:val="18"/>
          <w:rtl w:val="0"/>
        </w:rPr>
        <w:t xml:space="preserve">Supplementary Figure 1.5, Site plan of Hatherdene Close.</w:t>
      </w:r>
      <w:r w:rsidDel="00000000" w:rsidR="00000000" w:rsidRPr="00000000">
        <w:rPr>
          <w:i w:val="1"/>
          <w:sz w:val="18"/>
          <w:szCs w:val="18"/>
          <w:rtl w:val="0"/>
        </w:rPr>
        <w:t xml:space="preserve"> Shown are the locations of the graves, major artifacts in them, the DNA attribution of each grave (red is CNE, yellow 2/3 CNE, green is WBI, blue 2/3 WBI).</w:t>
      </w:r>
      <w:r w:rsidDel="00000000" w:rsidR="00000000" w:rsidRPr="00000000">
        <w:rPr>
          <w:rtl w:val="0"/>
        </w:rPr>
      </w:r>
    </w:p>
    <w:p w:rsidR="00000000" w:rsidDel="00000000" w:rsidP="00000000" w:rsidRDefault="00000000" w:rsidRPr="00000000" w14:paraId="0000008C">
      <w:pPr>
        <w:rPr/>
      </w:pPr>
      <w:r w:rsidDel="00000000" w:rsidR="00000000" w:rsidRPr="00000000">
        <w:rPr>
          <w:rtl w:val="0"/>
        </w:rPr>
      </w:r>
    </w:p>
    <w:p w:rsidR="00000000" w:rsidDel="00000000" w:rsidP="00000000" w:rsidRDefault="00000000" w:rsidRPr="00000000" w14:paraId="0000008D">
      <w:pPr>
        <w:pStyle w:val="Heading4"/>
        <w:rPr>
          <w:color w:val="000000"/>
        </w:rPr>
      </w:pPr>
      <w:bookmarkStart w:colFirst="0" w:colLast="0" w:name="_heading=h.26in1rg" w:id="12"/>
      <w:bookmarkEnd w:id="12"/>
      <w:r w:rsidDel="00000000" w:rsidR="00000000" w:rsidRPr="00000000">
        <w:rPr>
          <w:color w:val="000000"/>
          <w:rtl w:val="0"/>
        </w:rPr>
        <w:t xml:space="preserve">RAF Lakenheath, Eriswell parish, Suffolk</w:t>
      </w:r>
    </w:p>
    <w:p w:rsidR="00000000" w:rsidDel="00000000" w:rsidP="00000000" w:rsidRDefault="00000000" w:rsidRPr="00000000" w14:paraId="0000008E">
      <w:pPr>
        <w:rPr/>
      </w:pPr>
      <w:r w:rsidDel="00000000" w:rsidR="00000000" w:rsidRPr="00000000">
        <w:rPr>
          <w:rtl w:val="0"/>
        </w:rPr>
        <w:t xml:space="preserve">Early Anglo-Saxon burials within the perimeter of the military airbase RAF Lakenheath and also within the bounds of the parish of Eriswell were first discovered in 1957 as a result of building work. Excavation in 1959 was led by Grace, Lady Briscoe, in 1959, with the finds from 33 graves published as the cemetery of Little Eriswell by Patricia Hutchinson in 1966 (ERL 008). Close to this site, three more inhumation graves were found in a pipe-trench in May 1979 (ERL 046). From 1997, larger scale surveys and excavations were carried out funded by the Ministry of Defence Estates in advance of extensive new building. </w:t>
      </w:r>
    </w:p>
    <w:p w:rsidR="00000000" w:rsidDel="00000000" w:rsidP="00000000" w:rsidRDefault="00000000" w:rsidRPr="00000000" w14:paraId="0000008F">
      <w:pPr>
        <w:rPr/>
      </w:pPr>
      <w:r w:rsidDel="00000000" w:rsidR="00000000" w:rsidRPr="00000000">
        <w:rPr>
          <w:rtl w:val="0"/>
        </w:rPr>
        <w:t xml:space="preserve">This fieldwork identified what appear to be three discrete burial grounds, which were closely spaced and in contemporary use. They are referred to in the forthcoming publication and study of the site as the East (ERL 008 and ERL 114), Central (ERL 046) and West (ERL 104 and ERL 161) burial grounds. There is vestigial evidence of cremation burial from around or before the middle of the 5</w:t>
      </w:r>
      <w:r w:rsidDel="00000000" w:rsidR="00000000" w:rsidRPr="00000000">
        <w:rPr>
          <w:vertAlign w:val="superscript"/>
          <w:rtl w:val="0"/>
        </w:rPr>
        <w:t xml:space="preserve">th</w:t>
      </w:r>
      <w:r w:rsidDel="00000000" w:rsidR="00000000" w:rsidRPr="00000000">
        <w:rPr>
          <w:rtl w:val="0"/>
        </w:rPr>
        <w:t xml:space="preserve"> century CE in the west site, with inhumation introduced there by the final quarter of that century and perhaps as early as c. 460 CE. Inhumation in the central and east burial grounds appears to have commenced at much the same time as in the west. Although the limits of excavation mean that one cannot be certain that the East and Central burial grounds do not join up, the layout of graves differs between the three areas, with burial in the East surrounding a large Bronze-age barrow, burial in the central burial ground in quite regular rows running south-north, and a more complex polyfocal grouping in the west. Burial took place in all three burial grounds through to the third quarter of the 6th century, after which it continued in the west alone. The cessation of burial in the west site appears to have been correlated with the start of burial beside another Bronze-age barrow at the Lord’s Walk site some 300 metres to the south.</w:t>
      </w:r>
    </w:p>
    <w:p w:rsidR="00000000" w:rsidDel="00000000" w:rsidP="00000000" w:rsidRDefault="00000000" w:rsidRPr="00000000" w14:paraId="00000090">
      <w:pPr>
        <w:rPr/>
      </w:pPr>
      <w:r w:rsidDel="00000000" w:rsidR="00000000" w:rsidRPr="00000000">
        <w:rPr>
          <w:rtl w:val="0"/>
        </w:rPr>
        <w:t xml:space="preserve">The burial grounds are of different sizes: the burials of 62 individuals have been excavated in the central site, 99 (of the Early Anglo-Saxon Period, plus three of the Bronze Age) in Little Eriswell/the east site, and 273 who were inhumed, plus a minimum of 8 cremations, in the West. There are relatively few double or multiple internments in one grave. The chronology of the burials indicates a substantial drop in the burying population between Stage 1, when all three sites were being used, and Stage 2, when the West site alone continued in use: possibly a decrease of as much as 80%. The West burial ground includes one especially early adult female grave (G363) from which the isotopic evidence suggests the woman buried had lived her early life on the other side of the North Sea in the area of Denmark, possibly Jutland. An outstanding grave is G323, the burial of a young adult male with a full weapon set and a very richly harnessed sacrificed horse.</w:t>
      </w:r>
    </w:p>
    <w:p w:rsidR="00000000" w:rsidDel="00000000" w:rsidP="00000000" w:rsidRDefault="00000000" w:rsidRPr="00000000" w14:paraId="00000091">
      <w:pPr>
        <w:rPr/>
      </w:pPr>
      <w:r w:rsidDel="00000000" w:rsidR="00000000" w:rsidRPr="00000000">
        <w:rPr>
          <w:rtl w:val="0"/>
        </w:rPr>
        <w:t xml:space="preserve">The 15 samples that have been analysed for DNA are mostly (13) from the west site with one each from the Central and East burial grounds. Chronologically, they range from the earliest identifiable burials to the latest, with a preponderance of the former. Eleven are from males and 4 from females. The sample includes very early graves from each of the three burial grounds: G363(W), G031(C) and G405(E). The principal criterion for sample selection, however, has been observable evidence suggesting close genetic relationship: e.g. collocation in what look like family plots, often supported by less common, potentially heritable, skeletal traits, and in the case of G141, G298a and G298b previous aDNA analysis indicating a close genetic relationship. G405 is also an outlier in terms of the isotopic profile, although less markedly so than G363. The principal clusters are summarized below. G323 appears in fact to have a dominant and influential position for much of the development and use of space in the west burial ground, although radiocarbon dating evidence and the grave goods do not support a view that it is a ‘founder grave’ in any strict sense. Other potentially heritable traits link G323 with other burials in the sample.</w:t>
      </w:r>
    </w:p>
    <w:p w:rsidR="00000000" w:rsidDel="00000000" w:rsidP="00000000" w:rsidRDefault="00000000" w:rsidRPr="00000000" w14:paraId="00000092">
      <w:pPr>
        <w:rPr/>
      </w:pPr>
      <w:r w:rsidDel="00000000" w:rsidR="00000000" w:rsidRPr="00000000">
        <w:rPr>
          <w:u w:val="single"/>
          <w:rtl w:val="0"/>
        </w:rPr>
        <w:t xml:space="preserve">Provenance Note:</w:t>
      </w:r>
      <w:r w:rsidDel="00000000" w:rsidR="00000000" w:rsidRPr="00000000">
        <w:rPr>
          <w:rtl w:val="0"/>
        </w:rPr>
        <w:t xml:space="preserve"> Samples from RAF Lakenheath where provided by Cotswold Archaeology Suffolk. Permission to analyse was granted to coauthor Duncan Sayer in 2017.</w:t>
      </w:r>
    </w:p>
    <w:p w:rsidR="00000000" w:rsidDel="00000000" w:rsidP="00000000" w:rsidRDefault="00000000" w:rsidRPr="00000000" w14:paraId="00000093">
      <w:pPr>
        <w:rPr/>
      </w:pPr>
      <w:r w:rsidDel="00000000" w:rsidR="00000000" w:rsidRPr="00000000">
        <w:rPr>
          <w:rtl w:val="0"/>
        </w:rPr>
      </w:r>
    </w:p>
    <w:p w:rsidR="00000000" w:rsidDel="00000000" w:rsidP="00000000" w:rsidRDefault="00000000" w:rsidRPr="00000000" w14:paraId="00000094">
      <w:pPr>
        <w:pStyle w:val="Heading4"/>
        <w:spacing w:line="276" w:lineRule="auto"/>
        <w:rPr>
          <w:color w:val="000000"/>
        </w:rPr>
      </w:pPr>
      <w:bookmarkStart w:colFirst="0" w:colLast="0" w:name="_heading=h.lnxbz9" w:id="13"/>
      <w:bookmarkEnd w:id="13"/>
      <w:r w:rsidDel="00000000" w:rsidR="00000000" w:rsidRPr="00000000">
        <w:rPr>
          <w:color w:val="000000"/>
          <w:rtl w:val="0"/>
        </w:rPr>
        <w:t xml:space="preserve">Lincoln Castle, Lincoln, Lincolnshire</w:t>
      </w:r>
    </w:p>
    <w:p w:rsidR="00000000" w:rsidDel="00000000" w:rsidP="00000000" w:rsidRDefault="00000000" w:rsidRPr="00000000" w14:paraId="00000095">
      <w:pPr>
        <w:spacing w:after="240" w:before="240" w:line="276" w:lineRule="auto"/>
        <w:rPr/>
      </w:pPr>
      <w:r w:rsidDel="00000000" w:rsidR="00000000" w:rsidRPr="00000000">
        <w:rPr>
          <w:rtl w:val="0"/>
        </w:rPr>
        <w:t xml:space="preserve">Nine intact inhumation burials were excavated within a trench for a stair and lift foundation positioned within the Masons’ Yard, Lincoln Castle in 2014 (Burials 1-7, 9 and 11). In addition, an assemblage of disarticulated human bone indicated the disturbed burials of 40 men, women and children, and a watching brief in 1993 encountered two further burials 24m to the northwest of the Masons’ Yard suggesting a long-lived and relatively sizable burial ground. The nine burials excavated within the Masons’ Yard were associated with a lime-mortared stone building identified as a lost church or chapel. Burial 9, a female aged 26-35, predated the stone building, while Burial 1, a male aged 18-25, had been reinterred carefully within the foundations during initial construction; the seven further burials were subsequently made inside the church or chapel. A programme of bioarchaeological analysis was carried out on the burials including high-precision radiocarbon dating and Bayesian analysis, multi-isotope analysis investigating diet and place of origin, and ancient DNA analysis.</w:t>
      </w:r>
    </w:p>
    <w:p w:rsidR="00000000" w:rsidDel="00000000" w:rsidP="00000000" w:rsidRDefault="00000000" w:rsidRPr="00000000" w14:paraId="00000096">
      <w:pPr>
        <w:spacing w:after="240" w:before="240" w:line="276" w:lineRule="auto"/>
        <w:rPr/>
      </w:pPr>
      <w:r w:rsidDel="00000000" w:rsidR="00000000" w:rsidRPr="00000000">
        <w:rPr>
          <w:rtl w:val="0"/>
        </w:rPr>
        <w:t xml:space="preserve">Radio-carbon dating and statistical modelling using stratigraphic information placed the construction of the church or chapel and associated burials in the decades prior to the Norman Conquest – c.985-1070; the construction of the stone-built East Gate and East Range dating to the 1080s oversailed the remains of the church or chapel. Multi-isotope analysis indicated two individuals – Burial 4 and 6 – were probably born in or near Lincoln, with the other individuals having migrated from elsewhere in Britain or from warmer climes. Samples from the burials were submitted for aDNA analysis, of which three provided ancient DNA sufficient to have interpretive value: from Burial 2, a child aged 10-14; Burial 6, a male aged 36-45; Burial 11, a child aged 2-6.</w:t>
      </w:r>
    </w:p>
    <w:p w:rsidR="00000000" w:rsidDel="00000000" w:rsidP="00000000" w:rsidRDefault="00000000" w:rsidRPr="00000000" w14:paraId="00000097">
      <w:pPr>
        <w:spacing w:after="240" w:before="240" w:line="276" w:lineRule="auto"/>
        <w:rPr/>
      </w:pPr>
      <w:r w:rsidDel="00000000" w:rsidR="00000000" w:rsidRPr="00000000">
        <w:rPr>
          <w:u w:val="single"/>
          <w:rtl w:val="0"/>
        </w:rPr>
        <w:t xml:space="preserve">Provenance Note:</w:t>
      </w:r>
      <w:r w:rsidDel="00000000" w:rsidR="00000000" w:rsidRPr="00000000">
        <w:rPr>
          <w:rtl w:val="0"/>
        </w:rPr>
        <w:t xml:space="preserve"> Samples from Lincoln Castle where provided by FAS Heritage. Permission to analyse was granted to coauthor Tom Booth in 2015.</w:t>
      </w:r>
    </w:p>
    <w:p w:rsidR="00000000" w:rsidDel="00000000" w:rsidP="00000000" w:rsidRDefault="00000000" w:rsidRPr="00000000" w14:paraId="00000098">
      <w:pPr>
        <w:rPr/>
      </w:pPr>
      <w:r w:rsidDel="00000000" w:rsidR="00000000" w:rsidRPr="00000000">
        <w:rPr>
          <w:rtl w:val="0"/>
        </w:rPr>
      </w:r>
    </w:p>
    <w:p w:rsidR="00000000" w:rsidDel="00000000" w:rsidP="00000000" w:rsidRDefault="00000000" w:rsidRPr="00000000" w14:paraId="00000099">
      <w:pPr>
        <w:pStyle w:val="Heading4"/>
        <w:rPr>
          <w:color w:val="000000"/>
        </w:rPr>
      </w:pPr>
      <w:bookmarkStart w:colFirst="0" w:colLast="0" w:name="_heading=h.35nkun2" w:id="14"/>
      <w:bookmarkEnd w:id="14"/>
      <w:r w:rsidDel="00000000" w:rsidR="00000000" w:rsidRPr="00000000">
        <w:rPr>
          <w:color w:val="000000"/>
          <w:rtl w:val="0"/>
        </w:rPr>
        <w:t xml:space="preserve">Newquay, Crantock, Cornwall</w:t>
      </w:r>
    </w:p>
    <w:p w:rsidR="00000000" w:rsidDel="00000000" w:rsidP="00000000" w:rsidRDefault="00000000" w:rsidRPr="00000000" w14:paraId="0000009A">
      <w:pPr>
        <w:rPr/>
      </w:pPr>
      <w:r w:rsidDel="00000000" w:rsidR="00000000" w:rsidRPr="00000000">
        <w:rPr>
          <w:rtl w:val="0"/>
        </w:rPr>
        <w:t xml:space="preserve">Numerous burials have been found at Crantock since the 19</w:t>
      </w:r>
      <w:r w:rsidDel="00000000" w:rsidR="00000000" w:rsidRPr="00000000">
        <w:rPr>
          <w:vertAlign w:val="superscript"/>
          <w:rtl w:val="0"/>
        </w:rPr>
        <w:t xml:space="preserve">th</w:t>
      </w:r>
      <w:r w:rsidDel="00000000" w:rsidR="00000000" w:rsidRPr="00000000">
        <w:rPr>
          <w:rtl w:val="0"/>
        </w:rPr>
        <w:t xml:space="preserve"> century, although few have been recorded or published. In 1968, for example two adult male inhumations were found at Beach Road and in 1974 a pipeline cut across the old part of the churchyard revealed seven cist burials, oriented east-west</w:t>
      </w:r>
      <w:hyperlink r:id="rId20">
        <w:r w:rsidDel="00000000" w:rsidR="00000000" w:rsidRPr="00000000">
          <w:rPr>
            <w:color w:val="000000"/>
            <w:vertAlign w:val="superscript"/>
            <w:rtl w:val="0"/>
          </w:rPr>
          <w:t xml:space="preserve">11</w:t>
        </w:r>
      </w:hyperlink>
      <w:r w:rsidDel="00000000" w:rsidR="00000000" w:rsidRPr="00000000">
        <w:rPr>
          <w:rtl w:val="0"/>
        </w:rPr>
        <w:t xml:space="preserve">. Odd bits of bone were found along the line, and at approximately SW 7900 6055 a complete skeleton of an adult female within a cist (Irwin, unpublished typescript; MCO26511). The bones recovered in March 1980 were excavated by workmen who were adding an extension to a cottage. They were removed from the site by an archaeologist, and subsequently studied by Frank Turk who wrote an unpublished report on the burials</w:t>
      </w:r>
      <w:hyperlink r:id="rId21">
        <w:r w:rsidDel="00000000" w:rsidR="00000000" w:rsidRPr="00000000">
          <w:rPr>
            <w:color w:val="000000"/>
            <w:vertAlign w:val="superscript"/>
            <w:rtl w:val="0"/>
          </w:rPr>
          <w:t xml:space="preserve">12</w:t>
        </w:r>
      </w:hyperlink>
      <w:r w:rsidDel="00000000" w:rsidR="00000000" w:rsidRPr="00000000">
        <w:rPr>
          <w:rtl w:val="0"/>
        </w:rPr>
        <w:t xml:space="preserve">. They were found in the steeply sloping, terraced, much-disturbed garden of St Ambrose Cottage on the left-hand side and seaward end of Beach Road. As they were excavated vertically and not horizontally, not much could be said about method of burial, but one was ‘contracted’ in so far as the leg bones were by the head, and they were face-downwards with a big stone on top. A piece of glazed pottery found with them was not more than 200 years old. Turk dates the bones to the early part of the medieval period. They were found close to the site of St Ambrusca’s chapel and holy well.</w:t>
      </w:r>
    </w:p>
    <w:p w:rsidR="00000000" w:rsidDel="00000000" w:rsidP="00000000" w:rsidRDefault="00000000" w:rsidRPr="00000000" w14:paraId="0000009B">
      <w:pPr>
        <w:rPr/>
      </w:pPr>
      <w:r w:rsidDel="00000000" w:rsidR="00000000" w:rsidRPr="00000000">
        <w:rPr>
          <w:u w:val="single"/>
          <w:rtl w:val="0"/>
        </w:rPr>
        <w:t xml:space="preserve">Provenance Note:</w:t>
      </w:r>
      <w:r w:rsidDel="00000000" w:rsidR="00000000" w:rsidRPr="00000000">
        <w:rPr>
          <w:rtl w:val="0"/>
        </w:rPr>
        <w:t xml:space="preserve"> Samples from Newquay, Crantock where provided by the Royal Cornwall Museum. Permission to analyse was granted to coauthor Tom Booth in 2019.</w:t>
      </w:r>
    </w:p>
    <w:p w:rsidR="00000000" w:rsidDel="00000000" w:rsidP="00000000" w:rsidRDefault="00000000" w:rsidRPr="00000000" w14:paraId="0000009C">
      <w:pPr>
        <w:rPr/>
      </w:pPr>
      <w:r w:rsidDel="00000000" w:rsidR="00000000" w:rsidRPr="00000000">
        <w:rPr>
          <w:rtl w:val="0"/>
        </w:rPr>
      </w:r>
    </w:p>
    <w:p w:rsidR="00000000" w:rsidDel="00000000" w:rsidP="00000000" w:rsidRDefault="00000000" w:rsidRPr="00000000" w14:paraId="0000009D">
      <w:pPr>
        <w:pStyle w:val="Heading4"/>
        <w:rPr>
          <w:color w:val="000000"/>
        </w:rPr>
      </w:pPr>
      <w:bookmarkStart w:colFirst="0" w:colLast="0" w:name="_heading=h.1ksv4uv" w:id="15"/>
      <w:bookmarkEnd w:id="15"/>
      <w:r w:rsidDel="00000000" w:rsidR="00000000" w:rsidRPr="00000000">
        <w:rPr>
          <w:color w:val="000000"/>
          <w:rtl w:val="0"/>
        </w:rPr>
        <w:t xml:space="preserve">Norton, Bishopsmill, Stockton on Tees</w:t>
      </w:r>
    </w:p>
    <w:p w:rsidR="00000000" w:rsidDel="00000000" w:rsidP="00000000" w:rsidRDefault="00000000" w:rsidRPr="00000000" w14:paraId="0000009E">
      <w:pPr>
        <w:rPr/>
      </w:pPr>
      <w:r w:rsidDel="00000000" w:rsidR="00000000" w:rsidRPr="00000000">
        <w:rPr>
          <w:rtl w:val="0"/>
        </w:rPr>
        <w:t xml:space="preserve">The site was excavated in 2003 by Tees Archaeology ahead of major alterations to a school building. In total eighty three graves were identified and c.100 individuals. The cemetery included four double burials and there were a number of finds of chest fittings. The burials were oriented east-west and there was a clear row structure. Four radiocarbon dates were obtained and gave a date range of the 7</w:t>
      </w:r>
      <w:r w:rsidDel="00000000" w:rsidR="00000000" w:rsidRPr="00000000">
        <w:rPr>
          <w:vertAlign w:val="superscript"/>
          <w:rtl w:val="0"/>
        </w:rPr>
        <w:t xml:space="preserve">th</w:t>
      </w:r>
      <w:r w:rsidDel="00000000" w:rsidR="00000000" w:rsidRPr="00000000">
        <w:rPr>
          <w:rtl w:val="0"/>
        </w:rPr>
        <w:t xml:space="preserve"> to 10</w:t>
      </w:r>
      <w:r w:rsidDel="00000000" w:rsidR="00000000" w:rsidRPr="00000000">
        <w:rPr>
          <w:vertAlign w:val="superscript"/>
          <w:rtl w:val="0"/>
        </w:rPr>
        <w:t xml:space="preserve">th</w:t>
      </w:r>
      <w:r w:rsidDel="00000000" w:rsidR="00000000" w:rsidRPr="00000000">
        <w:rPr>
          <w:rtl w:val="0"/>
        </w:rPr>
        <w:t xml:space="preserve"> centuries CE. The cemetery continued to the south and west beyond the excavated area and it should be noted that it lies within 200m of the earlier (6</w:t>
      </w:r>
      <w:r w:rsidDel="00000000" w:rsidR="00000000" w:rsidRPr="00000000">
        <w:rPr>
          <w:vertAlign w:val="superscript"/>
          <w:rtl w:val="0"/>
        </w:rPr>
        <w:t xml:space="preserve">th</w:t>
      </w:r>
      <w:r w:rsidDel="00000000" w:rsidR="00000000" w:rsidRPr="00000000">
        <w:rPr>
          <w:rtl w:val="0"/>
        </w:rPr>
        <w:t xml:space="preserve"> -7</w:t>
      </w:r>
      <w:r w:rsidDel="00000000" w:rsidR="00000000" w:rsidRPr="00000000">
        <w:rPr>
          <w:vertAlign w:val="superscript"/>
          <w:rtl w:val="0"/>
        </w:rPr>
        <w:t xml:space="preserve">th</w:t>
      </w:r>
      <w:r w:rsidDel="00000000" w:rsidR="00000000" w:rsidRPr="00000000">
        <w:rPr>
          <w:rtl w:val="0"/>
        </w:rPr>
        <w:t xml:space="preserve"> century CE) Norton East Mill cemetery (see below). The site has not been published but the archive and finds are held by Tees Archaeology</w:t>
      </w:r>
    </w:p>
    <w:p w:rsidR="00000000" w:rsidDel="00000000" w:rsidP="00000000" w:rsidRDefault="00000000" w:rsidRPr="00000000" w14:paraId="0000009F">
      <w:pPr>
        <w:rPr/>
      </w:pPr>
      <w:r w:rsidDel="00000000" w:rsidR="00000000" w:rsidRPr="00000000">
        <w:rPr>
          <w:u w:val="single"/>
          <w:rtl w:val="0"/>
        </w:rPr>
        <w:t xml:space="preserve">Provenance Note:</w:t>
      </w:r>
      <w:r w:rsidDel="00000000" w:rsidR="00000000" w:rsidRPr="00000000">
        <w:rPr>
          <w:rtl w:val="0"/>
        </w:rPr>
        <w:t xml:space="preserve"> Samples from Norton, Bishopsmill were provided by Tees Archaeology. Permission to analyse was granted to coauthor Tom Booth in 2019.</w:t>
      </w:r>
    </w:p>
    <w:p w:rsidR="00000000" w:rsidDel="00000000" w:rsidP="00000000" w:rsidRDefault="00000000" w:rsidRPr="00000000" w14:paraId="000000A0">
      <w:pPr>
        <w:rPr/>
      </w:pPr>
      <w:r w:rsidDel="00000000" w:rsidR="00000000" w:rsidRPr="00000000">
        <w:rPr>
          <w:rtl w:val="0"/>
        </w:rPr>
      </w:r>
    </w:p>
    <w:p w:rsidR="00000000" w:rsidDel="00000000" w:rsidP="00000000" w:rsidRDefault="00000000" w:rsidRPr="00000000" w14:paraId="000000A1">
      <w:pPr>
        <w:pStyle w:val="Heading4"/>
        <w:rPr>
          <w:color w:val="000000"/>
        </w:rPr>
      </w:pPr>
      <w:bookmarkStart w:colFirst="0" w:colLast="0" w:name="_heading=h.44sinio" w:id="16"/>
      <w:bookmarkEnd w:id="16"/>
      <w:r w:rsidDel="00000000" w:rsidR="00000000" w:rsidRPr="00000000">
        <w:rPr>
          <w:color w:val="000000"/>
          <w:rtl w:val="0"/>
        </w:rPr>
        <w:t xml:space="preserve">Norton, East Mill, Stockton on Tees</w:t>
      </w:r>
    </w:p>
    <w:p w:rsidR="00000000" w:rsidDel="00000000" w:rsidP="00000000" w:rsidRDefault="00000000" w:rsidRPr="00000000" w14:paraId="000000A2">
      <w:pPr>
        <w:rPr/>
      </w:pPr>
      <w:r w:rsidDel="00000000" w:rsidR="00000000" w:rsidRPr="00000000">
        <w:rPr>
          <w:rtl w:val="0"/>
        </w:rPr>
        <w:t xml:space="preserve">The accidental discovery of a grave with 6th century Anglo-Saxon finds in 1982 led to the survey and excavation of an almost complete Anglo-Saxon cemetery between 1983 and 1985.  The excavation was carried out by Cleveland Archaeology Section (now Tees Archaeology). The cemetery contained 120 north-south oriented burials and three cremations accompanied by a range of finds. The finds mainly comprised copper alloy brooches, spearheads, shield bosses and beads with a few higher value objects. The full extent and boundaries of this cemetery were located. The cemetery is dated on the basis of the grave goods to the latter half of the 6</w:t>
      </w:r>
      <w:r w:rsidDel="00000000" w:rsidR="00000000" w:rsidRPr="00000000">
        <w:rPr>
          <w:vertAlign w:val="superscript"/>
          <w:rtl w:val="0"/>
        </w:rPr>
        <w:t xml:space="preserve">th</w:t>
      </w:r>
      <w:r w:rsidDel="00000000" w:rsidR="00000000" w:rsidRPr="00000000">
        <w:rPr>
          <w:rtl w:val="0"/>
        </w:rPr>
        <w:t xml:space="preserve"> and the beginning of the 7</w:t>
      </w:r>
      <w:r w:rsidDel="00000000" w:rsidR="00000000" w:rsidRPr="00000000">
        <w:rPr>
          <w:vertAlign w:val="superscript"/>
          <w:rtl w:val="0"/>
        </w:rPr>
        <w:t xml:space="preserve">th</w:t>
      </w:r>
      <w:r w:rsidDel="00000000" w:rsidR="00000000" w:rsidRPr="00000000">
        <w:rPr>
          <w:rtl w:val="0"/>
        </w:rPr>
        <w:t xml:space="preserve"> century. The archive and finds are held by Tees Archaeology. The cemetery is published as, An Anglo-Saxon Cemetery at Norton, Cleveland by Stephen J Sherlock &amp; Martin G Welch, Council for British Archaeology Research Report 82, 1992.</w:t>
      </w:r>
    </w:p>
    <w:p w:rsidR="00000000" w:rsidDel="00000000" w:rsidP="00000000" w:rsidRDefault="00000000" w:rsidRPr="00000000" w14:paraId="000000A3">
      <w:pPr>
        <w:rPr/>
      </w:pPr>
      <w:r w:rsidDel="00000000" w:rsidR="00000000" w:rsidRPr="00000000">
        <w:rPr>
          <w:u w:val="single"/>
          <w:rtl w:val="0"/>
        </w:rPr>
        <w:t xml:space="preserve">Provenance note:</w:t>
      </w:r>
      <w:r w:rsidDel="00000000" w:rsidR="00000000" w:rsidRPr="00000000">
        <w:rPr>
          <w:rtl w:val="0"/>
        </w:rPr>
        <w:t xml:space="preserve"> Samples from Norton, East Mill where provided by Tees Archaeology. Permission to analyse was granted to coauthor Tom Booth in 2019.</w:t>
      </w:r>
    </w:p>
    <w:p w:rsidR="00000000" w:rsidDel="00000000" w:rsidP="00000000" w:rsidRDefault="00000000" w:rsidRPr="00000000" w14:paraId="000000A4">
      <w:pPr>
        <w:rPr/>
      </w:pPr>
      <w:r w:rsidDel="00000000" w:rsidR="00000000" w:rsidRPr="00000000">
        <w:rPr>
          <w:rtl w:val="0"/>
        </w:rPr>
      </w:r>
    </w:p>
    <w:p w:rsidR="00000000" w:rsidDel="00000000" w:rsidP="00000000" w:rsidRDefault="00000000" w:rsidRPr="00000000" w14:paraId="000000A5">
      <w:pPr>
        <w:pStyle w:val="Heading4"/>
        <w:rPr>
          <w:b w:val="1"/>
          <w:color w:val="000000"/>
        </w:rPr>
      </w:pPr>
      <w:bookmarkStart w:colFirst="0" w:colLast="0" w:name="_heading=h.2jxsxqh" w:id="17"/>
      <w:bookmarkEnd w:id="17"/>
      <w:r w:rsidDel="00000000" w:rsidR="00000000" w:rsidRPr="00000000">
        <w:rPr>
          <w:color w:val="000000"/>
          <w:rtl w:val="0"/>
        </w:rPr>
        <w:t xml:space="preserve">Oakington, South Cambridgeshire, Cambridgeshire</w:t>
      </w:r>
      <w:r w:rsidDel="00000000" w:rsidR="00000000" w:rsidRPr="00000000">
        <w:rPr>
          <w:rtl w:val="0"/>
        </w:rPr>
      </w:r>
    </w:p>
    <w:p w:rsidR="00000000" w:rsidDel="00000000" w:rsidP="00000000" w:rsidRDefault="00000000" w:rsidRPr="00000000" w14:paraId="000000A6">
      <w:pPr>
        <w:spacing w:after="240" w:before="240" w:lineRule="auto"/>
        <w:rPr/>
      </w:pPr>
      <w:r w:rsidDel="00000000" w:rsidR="00000000" w:rsidRPr="00000000">
        <w:rPr>
          <w:rtl w:val="0"/>
        </w:rPr>
        <w:t xml:space="preserve">Oakington is a small village in Cambridgeshire, UK, 7 km northwest of Cambridge. It was named Hochinton and Hochintone in the Domesday Book. In 1926, three early Anglo-Saxon burials were identified when pasture land was cultivated for the first time. The cemetery was rediscovered in 1993 and 1994, when 24 graves were excavated by the Cambridge County Council's Archaeological Field Unit</w:t>
      </w:r>
      <w:hyperlink r:id="rId22">
        <w:r w:rsidDel="00000000" w:rsidR="00000000" w:rsidRPr="00000000">
          <w:rPr>
            <w:color w:val="000000"/>
            <w:vertAlign w:val="superscript"/>
            <w:rtl w:val="0"/>
          </w:rPr>
          <w:t xml:space="preserve">13</w:t>
        </w:r>
      </w:hyperlink>
      <w:r w:rsidDel="00000000" w:rsidR="00000000" w:rsidRPr="00000000">
        <w:rPr>
          <w:rtl w:val="0"/>
        </w:rPr>
        <w:t xml:space="preserve">. A further 17 individuals were identified in 2006 and 2007 by CAM ARC. Between 2010 and 2014, 78 further graves were excavated as part of a university research program taking the total to 124 inhumation graves dating between the later fifth and sixth centuries</w:t>
      </w:r>
      <w:hyperlink r:id="rId23">
        <w:r w:rsidDel="00000000" w:rsidR="00000000" w:rsidRPr="00000000">
          <w:rPr>
            <w:color w:val="000000"/>
            <w:vertAlign w:val="superscript"/>
            <w:rtl w:val="0"/>
          </w:rPr>
          <w:t xml:space="preserve">14</w:t>
        </w:r>
      </w:hyperlink>
      <w:r w:rsidDel="00000000" w:rsidR="00000000" w:rsidRPr="00000000">
        <w:rPr>
          <w:rtl w:val="0"/>
        </w:rPr>
        <w:t xml:space="preserve">. Oakington seems to have been organised around a series of key burials and interestingly one of those contained a completely articulated cow buried adjacent to a young woman</w:t>
      </w:r>
      <w:hyperlink r:id="rId24">
        <w:r w:rsidDel="00000000" w:rsidR="00000000" w:rsidRPr="00000000">
          <w:rPr>
            <w:color w:val="000000"/>
            <w:vertAlign w:val="superscript"/>
            <w:rtl w:val="0"/>
          </w:rPr>
          <w:t xml:space="preserve">2</w:t>
        </w:r>
      </w:hyperlink>
      <w:r w:rsidDel="00000000" w:rsidR="00000000" w:rsidRPr="00000000">
        <w:rPr>
          <w:rtl w:val="0"/>
        </w:rPr>
        <w:t xml:space="preserve"> (Supp. Fig. 1.6). 26 graves were sampled for this project.</w:t>
      </w:r>
    </w:p>
    <w:p w:rsidR="00000000" w:rsidDel="00000000" w:rsidP="00000000" w:rsidRDefault="00000000" w:rsidRPr="00000000" w14:paraId="000000A7">
      <w:pPr>
        <w:spacing w:after="240" w:before="240" w:lineRule="auto"/>
        <w:rPr/>
      </w:pPr>
      <w:r w:rsidDel="00000000" w:rsidR="00000000" w:rsidRPr="00000000">
        <w:rPr>
          <w:u w:val="single"/>
          <w:rtl w:val="0"/>
        </w:rPr>
        <w:t xml:space="preserve">Provenance Note:</w:t>
      </w:r>
      <w:r w:rsidDel="00000000" w:rsidR="00000000" w:rsidRPr="00000000">
        <w:rPr>
          <w:rtl w:val="0"/>
        </w:rPr>
        <w:t xml:space="preserve"> Samples from Oakington where provided by the University of Central Lancashire. Permission to analyse was granted to coauthor Duncan Sayer in 2017.</w:t>
      </w:r>
    </w:p>
    <w:p w:rsidR="00000000" w:rsidDel="00000000" w:rsidP="00000000" w:rsidRDefault="00000000" w:rsidRPr="00000000" w14:paraId="000000A8">
      <w:pPr>
        <w:keepNext w:val="1"/>
        <w:rPr/>
      </w:pPr>
      <w:r w:rsidDel="00000000" w:rsidR="00000000" w:rsidRPr="00000000">
        <w:rPr/>
        <w:drawing>
          <wp:inline distB="0" distT="0" distL="0" distR="0">
            <wp:extent cx="5760720" cy="4689475"/>
            <wp:effectExtent b="0" l="0" r="0" t="0"/>
            <wp:docPr descr="Diagram&#10;&#10;Description automatically generated with medium confidence" id="160" name="image43.png"/>
            <a:graphic>
              <a:graphicData uri="http://schemas.openxmlformats.org/drawingml/2006/picture">
                <pic:pic>
                  <pic:nvPicPr>
                    <pic:cNvPr descr="Diagram&#10;&#10;Description automatically generated with medium confidence" id="0" name="image43.png"/>
                    <pic:cNvPicPr preferRelativeResize="0"/>
                  </pic:nvPicPr>
                  <pic:blipFill>
                    <a:blip r:embed="rId25"/>
                    <a:srcRect b="0" l="0" r="0" t="0"/>
                    <a:stretch>
                      <a:fillRect/>
                    </a:stretch>
                  </pic:blipFill>
                  <pic:spPr>
                    <a:xfrm>
                      <a:off x="0" y="0"/>
                      <a:ext cx="5760720" cy="4689475"/>
                    </a:xfrm>
                    <a:prstGeom prst="rect"/>
                    <a:ln/>
                  </pic:spPr>
                </pic:pic>
              </a:graphicData>
            </a:graphic>
          </wp:inline>
        </w:drawing>
      </w:r>
      <w:r w:rsidDel="00000000" w:rsidR="00000000" w:rsidRPr="00000000">
        <w:rPr>
          <w:rtl w:val="0"/>
        </w:rPr>
      </w:r>
    </w:p>
    <w:p w:rsidR="00000000" w:rsidDel="00000000" w:rsidP="00000000" w:rsidRDefault="00000000" w:rsidRPr="00000000" w14:paraId="000000A9">
      <w:pPr>
        <w:pBdr>
          <w:top w:space="0" w:sz="0" w:val="nil"/>
          <w:left w:space="0" w:sz="0" w:val="nil"/>
          <w:bottom w:space="0" w:sz="0" w:val="nil"/>
          <w:right w:space="0" w:sz="0" w:val="nil"/>
          <w:between w:space="0" w:sz="0" w:val="nil"/>
        </w:pBdr>
        <w:spacing w:after="200" w:line="240" w:lineRule="auto"/>
        <w:rPr>
          <w:b w:val="1"/>
          <w:i w:val="1"/>
          <w:sz w:val="18"/>
          <w:szCs w:val="18"/>
        </w:rPr>
      </w:pPr>
      <w:r w:rsidDel="00000000" w:rsidR="00000000" w:rsidRPr="00000000">
        <w:rPr>
          <w:b w:val="1"/>
          <w:i w:val="1"/>
          <w:sz w:val="18"/>
          <w:szCs w:val="18"/>
          <w:rtl w:val="0"/>
        </w:rPr>
        <w:t xml:space="preserve">Supplementary Figure 1.6, Site plan of Oakington.</w:t>
      </w:r>
      <w:r w:rsidDel="00000000" w:rsidR="00000000" w:rsidRPr="00000000">
        <w:rPr>
          <w:i w:val="1"/>
          <w:sz w:val="18"/>
          <w:szCs w:val="18"/>
          <w:rtl w:val="0"/>
        </w:rPr>
        <w:t xml:space="preserve"> Shown are the locations of the graves, major artifacts in them, the DNA attribution of each grave (red is CNE, yellow 2/3 CNE, green is WBI, blue 2/3 WBI).</w:t>
      </w:r>
      <w:r w:rsidDel="00000000" w:rsidR="00000000" w:rsidRPr="00000000">
        <w:rPr>
          <w:rtl w:val="0"/>
        </w:rPr>
      </w:r>
    </w:p>
    <w:p w:rsidR="00000000" w:rsidDel="00000000" w:rsidP="00000000" w:rsidRDefault="00000000" w:rsidRPr="00000000" w14:paraId="000000AA">
      <w:pPr>
        <w:rPr/>
      </w:pPr>
      <w:r w:rsidDel="00000000" w:rsidR="00000000" w:rsidRPr="00000000">
        <w:rPr>
          <w:rtl w:val="0"/>
        </w:rPr>
      </w:r>
    </w:p>
    <w:p w:rsidR="00000000" w:rsidDel="00000000" w:rsidP="00000000" w:rsidRDefault="00000000" w:rsidRPr="00000000" w14:paraId="000000AB">
      <w:pPr>
        <w:pStyle w:val="Heading4"/>
        <w:rPr>
          <w:color w:val="000000"/>
        </w:rPr>
      </w:pPr>
      <w:bookmarkStart w:colFirst="0" w:colLast="0" w:name="_heading=h.z337ya" w:id="18"/>
      <w:bookmarkEnd w:id="18"/>
      <w:r w:rsidDel="00000000" w:rsidR="00000000" w:rsidRPr="00000000">
        <w:rPr>
          <w:color w:val="000000"/>
          <w:rtl w:val="0"/>
        </w:rPr>
        <w:t xml:space="preserve">Polhill, Maidstone District, Kent</w:t>
      </w:r>
    </w:p>
    <w:p w:rsidR="00000000" w:rsidDel="00000000" w:rsidP="00000000" w:rsidRDefault="00000000" w:rsidRPr="00000000" w14:paraId="000000AC">
      <w:pPr>
        <w:spacing w:after="240" w:before="240" w:lineRule="auto"/>
        <w:rPr/>
      </w:pPr>
      <w:r w:rsidDel="00000000" w:rsidR="00000000" w:rsidRPr="00000000">
        <w:rPr>
          <w:rtl w:val="0"/>
        </w:rPr>
        <w:t xml:space="preserve">The Anglo-Saxon cemetery at Polhill near Sevenoaks in Kent has been known since the late 19</w:t>
      </w:r>
      <w:r w:rsidDel="00000000" w:rsidR="00000000" w:rsidRPr="00000000">
        <w:rPr>
          <w:vertAlign w:val="superscript"/>
          <w:rtl w:val="0"/>
        </w:rPr>
        <w:t xml:space="preserve">th</w:t>
      </w:r>
      <w:r w:rsidDel="00000000" w:rsidR="00000000" w:rsidRPr="00000000">
        <w:rPr>
          <w:rtl w:val="0"/>
        </w:rPr>
        <w:t xml:space="preserve"> century, and there were two phases of significant excavation work in 1967, and in 1982 revealing 162 graves. There were 107 remains excavated on or before 1967 and these were largely interred to the west of the site on an west-east orientation. In 1982 a further 51 remains were found to the east, and these were of mixed orientations in what appeared to the excavators to be small clusters, with eight ring ditches evident (Supp. Fig. 1.7). The graves from 1982 were sampled for this project, they are broadly seventh century in date, where the cemetery as a whole probably dates to the seventh and eighth centuries</w:t>
      </w:r>
      <w:hyperlink r:id="rId26">
        <w:r w:rsidDel="00000000" w:rsidR="00000000" w:rsidRPr="00000000">
          <w:rPr>
            <w:color w:val="000000"/>
            <w:vertAlign w:val="superscript"/>
            <w:rtl w:val="0"/>
          </w:rPr>
          <w:t xml:space="preserve">15</w:t>
        </w:r>
      </w:hyperlink>
      <w:r w:rsidDel="00000000" w:rsidR="00000000" w:rsidRPr="00000000">
        <w:rPr>
          <w:rtl w:val="0"/>
        </w:rPr>
        <w:t xml:space="preserve">. </w:t>
      </w:r>
    </w:p>
    <w:p w:rsidR="00000000" w:rsidDel="00000000" w:rsidP="00000000" w:rsidRDefault="00000000" w:rsidRPr="00000000" w14:paraId="000000AD">
      <w:pPr>
        <w:spacing w:after="240" w:before="240" w:lineRule="auto"/>
        <w:rPr/>
      </w:pPr>
      <w:r w:rsidDel="00000000" w:rsidR="00000000" w:rsidRPr="00000000">
        <w:rPr>
          <w:u w:val="single"/>
          <w:rtl w:val="0"/>
        </w:rPr>
        <w:t xml:space="preserve">Provenance Note:</w:t>
      </w:r>
      <w:r w:rsidDel="00000000" w:rsidR="00000000" w:rsidRPr="00000000">
        <w:rPr>
          <w:rtl w:val="0"/>
        </w:rPr>
        <w:t xml:space="preserve"> Samples from Polhill where provided by the University of Central Lancashire. Permission to analyse was granted to coauthor Duncan Sayer in 2017.</w:t>
      </w:r>
    </w:p>
    <w:p w:rsidR="00000000" w:rsidDel="00000000" w:rsidP="00000000" w:rsidRDefault="00000000" w:rsidRPr="00000000" w14:paraId="000000AE">
      <w:pPr>
        <w:rPr>
          <w:b w:val="1"/>
        </w:rPr>
      </w:pPr>
      <w:r w:rsidDel="00000000" w:rsidR="00000000" w:rsidRPr="00000000">
        <w:rPr>
          <w:b w:val="1"/>
        </w:rPr>
        <w:drawing>
          <wp:inline distB="114300" distT="114300" distL="114300" distR="114300">
            <wp:extent cx="5760410" cy="5118100"/>
            <wp:effectExtent b="0" l="0" r="0" t="0"/>
            <wp:docPr id="159" name="image44.png"/>
            <a:graphic>
              <a:graphicData uri="http://schemas.openxmlformats.org/drawingml/2006/picture">
                <pic:pic>
                  <pic:nvPicPr>
                    <pic:cNvPr id="0" name="image44.png"/>
                    <pic:cNvPicPr preferRelativeResize="0"/>
                  </pic:nvPicPr>
                  <pic:blipFill>
                    <a:blip r:embed="rId27"/>
                    <a:srcRect b="0" l="0" r="0" t="0"/>
                    <a:stretch>
                      <a:fillRect/>
                    </a:stretch>
                  </pic:blipFill>
                  <pic:spPr>
                    <a:xfrm>
                      <a:off x="0" y="0"/>
                      <a:ext cx="5760410" cy="5118100"/>
                    </a:xfrm>
                    <a:prstGeom prst="rect"/>
                    <a:ln/>
                  </pic:spPr>
                </pic:pic>
              </a:graphicData>
            </a:graphic>
          </wp:inline>
        </w:drawing>
      </w:r>
      <w:r w:rsidDel="00000000" w:rsidR="00000000" w:rsidRPr="00000000">
        <w:rPr>
          <w:rtl w:val="0"/>
        </w:rPr>
      </w:r>
    </w:p>
    <w:p w:rsidR="00000000" w:rsidDel="00000000" w:rsidP="00000000" w:rsidRDefault="00000000" w:rsidRPr="00000000" w14:paraId="000000AF">
      <w:pPr>
        <w:spacing w:after="200" w:line="240" w:lineRule="auto"/>
        <w:rPr>
          <w:b w:val="1"/>
        </w:rPr>
      </w:pPr>
      <w:r w:rsidDel="00000000" w:rsidR="00000000" w:rsidRPr="00000000">
        <w:rPr>
          <w:b w:val="1"/>
          <w:i w:val="1"/>
          <w:sz w:val="18"/>
          <w:szCs w:val="18"/>
          <w:rtl w:val="0"/>
        </w:rPr>
        <w:t xml:space="preserve">Supplementary Figure 1.7, Site plan of Polhill.</w:t>
      </w:r>
      <w:r w:rsidDel="00000000" w:rsidR="00000000" w:rsidRPr="00000000">
        <w:rPr>
          <w:i w:val="1"/>
          <w:sz w:val="18"/>
          <w:szCs w:val="18"/>
          <w:rtl w:val="0"/>
        </w:rPr>
        <w:t xml:space="preserve"> Shown are the locations of the graves, major artifacts in them, the DNA attribution of each grave (red is CNE, yellow 2/3 CNE, green is WBI, blue 2/3 WBI). Orange borders denote biologically related individuals.</w:t>
      </w:r>
      <w:r w:rsidDel="00000000" w:rsidR="00000000" w:rsidRPr="00000000">
        <w:rPr>
          <w:rtl w:val="0"/>
        </w:rPr>
      </w:r>
    </w:p>
    <w:p w:rsidR="00000000" w:rsidDel="00000000" w:rsidP="00000000" w:rsidRDefault="00000000" w:rsidRPr="00000000" w14:paraId="000000B0">
      <w:pPr>
        <w:pStyle w:val="Heading4"/>
        <w:rPr>
          <w:color w:val="000000"/>
        </w:rPr>
      </w:pPr>
      <w:bookmarkStart w:colFirst="0" w:colLast="0" w:name="_heading=h.3j2qqm3" w:id="19"/>
      <w:bookmarkEnd w:id="19"/>
      <w:r w:rsidDel="00000000" w:rsidR="00000000" w:rsidRPr="00000000">
        <w:rPr>
          <w:color w:val="000000"/>
          <w:rtl w:val="0"/>
        </w:rPr>
        <w:t xml:space="preserve">Rookery Hill, Bishopstone, East Sussex</w:t>
      </w:r>
    </w:p>
    <w:p w:rsidR="00000000" w:rsidDel="00000000" w:rsidP="00000000" w:rsidRDefault="00000000" w:rsidRPr="00000000" w14:paraId="000000B1">
      <w:pPr>
        <w:rPr/>
      </w:pPr>
      <w:r w:rsidDel="00000000" w:rsidR="00000000" w:rsidRPr="00000000">
        <w:rPr>
          <w:rtl w:val="0"/>
        </w:rPr>
        <w:t xml:space="preserve">Rookery Hill is located in the region of East Sussex, on the dip slope of the South Downs, a range of chalk hills found in south-eastern England. The site was occupied intermittently between 5000 BCE to 600 CE. It comprised a settlement and associated cemetery both located on a south-facing hillside and surrounded by low lying alluvial land formed by the River Ouse tidal estuary</w:t>
      </w:r>
      <w:hyperlink r:id="rId28">
        <w:r w:rsidDel="00000000" w:rsidR="00000000" w:rsidRPr="00000000">
          <w:rPr>
            <w:color w:val="000000"/>
            <w:vertAlign w:val="superscript"/>
            <w:rtl w:val="0"/>
          </w:rPr>
          <w:t xml:space="preserve">16</w:t>
        </w:r>
      </w:hyperlink>
      <w:r w:rsidDel="00000000" w:rsidR="00000000" w:rsidRPr="00000000">
        <w:rPr>
          <w:rtl w:val="0"/>
        </w:rPr>
        <w:t xml:space="preserve">. The site was discovered by chance in September 1967 when a group of builders working for an estate of bungalows disturbed a group of human bones on the west side of the hill. These were reported to the Sussex Archaeological Society and the rescue excavations commenced in the winter of 1967 and continued until the following March. The excavations revealed a “pagan” Saxon cemetery and the traces of Anglo-Saxon buildings to the northeast of the cemetery. Subsequent excavations were conducted by the Brighton and Hove Archaeological Society that acted as the coordinating body of the 1970, 1972, 1974 and 1975 rescue and research excavations (Ibid). </w:t>
      </w:r>
    </w:p>
    <w:p w:rsidR="00000000" w:rsidDel="00000000" w:rsidP="00000000" w:rsidRDefault="00000000" w:rsidRPr="00000000" w14:paraId="000000B2">
      <w:pPr>
        <w:rPr/>
      </w:pPr>
      <w:r w:rsidDel="00000000" w:rsidR="00000000" w:rsidRPr="00000000">
        <w:rPr>
          <w:rtl w:val="0"/>
        </w:rPr>
        <w:t xml:space="preserve">The settlement comprised rectangular structures and sunken huts and the nucleus of the cemetery appeared to have been organised in and around an earlier Bronze Age round barrow. According to the original records</w:t>
      </w:r>
      <w:hyperlink r:id="rId29">
        <w:r w:rsidDel="00000000" w:rsidR="00000000" w:rsidRPr="00000000">
          <w:rPr>
            <w:color w:val="000000"/>
            <w:vertAlign w:val="superscript"/>
            <w:rtl w:val="0"/>
          </w:rPr>
          <w:t xml:space="preserve">16</w:t>
        </w:r>
      </w:hyperlink>
      <w:r w:rsidDel="00000000" w:rsidR="00000000" w:rsidRPr="00000000">
        <w:rPr>
          <w:rtl w:val="0"/>
        </w:rPr>
        <w:t xml:space="preserve">, the majority of the 118 burials excavated were graves orientated both north-south and east-west at variable depths and directly into the chalk. Based on contextual and artefactual information the occupation of the cemetery was believed to range from the 5</w:t>
      </w:r>
      <w:r w:rsidDel="00000000" w:rsidR="00000000" w:rsidRPr="00000000">
        <w:rPr>
          <w:vertAlign w:val="superscript"/>
          <w:rtl w:val="0"/>
        </w:rPr>
        <w:t xml:space="preserve">th</w:t>
      </w:r>
      <w:r w:rsidDel="00000000" w:rsidR="00000000" w:rsidRPr="00000000">
        <w:rPr>
          <w:rtl w:val="0"/>
        </w:rPr>
        <w:t xml:space="preserve"> – 6</w:t>
      </w:r>
      <w:r w:rsidDel="00000000" w:rsidR="00000000" w:rsidRPr="00000000">
        <w:rPr>
          <w:vertAlign w:val="superscript"/>
          <w:rtl w:val="0"/>
        </w:rPr>
        <w:t xml:space="preserve">th</w:t>
      </w:r>
      <w:r w:rsidDel="00000000" w:rsidR="00000000" w:rsidRPr="00000000">
        <w:rPr>
          <w:rtl w:val="0"/>
        </w:rPr>
        <w:t xml:space="preserve"> centuries CE. The population interred in the cemetery has been the subject of intensive osteoarchaeological and palaeopathological study by the writer (PP) of this summary. </w:t>
      </w:r>
    </w:p>
    <w:p w:rsidR="00000000" w:rsidDel="00000000" w:rsidP="00000000" w:rsidRDefault="00000000" w:rsidRPr="00000000" w14:paraId="000000B3">
      <w:pPr>
        <w:rPr/>
      </w:pPr>
      <w:r w:rsidDel="00000000" w:rsidR="00000000" w:rsidRPr="00000000">
        <w:rPr>
          <w:u w:val="single"/>
          <w:rtl w:val="0"/>
        </w:rPr>
        <w:t xml:space="preserve">Provenance Note:</w:t>
      </w:r>
      <w:r w:rsidDel="00000000" w:rsidR="00000000" w:rsidRPr="00000000">
        <w:rPr>
          <w:rtl w:val="0"/>
        </w:rPr>
        <w:t xml:space="preserve"> Samples from Rookery Hill were provided by the Brighton Museum and Art Gallery. Permission to analyse was granted to coauthor Tom Booth in 2019.</w:t>
      </w:r>
    </w:p>
    <w:p w:rsidR="00000000" w:rsidDel="00000000" w:rsidP="00000000" w:rsidRDefault="00000000" w:rsidRPr="00000000" w14:paraId="000000B4">
      <w:pPr>
        <w:rPr/>
      </w:pPr>
      <w:r w:rsidDel="00000000" w:rsidR="00000000" w:rsidRPr="00000000">
        <w:rPr>
          <w:rtl w:val="0"/>
        </w:rPr>
      </w:r>
    </w:p>
    <w:p w:rsidR="00000000" w:rsidDel="00000000" w:rsidP="00000000" w:rsidRDefault="00000000" w:rsidRPr="00000000" w14:paraId="000000B5">
      <w:pPr>
        <w:pStyle w:val="Heading4"/>
        <w:rPr>
          <w:color w:val="000000"/>
        </w:rPr>
      </w:pPr>
      <w:bookmarkStart w:colFirst="0" w:colLast="0" w:name="_heading=h.1y810tw" w:id="20"/>
      <w:bookmarkEnd w:id="20"/>
      <w:r w:rsidDel="00000000" w:rsidR="00000000" w:rsidRPr="00000000">
        <w:rPr>
          <w:color w:val="000000"/>
          <w:rtl w:val="0"/>
        </w:rPr>
        <w:t xml:space="preserve">Sedgeford, King's Lynn and West Norfolk, Norfolk</w:t>
      </w:r>
    </w:p>
    <w:p w:rsidR="00000000" w:rsidDel="00000000" w:rsidP="00000000" w:rsidRDefault="00000000" w:rsidRPr="00000000" w14:paraId="000000B6">
      <w:pPr>
        <w:rPr>
          <w:color w:val="000000"/>
          <w:highlight w:val="white"/>
        </w:rPr>
      </w:pPr>
      <w:r w:rsidDel="00000000" w:rsidR="00000000" w:rsidRPr="00000000">
        <w:rPr>
          <w:color w:val="000000"/>
          <w:highlight w:val="white"/>
          <w:rtl w:val="0"/>
        </w:rPr>
        <w:t xml:space="preserve">Between 1996 and 200</w:t>
      </w:r>
      <w:r w:rsidDel="00000000" w:rsidR="00000000" w:rsidRPr="00000000">
        <w:rPr>
          <w:highlight w:val="white"/>
          <w:rtl w:val="0"/>
        </w:rPr>
        <w:t xml:space="preserve">7</w:t>
      </w:r>
      <w:r w:rsidDel="00000000" w:rsidR="00000000" w:rsidRPr="00000000">
        <w:rPr>
          <w:color w:val="000000"/>
          <w:highlight w:val="white"/>
          <w:rtl w:val="0"/>
        </w:rPr>
        <w:t xml:space="preserve">, the Sedgeford Historical and Archaeological Research Project (SHARP) excavated part of an early </w:t>
      </w:r>
      <w:r w:rsidDel="00000000" w:rsidR="00000000" w:rsidRPr="00000000">
        <w:rPr>
          <w:highlight w:val="white"/>
          <w:rtl w:val="0"/>
        </w:rPr>
        <w:t xml:space="preserve">m</w:t>
      </w:r>
      <w:r w:rsidDel="00000000" w:rsidR="00000000" w:rsidRPr="00000000">
        <w:rPr>
          <w:color w:val="000000"/>
          <w:highlight w:val="white"/>
          <w:rtl w:val="0"/>
        </w:rPr>
        <w:t xml:space="preserve">edieval cemetery located at Sedgeford, North-West Norfolk, UK. The site has been known for many years, with the field name ‘Boneyard’ having been in long-standing use and several previous excavations having been carried out. SHARP’s large-area, open-trench excavations revealed nearly 300 discrete, supine burials each with very few, if any grave goods. Most of the burials had been disturbed; for example, by inter-cutting graves, ploughing, ditch digging, colluvial movement, root action or animal burrowing. Therefore, most burials were incomplete and generally, each grave fill included disarticulated bone from one or more other individuals. Several deposits of disarticulated bone that did not appear to be associated with a later burial were also found across the site. It is thought that these may be the result of a need to rebury remains that were disturbed during the later creation of ditches across the site, after the cemetery had gone out of use. ‘Pit 9000’ (SED006), which contained the remains of at least four individuals, is one such example. Soil conditions and skeletal preservation varied across the SHARP trench areas, with the Reeddam area in particular being waterlogged. The full extent of the cemetery has not yet been excavated. Radio-carbon dating of some human remains from the site indicates that the cemetery was in use during the approximate time period of 650 – 850 CE. </w:t>
      </w:r>
    </w:p>
    <w:p w:rsidR="00000000" w:rsidDel="00000000" w:rsidP="00000000" w:rsidRDefault="00000000" w:rsidRPr="00000000" w14:paraId="000000B7">
      <w:pPr>
        <w:rPr>
          <w:color w:val="000000"/>
          <w:highlight w:val="white"/>
        </w:rPr>
      </w:pPr>
      <w:r w:rsidDel="00000000" w:rsidR="00000000" w:rsidRPr="00000000">
        <w:rPr>
          <w:color w:val="000000"/>
          <w:highlight w:val="white"/>
          <w:rtl w:val="0"/>
        </w:rPr>
        <w:t xml:space="preserve">Results of osteological analysis of the human remains excavated by SHARP are being prepared for monograph publication, but a summary has been published by the SHARP Team</w:t>
      </w:r>
      <w:hyperlink r:id="rId30">
        <w:r w:rsidDel="00000000" w:rsidR="00000000" w:rsidRPr="00000000">
          <w:rPr>
            <w:color w:val="000000"/>
            <w:highlight w:val="white"/>
            <w:vertAlign w:val="superscript"/>
            <w:rtl w:val="0"/>
          </w:rPr>
          <w:t xml:space="preserve">17</w:t>
        </w:r>
      </w:hyperlink>
      <w:r w:rsidDel="00000000" w:rsidR="00000000" w:rsidRPr="00000000">
        <w:rPr>
          <w:color w:val="000000"/>
          <w:highlight w:val="white"/>
          <w:rtl w:val="0"/>
        </w:rPr>
        <w:t xml:space="preserve">. Results so far indicate that there was an approximately even distribution of sexes buried within the cemetery. All age categories are represented, with approximately 10% of burials being categorised as sub-adult. Most individuals died with an age-at-death within the ‘mature adult’ category. Those who lived to an age-at-death within the very old adult category, the majority </w:t>
      </w:r>
      <w:r w:rsidDel="00000000" w:rsidR="00000000" w:rsidRPr="00000000">
        <w:rPr>
          <w:highlight w:val="white"/>
          <w:rtl w:val="0"/>
        </w:rPr>
        <w:t xml:space="preserve">are </w:t>
      </w:r>
      <w:r w:rsidDel="00000000" w:rsidR="00000000" w:rsidRPr="00000000">
        <w:rPr>
          <w:color w:val="000000"/>
          <w:highlight w:val="white"/>
          <w:rtl w:val="0"/>
        </w:rPr>
        <w:t xml:space="preserve">estimated to be female. For most individuals, skeletal evidence indicates normal development and robust morphology and very little evidence of any malnutrition. Initial stature estimates suggest approximate mean heights of 177 cm for male individuals and 162 cm for females. There are some isolated case-study examples of individuals with rarer pathologies (such as a urinary stone (S3010, SED003), rheumatoid arthritis and systemic infection (S0044, SED007))</w:t>
      </w:r>
      <w:hyperlink r:id="rId31">
        <w:r w:rsidDel="00000000" w:rsidR="00000000" w:rsidRPr="00000000">
          <w:rPr>
            <w:color w:val="000000"/>
            <w:highlight w:val="white"/>
            <w:vertAlign w:val="superscript"/>
            <w:rtl w:val="0"/>
          </w:rPr>
          <w:t xml:space="preserve">17</w:t>
        </w:r>
      </w:hyperlink>
      <w:r w:rsidDel="00000000" w:rsidR="00000000" w:rsidRPr="00000000">
        <w:rPr>
          <w:color w:val="000000"/>
          <w:highlight w:val="white"/>
          <w:rtl w:val="0"/>
        </w:rPr>
        <w:t xml:space="preserve">. However, in general, the skeletal evidence indicates that age-degenerative disease (such as osteo-arthritis) was common within the early </w:t>
      </w:r>
      <w:r w:rsidDel="00000000" w:rsidR="00000000" w:rsidRPr="00000000">
        <w:rPr>
          <w:highlight w:val="white"/>
          <w:rtl w:val="0"/>
        </w:rPr>
        <w:t xml:space="preserve">m</w:t>
      </w:r>
      <w:r w:rsidDel="00000000" w:rsidR="00000000" w:rsidRPr="00000000">
        <w:rPr>
          <w:color w:val="000000"/>
          <w:highlight w:val="white"/>
          <w:rtl w:val="0"/>
        </w:rPr>
        <w:t xml:space="preserve">edieval Sedgeford population, as were stress or work activity related pathologies or trauma. A small proportion of adult skeletons (</w:t>
      </w:r>
      <w:r w:rsidDel="00000000" w:rsidR="00000000" w:rsidRPr="00000000">
        <w:rPr>
          <w:i w:val="1"/>
          <w:color w:val="000000"/>
          <w:highlight w:val="white"/>
          <w:rtl w:val="0"/>
        </w:rPr>
        <w:t xml:space="preserve">n</w:t>
      </w:r>
      <w:r w:rsidDel="00000000" w:rsidR="00000000" w:rsidRPr="00000000">
        <w:rPr>
          <w:color w:val="000000"/>
          <w:highlight w:val="white"/>
          <w:rtl w:val="0"/>
        </w:rPr>
        <w:t xml:space="preserve"> = 7) exhibited evidence of cranial, and in most cases post-cranial, trauma consistent with conflict. Six of these individuals were estimated to be male (S0067, S1016, S1018, S1033, S1049; SED014, SED020, SED021, SED018, SED019) and for one individual (S0023), sex was indeterminate. </w:t>
      </w:r>
      <w:r w:rsidDel="00000000" w:rsidR="00000000" w:rsidRPr="00000000">
        <w:rPr>
          <w:highlight w:val="white"/>
          <w:rtl w:val="0"/>
        </w:rPr>
        <w:t xml:space="preserve">One individual (S0034, SED012) was buried with a layer of oyster shells placed over the body within the grave and the burial of another individual (S0025) was possibly buried associated with a horse.</w:t>
      </w:r>
      <w:r w:rsidDel="00000000" w:rsidR="00000000" w:rsidRPr="00000000">
        <w:rPr>
          <w:color w:val="000000"/>
          <w:highlight w:val="white"/>
          <w:rtl w:val="0"/>
        </w:rPr>
        <w:t xml:space="preserve"> Since 2005, SHARP has also excavated within the field adjacent to Boneyard, an area known as Chalk Pit North East (CNE). Two separate crouched burials have been discovered within this area, approximately 10 metres apart and both minimally disturbed by </w:t>
      </w:r>
      <w:r w:rsidDel="00000000" w:rsidR="00000000" w:rsidRPr="00000000">
        <w:rPr>
          <w:highlight w:val="white"/>
          <w:rtl w:val="0"/>
        </w:rPr>
        <w:t xml:space="preserve">e</w:t>
      </w:r>
      <w:r w:rsidDel="00000000" w:rsidR="00000000" w:rsidRPr="00000000">
        <w:rPr>
          <w:color w:val="000000"/>
          <w:highlight w:val="white"/>
          <w:rtl w:val="0"/>
        </w:rPr>
        <w:t xml:space="preserve">arly </w:t>
      </w:r>
      <w:r w:rsidDel="00000000" w:rsidR="00000000" w:rsidRPr="00000000">
        <w:rPr>
          <w:highlight w:val="white"/>
          <w:rtl w:val="0"/>
        </w:rPr>
        <w:t xml:space="preserve">m</w:t>
      </w:r>
      <w:r w:rsidDel="00000000" w:rsidR="00000000" w:rsidRPr="00000000">
        <w:rPr>
          <w:color w:val="000000"/>
          <w:highlight w:val="white"/>
          <w:rtl w:val="0"/>
        </w:rPr>
        <w:t xml:space="preserve">edieval settlement activity. The radio-carbon date results indicate that these individuals are Neolithic/Bronze-Age (S8001) and Iron Age (S8002, SED011).</w:t>
      </w:r>
    </w:p>
    <w:p w:rsidR="00000000" w:rsidDel="00000000" w:rsidP="00000000" w:rsidRDefault="00000000" w:rsidRPr="00000000" w14:paraId="000000B8">
      <w:pPr>
        <w:rPr>
          <w:highlight w:val="white"/>
        </w:rPr>
      </w:pPr>
      <w:r w:rsidDel="00000000" w:rsidR="00000000" w:rsidRPr="00000000">
        <w:rPr>
          <w:highlight w:val="white"/>
          <w:u w:val="single"/>
          <w:rtl w:val="0"/>
        </w:rPr>
        <w:t xml:space="preserve">Provenance Note:</w:t>
      </w:r>
      <w:r w:rsidDel="00000000" w:rsidR="00000000" w:rsidRPr="00000000">
        <w:rPr>
          <w:highlight w:val="white"/>
          <w:rtl w:val="0"/>
        </w:rPr>
        <w:t xml:space="preserve"> Samples from Sedgeford were provided by the Sedgeford Historical and Archaeological Research Project (SHARP). Permission to analyse was granted to coauthor Stephan Schiffels in 2017.</w:t>
      </w:r>
    </w:p>
    <w:p w:rsidR="00000000" w:rsidDel="00000000" w:rsidP="00000000" w:rsidRDefault="00000000" w:rsidRPr="00000000" w14:paraId="000000B9">
      <w:pPr>
        <w:rPr/>
      </w:pPr>
      <w:r w:rsidDel="00000000" w:rsidR="00000000" w:rsidRPr="00000000">
        <w:rPr>
          <w:rtl w:val="0"/>
        </w:rPr>
      </w:r>
    </w:p>
    <w:p w:rsidR="00000000" w:rsidDel="00000000" w:rsidP="00000000" w:rsidRDefault="00000000" w:rsidRPr="00000000" w14:paraId="000000BA">
      <w:pPr>
        <w:pStyle w:val="Heading4"/>
        <w:rPr>
          <w:b w:val="1"/>
          <w:color w:val="000000"/>
        </w:rPr>
      </w:pPr>
      <w:bookmarkStart w:colFirst="0" w:colLast="0" w:name="_heading=h.4i7ojhp" w:id="21"/>
      <w:bookmarkEnd w:id="21"/>
      <w:r w:rsidDel="00000000" w:rsidR="00000000" w:rsidRPr="00000000">
        <w:rPr>
          <w:color w:val="000000"/>
          <w:rtl w:val="0"/>
        </w:rPr>
        <w:t xml:space="preserve">West Heslerton, Ryedale District, North Yorkshire</w:t>
      </w:r>
      <w:r w:rsidDel="00000000" w:rsidR="00000000" w:rsidRPr="00000000">
        <w:rPr>
          <w:rtl w:val="0"/>
        </w:rPr>
      </w:r>
    </w:p>
    <w:p w:rsidR="00000000" w:rsidDel="00000000" w:rsidP="00000000" w:rsidRDefault="00000000" w:rsidRPr="00000000" w14:paraId="000000BB">
      <w:pPr>
        <w:spacing w:after="240" w:lineRule="auto"/>
        <w:rPr/>
      </w:pPr>
      <w:r w:rsidDel="00000000" w:rsidR="00000000" w:rsidRPr="00000000">
        <w:rPr>
          <w:rtl w:val="0"/>
        </w:rPr>
        <w:t xml:space="preserve">The early Anglo-Saxon cemetery at West Heslerton was discovered during sand extraction at Cook &amp; Son, Sand Quarry at West Heslerton on the southern margin of the Vale of Pickering, North Yorkshire during 1977. Following preliminary salvage excavations by Dr John Dent from the Humberside Archaeological Unit in 1977-78, annual excavations, funded as part of the national rescue archaeology programme, administered by English Heritage and its predecessor organisations, were conducted by the Landscape Research Centre, under the direction of Dominic Powlesland, until 1986. The cemetery was one component of a large-scale multi-period excavation undertaken ahead of mineral extraction. The cemetery, the most completely excavated example in Yorkshire, was fully excavated to its boundaries apart from a strip c. 30m wide, where a major trunk road - the A64 - bisected the cemetery (Supp. Fig. 1.8). Evidence observed during excavation of a pipe trench on the northern side of the A64 indicates that intact graves most likely still survive beneath the road. 185 graves - containing 188 inhumations - and 15 cremations were excavated, and it is estimated that up to 170 graves may remain beneath the A64 giving a potential cemetery population of 300 - 350 individuals buried between the late fifth and middle of the seventh centuries. The Anglian cemetery was organized upon a prehistoric monument complex, which was used to divide and focus aspects of the site. Such a relationship is evident in many early Anglo-Saxon cemeteries, but particularly notable in West Heslerton because there appears to be a structure to the furnished graves (weapon graves in particular) which is connected to the prehistoric barrows. The Early Anglo-Saxon population from West Heslerton remains the subject of ongoing research.</w:t>
      </w:r>
    </w:p>
    <w:p w:rsidR="00000000" w:rsidDel="00000000" w:rsidP="00000000" w:rsidRDefault="00000000" w:rsidRPr="00000000" w14:paraId="000000BC">
      <w:pPr>
        <w:spacing w:after="240" w:lineRule="auto"/>
        <w:rPr/>
      </w:pPr>
      <w:r w:rsidDel="00000000" w:rsidR="00000000" w:rsidRPr="00000000">
        <w:rPr>
          <w:u w:val="single"/>
          <w:rtl w:val="0"/>
        </w:rPr>
        <w:t xml:space="preserve">Provenance Note:</w:t>
      </w:r>
      <w:r w:rsidDel="00000000" w:rsidR="00000000" w:rsidRPr="00000000">
        <w:rPr>
          <w:rtl w:val="0"/>
        </w:rPr>
        <w:t xml:space="preserve"> Samples from West Heslerton</w:t>
        <w:tab/>
        <w:t xml:space="preserve">were provided by the Landscape Research Centre. Permission to analyse was granted to coauthors Martin Richards and Ceiridwen Edwards in 2016.</w:t>
      </w:r>
    </w:p>
    <w:p w:rsidR="00000000" w:rsidDel="00000000" w:rsidP="00000000" w:rsidRDefault="00000000" w:rsidRPr="00000000" w14:paraId="000000BD">
      <w:pPr>
        <w:spacing w:after="240" w:lineRule="auto"/>
        <w:rPr/>
      </w:pPr>
      <w:r w:rsidDel="00000000" w:rsidR="00000000" w:rsidRPr="00000000">
        <w:rPr>
          <w:rtl w:val="0"/>
        </w:rPr>
      </w:r>
    </w:p>
    <w:p w:rsidR="00000000" w:rsidDel="00000000" w:rsidP="00000000" w:rsidRDefault="00000000" w:rsidRPr="00000000" w14:paraId="000000BE">
      <w:pPr>
        <w:spacing w:after="240" w:lineRule="auto"/>
        <w:rPr/>
      </w:pPr>
      <w:r w:rsidDel="00000000" w:rsidR="00000000" w:rsidRPr="00000000">
        <w:rPr>
          <w:rtl w:val="0"/>
        </w:rPr>
      </w:r>
    </w:p>
    <w:p w:rsidR="00000000" w:rsidDel="00000000" w:rsidP="00000000" w:rsidRDefault="00000000" w:rsidRPr="00000000" w14:paraId="000000BF">
      <w:pPr>
        <w:spacing w:after="240" w:before="240" w:lineRule="auto"/>
        <w:rPr/>
      </w:pPr>
      <w:r w:rsidDel="00000000" w:rsidR="00000000" w:rsidRPr="00000000">
        <w:rPr>
          <w:rtl w:val="0"/>
        </w:rPr>
      </w:r>
    </w:p>
    <w:p w:rsidR="00000000" w:rsidDel="00000000" w:rsidP="00000000" w:rsidRDefault="00000000" w:rsidRPr="00000000" w14:paraId="000000C0">
      <w:pPr>
        <w:rPr/>
      </w:pPr>
      <w:r w:rsidDel="00000000" w:rsidR="00000000" w:rsidRPr="00000000">
        <w:rPr>
          <w:rtl w:val="0"/>
        </w:rPr>
      </w:r>
    </w:p>
    <w:p w:rsidR="00000000" w:rsidDel="00000000" w:rsidP="00000000" w:rsidRDefault="00000000" w:rsidRPr="00000000" w14:paraId="000000C1">
      <w:pPr>
        <w:keepNext w:val="1"/>
        <w:jc w:val="center"/>
        <w:rPr/>
      </w:pPr>
      <w:r w:rsidDel="00000000" w:rsidR="00000000" w:rsidRPr="00000000">
        <w:rPr/>
        <w:drawing>
          <wp:inline distB="114300" distT="114300" distL="114300" distR="114300">
            <wp:extent cx="4827978" cy="5705792"/>
            <wp:effectExtent b="0" l="0" r="0" t="0"/>
            <wp:docPr id="165" name="image54.png"/>
            <a:graphic>
              <a:graphicData uri="http://schemas.openxmlformats.org/drawingml/2006/picture">
                <pic:pic>
                  <pic:nvPicPr>
                    <pic:cNvPr id="0" name="image54.png"/>
                    <pic:cNvPicPr preferRelativeResize="0"/>
                  </pic:nvPicPr>
                  <pic:blipFill>
                    <a:blip r:embed="rId32"/>
                    <a:srcRect b="0" l="0" r="0" t="0"/>
                    <a:stretch>
                      <a:fillRect/>
                    </a:stretch>
                  </pic:blipFill>
                  <pic:spPr>
                    <a:xfrm>
                      <a:off x="0" y="0"/>
                      <a:ext cx="4827978" cy="5705792"/>
                    </a:xfrm>
                    <a:prstGeom prst="rect"/>
                    <a:ln/>
                  </pic:spPr>
                </pic:pic>
              </a:graphicData>
            </a:graphic>
          </wp:inline>
        </w:drawing>
      </w:r>
      <w:r w:rsidDel="00000000" w:rsidR="00000000" w:rsidRPr="00000000">
        <w:rPr>
          <w:rtl w:val="0"/>
        </w:rPr>
      </w:r>
    </w:p>
    <w:p w:rsidR="00000000" w:rsidDel="00000000" w:rsidP="00000000" w:rsidRDefault="00000000" w:rsidRPr="00000000" w14:paraId="000000C2">
      <w:pPr>
        <w:pBdr>
          <w:top w:space="0" w:sz="0" w:val="nil"/>
          <w:left w:space="0" w:sz="0" w:val="nil"/>
          <w:bottom w:space="0" w:sz="0" w:val="nil"/>
          <w:right w:space="0" w:sz="0" w:val="nil"/>
          <w:between w:space="0" w:sz="0" w:val="nil"/>
        </w:pBdr>
        <w:spacing w:after="200" w:line="240" w:lineRule="auto"/>
        <w:rPr>
          <w:i w:val="1"/>
          <w:sz w:val="18"/>
          <w:szCs w:val="18"/>
        </w:rPr>
      </w:pPr>
      <w:r w:rsidDel="00000000" w:rsidR="00000000" w:rsidRPr="00000000">
        <w:rPr>
          <w:b w:val="1"/>
          <w:i w:val="1"/>
          <w:sz w:val="18"/>
          <w:szCs w:val="18"/>
          <w:rtl w:val="0"/>
        </w:rPr>
        <w:t xml:space="preserve">Supplementary Figure 1.8, Site plan of West Heslerton.</w:t>
      </w:r>
      <w:r w:rsidDel="00000000" w:rsidR="00000000" w:rsidRPr="00000000">
        <w:rPr>
          <w:i w:val="1"/>
          <w:sz w:val="18"/>
          <w:szCs w:val="18"/>
          <w:rtl w:val="0"/>
        </w:rPr>
        <w:t xml:space="preserve"> Shown are the locations of the graves, major artifacts in them, the DNA attribution of each grave (red is CNE, yellow 2/3 CNE, green is WBI, blue 2/3 WBI). Orange borders denote biologically related individuals.</w:t>
      </w:r>
    </w:p>
    <w:p w:rsidR="00000000" w:rsidDel="00000000" w:rsidP="00000000" w:rsidRDefault="00000000" w:rsidRPr="00000000" w14:paraId="000000C3">
      <w:pPr>
        <w:rPr/>
      </w:pPr>
      <w:r w:rsidDel="00000000" w:rsidR="00000000" w:rsidRPr="00000000">
        <w:rPr>
          <w:rtl w:val="0"/>
        </w:rPr>
      </w:r>
    </w:p>
    <w:p w:rsidR="00000000" w:rsidDel="00000000" w:rsidP="00000000" w:rsidRDefault="00000000" w:rsidRPr="00000000" w14:paraId="000000C4">
      <w:pPr>
        <w:pStyle w:val="Heading4"/>
        <w:rPr>
          <w:color w:val="000000"/>
        </w:rPr>
      </w:pPr>
      <w:bookmarkStart w:colFirst="0" w:colLast="0" w:name="_heading=h.2xcytpi" w:id="22"/>
      <w:bookmarkEnd w:id="22"/>
      <w:r w:rsidDel="00000000" w:rsidR="00000000" w:rsidRPr="00000000">
        <w:rPr>
          <w:color w:val="000000"/>
          <w:rtl w:val="0"/>
        </w:rPr>
        <w:t xml:space="preserve">Wolverton, Radcliffe School Mid-Saxon Cemetery, Borough of Milton Keynes</w:t>
      </w:r>
    </w:p>
    <w:p w:rsidR="00000000" w:rsidDel="00000000" w:rsidP="00000000" w:rsidRDefault="00000000" w:rsidRPr="00000000" w14:paraId="000000C5">
      <w:pPr>
        <w:rPr/>
      </w:pPr>
      <w:r w:rsidDel="00000000" w:rsidR="00000000" w:rsidRPr="00000000">
        <w:rPr>
          <w:rtl w:val="0"/>
        </w:rPr>
        <w:t xml:space="preserve">The Archaeological Services &amp; Consultancy Ltd excavated two sites on the Radcliffe School campus prior to redevelopment. The excavation was commissioned and funded by the Milton Keynes Council, and the report was published by Bancroft Heritage Services. One of the two sites on the campus contained an extensive Saxon cemetery, dating from the 7</w:t>
      </w:r>
      <w:r w:rsidDel="00000000" w:rsidR="00000000" w:rsidRPr="00000000">
        <w:rPr>
          <w:vertAlign w:val="superscript"/>
          <w:rtl w:val="0"/>
        </w:rPr>
        <w:t xml:space="preserve">th</w:t>
      </w:r>
      <w:r w:rsidDel="00000000" w:rsidR="00000000" w:rsidRPr="00000000">
        <w:rPr>
          <w:rtl w:val="0"/>
        </w:rPr>
        <w:t xml:space="preserve">-8</w:t>
      </w:r>
      <w:r w:rsidDel="00000000" w:rsidR="00000000" w:rsidRPr="00000000">
        <w:rPr>
          <w:vertAlign w:val="superscript"/>
          <w:rtl w:val="0"/>
        </w:rPr>
        <w:t xml:space="preserve">th</w:t>
      </w:r>
      <w:r w:rsidDel="00000000" w:rsidR="00000000" w:rsidRPr="00000000">
        <w:rPr>
          <w:rtl w:val="0"/>
        </w:rPr>
        <w:t xml:space="preserve"> centuries CE. The cemetery contained 81 inhumations, 2 urned cremations, and one un-urned cremation. The site is the largest mid-Saxon cemetery found in Buckinghamshire so far, and probably served the nearby Saxon settlement at Wolverton Turn Enclosure. 74% of the burials contained skeletons that were 50-100% complete, allowing 60 of the 81 inhumations to be used for pathological analysis. While there were a high number of fairly complete skeletons in good condition, they were very fragmented, with a number of breaks. 59% of the skeletons were adults. There were a number of burial positions present, with supine being the most common (66%). Some unusual burial practices were observed, including one adult with no grave goods whose head had been removed and placed on the left side of the chest, while the mandible was left in situ. There were also two cases of deliberate removal of inhumations, as well as three double burials. 46 of the 81 inhumations were found with grave goods, the most common of those being an iron knife. Other grave goods included complete ceramic vessels, copper objects, spears, weights, scales, tweezers, and flints. Six individuals were sampled for radiocarbon dating and four for DNA analysis. The radiocarbon dating from the individuals indicates that the cemetery was in use between 550 and 720 CE. </w:t>
      </w:r>
    </w:p>
    <w:p w:rsidR="00000000" w:rsidDel="00000000" w:rsidP="00000000" w:rsidRDefault="00000000" w:rsidRPr="00000000" w14:paraId="000000C6">
      <w:pPr>
        <w:rPr/>
      </w:pPr>
      <w:r w:rsidDel="00000000" w:rsidR="00000000" w:rsidRPr="00000000">
        <w:rPr>
          <w:rtl w:val="0"/>
        </w:rPr>
        <w:t xml:space="preserve">SK2348 was identified as a 36-50 year old male who was found in a double burial with charnel present. SK2182 was identified as a 13-20 year old of undetermined sex, found supine with a spearhead, knife, buckle and plate, and nails. SK2087 was identified as a 21-35 year old female, also buried in a supine position with a spindle whorl. Lastly, SK2167 was identified as a 13-20 year old of undetermined sex, who was buried prone with a large amount of burial goods including a necklace, pin, shears, chatelaine, box fittings, and workbox with textile and an inscription.</w:t>
      </w:r>
    </w:p>
    <w:p w:rsidR="00000000" w:rsidDel="00000000" w:rsidP="00000000" w:rsidRDefault="00000000" w:rsidRPr="00000000" w14:paraId="000000C7">
      <w:pPr>
        <w:rPr/>
      </w:pPr>
      <w:r w:rsidDel="00000000" w:rsidR="00000000" w:rsidRPr="00000000">
        <w:rPr>
          <w:u w:val="single"/>
          <w:rtl w:val="0"/>
        </w:rPr>
        <w:t xml:space="preserve">Provenance Note:</w:t>
      </w:r>
      <w:r w:rsidDel="00000000" w:rsidR="00000000" w:rsidRPr="00000000">
        <w:rPr>
          <w:rtl w:val="0"/>
        </w:rPr>
        <w:t xml:space="preserve"> Samples from Wolverton were provided by the Milton Keynes Museum. Permission to analyse was granted to coauthor Tom Booth in 2015.</w:t>
      </w:r>
    </w:p>
    <w:p w:rsidR="00000000" w:rsidDel="00000000" w:rsidP="00000000" w:rsidRDefault="00000000" w:rsidRPr="00000000" w14:paraId="000000C8">
      <w:pPr>
        <w:rPr/>
      </w:pPr>
      <w:r w:rsidDel="00000000" w:rsidR="00000000" w:rsidRPr="00000000">
        <w:rPr>
          <w:rtl w:val="0"/>
        </w:rPr>
      </w:r>
    </w:p>
    <w:p w:rsidR="00000000" w:rsidDel="00000000" w:rsidP="00000000" w:rsidRDefault="00000000" w:rsidRPr="00000000" w14:paraId="000000C9">
      <w:pPr>
        <w:pStyle w:val="Heading4"/>
        <w:rPr>
          <w:color w:val="000000"/>
        </w:rPr>
      </w:pPr>
      <w:bookmarkStart w:colFirst="0" w:colLast="0" w:name="_heading=h.1ci93xb" w:id="23"/>
      <w:bookmarkEnd w:id="23"/>
      <w:r w:rsidDel="00000000" w:rsidR="00000000" w:rsidRPr="00000000">
        <w:rPr>
          <w:color w:val="000000"/>
          <w:rtl w:val="0"/>
        </w:rPr>
        <w:t xml:space="preserve">Worth Matravers, Football Field, Dorset</w:t>
      </w:r>
    </w:p>
    <w:p w:rsidR="00000000" w:rsidDel="00000000" w:rsidP="00000000" w:rsidRDefault="00000000" w:rsidRPr="00000000" w14:paraId="000000CA">
      <w:pPr>
        <w:rPr/>
      </w:pPr>
      <w:r w:rsidDel="00000000" w:rsidR="00000000" w:rsidRPr="00000000">
        <w:rPr>
          <w:rtl w:val="0"/>
        </w:rPr>
        <w:t xml:space="preserve">Worth Matravers is a multi-period hilltop site with activity stretching back to the early Neolithic. Located close to Chapman’s Pool on the south-central coast of England. In 2011, a small inhumation cemetery of 21 graves, containing 26 individuals, was excavated by volunteers from the East Dorset Antiquarian Society prior to a community housing development</w:t>
      </w:r>
      <w:hyperlink r:id="rId33">
        <w:r w:rsidDel="00000000" w:rsidR="00000000" w:rsidRPr="00000000">
          <w:rPr>
            <w:color w:val="000000"/>
            <w:vertAlign w:val="superscript"/>
            <w:rtl w:val="0"/>
          </w:rPr>
          <w:t xml:space="preserve">18</w:t>
        </w:r>
      </w:hyperlink>
      <w:r w:rsidDel="00000000" w:rsidR="00000000" w:rsidRPr="00000000">
        <w:rPr>
          <w:rtl w:val="0"/>
        </w:rPr>
        <w:t xml:space="preserve">.</w:t>
      </w:r>
    </w:p>
    <w:p w:rsidR="00000000" w:rsidDel="00000000" w:rsidP="00000000" w:rsidRDefault="00000000" w:rsidRPr="00000000" w14:paraId="000000CB">
      <w:pPr>
        <w:rPr/>
      </w:pPr>
      <w:r w:rsidDel="00000000" w:rsidR="00000000" w:rsidRPr="00000000">
        <w:rPr>
          <w:rtl w:val="0"/>
        </w:rPr>
        <w:t xml:space="preserve">The rectangular cemetery was approximately 17m by 13m and underlay one of the proposed houses. The graves were laid out in six short rows and comprised one triple burial (1685), three double burials (1633, 1678 and 1722) and 17 single burials (of which nine were analysed here) all placed on their backs with heads to the west. There were eleven probable females, four probable males and seven of indeterminate sex. Ages ranged from 5 years to 45-49 years. Six grave types were identified, five of which incorporated local limestone as grave furniture, some of this derived from collapsed Roman buildings, and the sixth being a simple earth-cut type. There was no evidence for coffins and the bodies had probably been shrouded. There were only two grave goods – a stone anchor placed with a male from a double burial (grave 1633), and a small 7</w:t>
      </w:r>
      <w:r w:rsidDel="00000000" w:rsidR="00000000" w:rsidRPr="00000000">
        <w:rPr>
          <w:vertAlign w:val="superscript"/>
          <w:rtl w:val="0"/>
        </w:rPr>
        <w:t xml:space="preserve">th</w:t>
      </w:r>
      <w:r w:rsidDel="00000000" w:rsidR="00000000" w:rsidRPr="00000000">
        <w:rPr>
          <w:rtl w:val="0"/>
        </w:rPr>
        <w:t xml:space="preserve"> century copper alloy buckle buried with a female (grave 1667).</w:t>
      </w:r>
    </w:p>
    <w:p w:rsidR="00000000" w:rsidDel="00000000" w:rsidP="00000000" w:rsidRDefault="00000000" w:rsidRPr="00000000" w14:paraId="000000CC">
      <w:pPr>
        <w:rPr/>
      </w:pPr>
      <w:r w:rsidDel="00000000" w:rsidR="00000000" w:rsidRPr="00000000">
        <w:rPr>
          <w:rtl w:val="0"/>
        </w:rPr>
        <w:t xml:space="preserve">Bone samples from seven individuals were submitted to the Scottish Universities Environmental Research Centre (SUERC) for radiocarbon dating. The results confirmed that the cemetery was in use from cal CE 540-675 (95% probability) to cal CE 665-790 (95% probability)</w:t>
      </w:r>
      <w:hyperlink r:id="rId34">
        <w:r w:rsidDel="00000000" w:rsidR="00000000" w:rsidRPr="00000000">
          <w:rPr>
            <w:color w:val="000000"/>
            <w:vertAlign w:val="superscript"/>
            <w:rtl w:val="0"/>
          </w:rPr>
          <w:t xml:space="preserve">18</w:t>
        </w:r>
      </w:hyperlink>
      <w:r w:rsidDel="00000000" w:rsidR="00000000" w:rsidRPr="00000000">
        <w:rPr>
          <w:rtl w:val="0"/>
        </w:rPr>
        <w:t xml:space="preserve">.</w:t>
      </w:r>
    </w:p>
    <w:p w:rsidR="00000000" w:rsidDel="00000000" w:rsidP="00000000" w:rsidRDefault="00000000" w:rsidRPr="00000000" w14:paraId="000000CD">
      <w:pPr>
        <w:rPr/>
      </w:pPr>
      <w:r w:rsidDel="00000000" w:rsidR="00000000" w:rsidRPr="00000000">
        <w:rPr>
          <w:u w:val="single"/>
          <w:rtl w:val="0"/>
        </w:rPr>
        <w:t xml:space="preserve">Provenance Note:</w:t>
      </w:r>
      <w:r w:rsidDel="00000000" w:rsidR="00000000" w:rsidRPr="00000000">
        <w:rPr>
          <w:rtl w:val="0"/>
        </w:rPr>
        <w:t xml:space="preserve"> Samples from Worth Matravers where provided by the East Dorset Antiquarian Society. Permission to analyse was granted to coauthors Martin Richards and Ceiridwen Edwards in 2012.</w:t>
      </w:r>
    </w:p>
    <w:p w:rsidR="00000000" w:rsidDel="00000000" w:rsidP="00000000" w:rsidRDefault="00000000" w:rsidRPr="00000000" w14:paraId="000000CE">
      <w:pPr>
        <w:rPr/>
      </w:pPr>
      <w:r w:rsidDel="00000000" w:rsidR="00000000" w:rsidRPr="00000000">
        <w:rPr>
          <w:rtl w:val="0"/>
        </w:rPr>
      </w:r>
    </w:p>
    <w:p w:rsidR="00000000" w:rsidDel="00000000" w:rsidP="00000000" w:rsidRDefault="00000000" w:rsidRPr="00000000" w14:paraId="000000CF">
      <w:pPr>
        <w:pStyle w:val="Heading2"/>
        <w:rPr>
          <w:color w:val="000000"/>
        </w:rPr>
      </w:pPr>
      <w:bookmarkStart w:colFirst="0" w:colLast="0" w:name="_heading=h.3whwml4" w:id="24"/>
      <w:bookmarkEnd w:id="24"/>
      <w:r w:rsidDel="00000000" w:rsidR="00000000" w:rsidRPr="00000000">
        <w:rPr>
          <w:color w:val="000000"/>
          <w:rtl w:val="0"/>
        </w:rPr>
        <w:t xml:space="preserve">Ireland</w:t>
      </w:r>
    </w:p>
    <w:p w:rsidR="00000000" w:rsidDel="00000000" w:rsidP="00000000" w:rsidRDefault="00000000" w:rsidRPr="00000000" w14:paraId="000000D0">
      <w:pPr>
        <w:pStyle w:val="Heading4"/>
        <w:rPr>
          <w:color w:val="000000"/>
        </w:rPr>
      </w:pPr>
      <w:bookmarkStart w:colFirst="0" w:colLast="0" w:name="_heading=h.2bn6wsx" w:id="25"/>
      <w:bookmarkEnd w:id="25"/>
      <w:r w:rsidDel="00000000" w:rsidR="00000000" w:rsidRPr="00000000">
        <w:rPr>
          <w:color w:val="000000"/>
          <w:rtl w:val="0"/>
        </w:rPr>
        <w:t xml:space="preserve">Kilteasheen, The Bishop’s Seat, County Roscommon</w:t>
      </w:r>
    </w:p>
    <w:p w:rsidR="00000000" w:rsidDel="00000000" w:rsidP="00000000" w:rsidRDefault="00000000" w:rsidRPr="00000000" w14:paraId="000000D1">
      <w:pPr>
        <w:rPr/>
      </w:pPr>
      <w:r w:rsidDel="00000000" w:rsidR="00000000" w:rsidRPr="00000000">
        <w:rPr>
          <w:rtl w:val="0"/>
        </w:rPr>
        <w:t xml:space="preserve">Located in the north of County Roscommon, on high ground overlooking Lough Key and the Boyle River, the Bishop’s Seat comprises a large (100m+) D-shaped earthen enclosure (RMP RO006:12/13). Within the enclosure are the remains of a 12</w:t>
      </w:r>
      <w:r w:rsidDel="00000000" w:rsidR="00000000" w:rsidRPr="00000000">
        <w:rPr>
          <w:vertAlign w:val="superscript"/>
          <w:rtl w:val="0"/>
        </w:rPr>
        <w:t xml:space="preserve">th</w:t>
      </w:r>
      <w:r w:rsidDel="00000000" w:rsidR="00000000" w:rsidRPr="00000000">
        <w:rPr>
          <w:rtl w:val="0"/>
        </w:rPr>
        <w:t xml:space="preserve"> century church and an adjacent burial ground. Just outside the enclosure, the low walls of a small fortified structure survive, interpreted as the “Bishop’s Palace”, erected by the Bishop of Elphin in 1253 CE. Historically, the site is also associated with the O’Conor kings of Connacht, particularly in the 13</w:t>
      </w:r>
      <w:r w:rsidDel="00000000" w:rsidR="00000000" w:rsidRPr="00000000">
        <w:rPr>
          <w:vertAlign w:val="superscript"/>
          <w:rtl w:val="0"/>
        </w:rPr>
        <w:t xml:space="preserve">th</w:t>
      </w:r>
      <w:r w:rsidDel="00000000" w:rsidR="00000000" w:rsidRPr="00000000">
        <w:rPr>
          <w:rtl w:val="0"/>
        </w:rPr>
        <w:t xml:space="preserve"> century. Excavations at Kilteasheen took place over 5 field seasons, from 2005-2009 (Excavation License 05E0531) and was funded by the Royal Irish Academy. A total of 12 cuttings were excavated with 4 targeting the cemetery. From these 4 cuttings, almost 150 skeletons were removed from an estimated burial population of 2500-3000. From a number of radiocarbon dates and associated artefacts, it is clear the burials were interred over a 700-year timespan from 600 CE to 1300 CE. The site also has a significant prehistoric component, with hundreds of lithicse recovered from all contexts and surrounding fields, dating primarily to the Early Bronze Age, 2400 BCE-1500 CE.</w:t>
      </w:r>
    </w:p>
    <w:p w:rsidR="00000000" w:rsidDel="00000000" w:rsidP="00000000" w:rsidRDefault="00000000" w:rsidRPr="00000000" w14:paraId="000000D2">
      <w:pPr>
        <w:rPr/>
      </w:pPr>
      <w:r w:rsidDel="00000000" w:rsidR="00000000" w:rsidRPr="00000000">
        <w:rPr>
          <w:u w:val="single"/>
          <w:rtl w:val="0"/>
        </w:rPr>
        <w:t xml:space="preserve">Provenance Note:</w:t>
      </w:r>
      <w:r w:rsidDel="00000000" w:rsidR="00000000" w:rsidRPr="00000000">
        <w:rPr>
          <w:rtl w:val="0"/>
        </w:rPr>
        <w:t xml:space="preserve"> Samples from Kilteasheen were provided by the Institute of Technology Sligo. Permission to analyse was granted to coauthor Kirsten Bos in 2013.</w:t>
      </w:r>
    </w:p>
    <w:p w:rsidR="00000000" w:rsidDel="00000000" w:rsidP="00000000" w:rsidRDefault="00000000" w:rsidRPr="00000000" w14:paraId="000000D3">
      <w:pPr>
        <w:rPr/>
      </w:pPr>
      <w:r w:rsidDel="00000000" w:rsidR="00000000" w:rsidRPr="00000000">
        <w:rPr>
          <w:rtl w:val="0"/>
        </w:rPr>
      </w:r>
    </w:p>
    <w:p w:rsidR="00000000" w:rsidDel="00000000" w:rsidP="00000000" w:rsidRDefault="00000000" w:rsidRPr="00000000" w14:paraId="000000D4">
      <w:pPr>
        <w:pStyle w:val="Heading2"/>
        <w:rPr>
          <w:color w:val="000000"/>
        </w:rPr>
      </w:pPr>
      <w:bookmarkStart w:colFirst="0" w:colLast="0" w:name="_heading=h.qsh70q" w:id="26"/>
      <w:bookmarkEnd w:id="26"/>
      <w:r w:rsidDel="00000000" w:rsidR="00000000" w:rsidRPr="00000000">
        <w:rPr>
          <w:color w:val="000000"/>
          <w:rtl w:val="0"/>
        </w:rPr>
        <w:t xml:space="preserve">Netherlands</w:t>
      </w:r>
    </w:p>
    <w:p w:rsidR="00000000" w:rsidDel="00000000" w:rsidP="00000000" w:rsidRDefault="00000000" w:rsidRPr="00000000" w14:paraId="000000D5">
      <w:pPr>
        <w:pStyle w:val="Heading4"/>
        <w:rPr>
          <w:color w:val="000000"/>
        </w:rPr>
      </w:pPr>
      <w:bookmarkStart w:colFirst="0" w:colLast="0" w:name="_heading=h.3as4poj" w:id="27"/>
      <w:bookmarkEnd w:id="27"/>
      <w:r w:rsidDel="00000000" w:rsidR="00000000" w:rsidRPr="00000000">
        <w:rPr>
          <w:color w:val="000000"/>
          <w:rtl w:val="0"/>
        </w:rPr>
        <w:t xml:space="preserve">Groningen, Groningen</w:t>
      </w:r>
    </w:p>
    <w:p w:rsidR="00000000" w:rsidDel="00000000" w:rsidP="00000000" w:rsidRDefault="00000000" w:rsidRPr="00000000" w14:paraId="000000D6">
      <w:pPr>
        <w:rPr/>
      </w:pPr>
      <w:r w:rsidDel="00000000" w:rsidR="00000000" w:rsidRPr="00000000">
        <w:rPr>
          <w:rtl w:val="0"/>
        </w:rPr>
        <w:t xml:space="preserve">Early medieval Groningen was a rural settlement that was transformed into a Carolingian royal domain with a church in the 9</w:t>
      </w:r>
      <w:r w:rsidDel="00000000" w:rsidR="00000000" w:rsidRPr="00000000">
        <w:rPr>
          <w:vertAlign w:val="superscript"/>
          <w:rtl w:val="0"/>
        </w:rPr>
        <w:t xml:space="preserve">th</w:t>
      </w:r>
      <w:r w:rsidDel="00000000" w:rsidR="00000000" w:rsidRPr="00000000">
        <w:rPr>
          <w:rtl w:val="0"/>
        </w:rPr>
        <w:t xml:space="preserve"> century, due to its strategic position at the border of the Frisian coastal districts. There is archaeological evidence for a marketplace since the 11</w:t>
      </w:r>
      <w:r w:rsidDel="00000000" w:rsidR="00000000" w:rsidRPr="00000000">
        <w:rPr>
          <w:vertAlign w:val="superscript"/>
          <w:rtl w:val="0"/>
        </w:rPr>
        <w:t xml:space="preserve">th</w:t>
      </w:r>
      <w:r w:rsidDel="00000000" w:rsidR="00000000" w:rsidRPr="00000000">
        <w:rPr>
          <w:rtl w:val="0"/>
        </w:rPr>
        <w:t xml:space="preserve"> or 12</w:t>
      </w:r>
      <w:r w:rsidDel="00000000" w:rsidR="00000000" w:rsidRPr="00000000">
        <w:rPr>
          <w:vertAlign w:val="superscript"/>
          <w:rtl w:val="0"/>
        </w:rPr>
        <w:t xml:space="preserve">th</w:t>
      </w:r>
      <w:r w:rsidDel="00000000" w:rsidR="00000000" w:rsidRPr="00000000">
        <w:rPr>
          <w:rtl w:val="0"/>
        </w:rPr>
        <w:t xml:space="preserve"> century, but possibly even earlier. This indicates the economic importance of Groningen for the area, which is further stressed by the many Groningen coins from the 11</w:t>
      </w:r>
      <w:r w:rsidDel="00000000" w:rsidR="00000000" w:rsidRPr="00000000">
        <w:rPr>
          <w:vertAlign w:val="superscript"/>
          <w:rtl w:val="0"/>
        </w:rPr>
        <w:t xml:space="preserve">th </w:t>
      </w:r>
      <w:r w:rsidDel="00000000" w:rsidR="00000000" w:rsidRPr="00000000">
        <w:rPr>
          <w:rtl w:val="0"/>
        </w:rPr>
        <w:t xml:space="preserve">century found elsewhere, such as present-day Scandinavia and Russia</w:t>
      </w:r>
      <w:hyperlink r:id="rId35">
        <w:r w:rsidDel="00000000" w:rsidR="00000000" w:rsidRPr="00000000">
          <w:rPr>
            <w:color w:val="000000"/>
            <w:vertAlign w:val="superscript"/>
            <w:rtl w:val="0"/>
          </w:rPr>
          <w:t xml:space="preserve">19,20</w:t>
        </w:r>
      </w:hyperlink>
      <w:r w:rsidDel="00000000" w:rsidR="00000000" w:rsidRPr="00000000">
        <w:rPr>
          <w:rtl w:val="0"/>
        </w:rPr>
        <w:t xml:space="preserve">. The churchyard of the Martini church in the center of the city was the only available cemetery in early and late medieval Groningen. During several excavation campaigns (GMK(96)) parts of the cemetery south-east of the present-day Martini church were excavated, recovering more than 500 graves from the Early and Late Middle Ages and Early Modern Period. The oldest recovered burials from this location are dated in the 8</w:t>
      </w:r>
      <w:r w:rsidDel="00000000" w:rsidR="00000000" w:rsidRPr="00000000">
        <w:rPr>
          <w:vertAlign w:val="superscript"/>
          <w:rtl w:val="0"/>
        </w:rPr>
        <w:t xml:space="preserve">th</w:t>
      </w:r>
      <w:r w:rsidDel="00000000" w:rsidR="00000000" w:rsidRPr="00000000">
        <w:rPr>
          <w:rtl w:val="0"/>
        </w:rPr>
        <w:t xml:space="preserve"> century CE and this cemetery was in use until 1827 CE</w:t>
      </w:r>
      <w:hyperlink r:id="rId36">
        <w:r w:rsidDel="00000000" w:rsidR="00000000" w:rsidRPr="00000000">
          <w:rPr>
            <w:color w:val="000000"/>
            <w:vertAlign w:val="superscript"/>
            <w:rtl w:val="0"/>
          </w:rPr>
          <w:t xml:space="preserve">21</w:t>
        </w:r>
      </w:hyperlink>
      <w:r w:rsidDel="00000000" w:rsidR="00000000" w:rsidRPr="00000000">
        <w:rPr>
          <w:rtl w:val="0"/>
        </w:rPr>
        <w:t xml:space="preserve">. There are relatively few non-adults (± 15%) and women (± 30%) among the early medieval burials, compared to what would be expected for a regular farming community. It is not clear if this is representative for this population or if age and sex was originally not equally distributed across the cemetery and a bias was introduced by choice of excavation location</w:t>
      </w:r>
      <w:hyperlink r:id="rId37">
        <w:r w:rsidDel="00000000" w:rsidR="00000000" w:rsidRPr="00000000">
          <w:rPr>
            <w:color w:val="000000"/>
            <w:vertAlign w:val="superscript"/>
            <w:rtl w:val="0"/>
          </w:rPr>
          <w:t xml:space="preserve">22</w:t>
        </w:r>
      </w:hyperlink>
      <w:r w:rsidDel="00000000" w:rsidR="00000000" w:rsidRPr="00000000">
        <w:rPr>
          <w:rtl w:val="0"/>
        </w:rPr>
        <w:t xml:space="preserve">. Strontium and oxygen isotope analysis was carried out on all individuals investigated here, except GMK96_V079 and GMK_V0592. Six individuals were likely migrants based on their values (GMK_V0604, V0773, V0805, V1053, V1253 and V1254)</w:t>
      </w:r>
      <w:hyperlink r:id="rId38">
        <w:r w:rsidDel="00000000" w:rsidR="00000000" w:rsidRPr="00000000">
          <w:rPr>
            <w:color w:val="000000"/>
            <w:vertAlign w:val="superscript"/>
            <w:rtl w:val="0"/>
          </w:rPr>
          <w:t xml:space="preserve">23</w:t>
        </w:r>
      </w:hyperlink>
      <w:r w:rsidDel="00000000" w:rsidR="00000000" w:rsidRPr="00000000">
        <w:rPr>
          <w:rtl w:val="0"/>
        </w:rPr>
        <w:t xml:space="preserve">.</w:t>
      </w:r>
    </w:p>
    <w:p w:rsidR="00000000" w:rsidDel="00000000" w:rsidP="00000000" w:rsidRDefault="00000000" w:rsidRPr="00000000" w14:paraId="000000D7">
      <w:pPr>
        <w:rPr/>
      </w:pPr>
      <w:r w:rsidDel="00000000" w:rsidR="00000000" w:rsidRPr="00000000">
        <w:rPr>
          <w:u w:val="single"/>
          <w:rtl w:val="0"/>
        </w:rPr>
        <w:t xml:space="preserve">Provenance Note:</w:t>
      </w:r>
      <w:r w:rsidDel="00000000" w:rsidR="00000000" w:rsidRPr="00000000">
        <w:rPr>
          <w:rtl w:val="0"/>
        </w:rPr>
        <w:t xml:space="preserve"> Samples from Groningen were provided by the Gemeente Groningen. Permission to analyse was granted to coauthor Eveline Altena in 2017.</w:t>
      </w:r>
    </w:p>
    <w:p w:rsidR="00000000" w:rsidDel="00000000" w:rsidP="00000000" w:rsidRDefault="00000000" w:rsidRPr="00000000" w14:paraId="000000D8">
      <w:pPr>
        <w:rPr/>
      </w:pPr>
      <w:r w:rsidDel="00000000" w:rsidR="00000000" w:rsidRPr="00000000">
        <w:rPr>
          <w:rtl w:val="0"/>
        </w:rPr>
      </w:r>
    </w:p>
    <w:p w:rsidR="00000000" w:rsidDel="00000000" w:rsidP="00000000" w:rsidRDefault="00000000" w:rsidRPr="00000000" w14:paraId="000000D9">
      <w:pPr>
        <w:pStyle w:val="Heading4"/>
        <w:rPr>
          <w:color w:val="000000"/>
        </w:rPr>
      </w:pPr>
      <w:bookmarkStart w:colFirst="0" w:colLast="0" w:name="_heading=h.1pxezwc" w:id="28"/>
      <w:bookmarkEnd w:id="28"/>
      <w:r w:rsidDel="00000000" w:rsidR="00000000" w:rsidRPr="00000000">
        <w:rPr>
          <w:color w:val="000000"/>
          <w:rtl w:val="0"/>
        </w:rPr>
        <w:t xml:space="preserve">Midlum, Friesland</w:t>
      </w:r>
    </w:p>
    <w:p w:rsidR="00000000" w:rsidDel="00000000" w:rsidP="00000000" w:rsidRDefault="00000000" w:rsidRPr="00000000" w14:paraId="000000DA">
      <w:pPr>
        <w:rPr/>
      </w:pPr>
      <w:r w:rsidDel="00000000" w:rsidR="00000000" w:rsidRPr="00000000">
        <w:rPr>
          <w:rtl w:val="0"/>
        </w:rPr>
        <w:t xml:space="preserve">Archaeological contract company RAAP excavated a small early medieval graveyard in 2016 in the northern province of Friesland in the Netherlands (HAMZ3). The site is located along the coastline of the Wadden Sea in the area of Westergo, where most inhabitants left when the Roman empire collapsed in the 4</w:t>
      </w:r>
      <w:r w:rsidDel="00000000" w:rsidR="00000000" w:rsidRPr="00000000">
        <w:rPr>
          <w:vertAlign w:val="superscript"/>
          <w:rtl w:val="0"/>
        </w:rPr>
        <w:t xml:space="preserve">th</w:t>
      </w:r>
      <w:r w:rsidDel="00000000" w:rsidR="00000000" w:rsidRPr="00000000">
        <w:rPr>
          <w:rtl w:val="0"/>
        </w:rPr>
        <w:t xml:space="preserve"> century. Although the Romans never occupied this northern part of the Netherlands - they did not get further north than the Rhine - they were of great economic importance for this area. The area was repopulated in the 5</w:t>
      </w:r>
      <w:r w:rsidDel="00000000" w:rsidR="00000000" w:rsidRPr="00000000">
        <w:rPr>
          <w:vertAlign w:val="superscript"/>
          <w:rtl w:val="0"/>
        </w:rPr>
        <w:t xml:space="preserve">th</w:t>
      </w:r>
      <w:r w:rsidDel="00000000" w:rsidR="00000000" w:rsidRPr="00000000">
        <w:rPr>
          <w:rtl w:val="0"/>
        </w:rPr>
        <w:t xml:space="preserve"> century. The graveyard is dated to the 5</w:t>
      </w:r>
      <w:r w:rsidDel="00000000" w:rsidR="00000000" w:rsidRPr="00000000">
        <w:rPr>
          <w:vertAlign w:val="superscript"/>
          <w:rtl w:val="0"/>
        </w:rPr>
        <w:t xml:space="preserve">th</w:t>
      </w:r>
      <w:r w:rsidDel="00000000" w:rsidR="00000000" w:rsidRPr="00000000">
        <w:rPr>
          <w:rtl w:val="0"/>
        </w:rPr>
        <w:t xml:space="preserve"> and 6</w:t>
      </w:r>
      <w:r w:rsidDel="00000000" w:rsidR="00000000" w:rsidRPr="00000000">
        <w:rPr>
          <w:vertAlign w:val="superscript"/>
          <w:rtl w:val="0"/>
        </w:rPr>
        <w:t xml:space="preserve">th</w:t>
      </w:r>
      <w:r w:rsidDel="00000000" w:rsidR="00000000" w:rsidRPr="00000000">
        <w:rPr>
          <w:rtl w:val="0"/>
        </w:rPr>
        <w:t xml:space="preserve"> centuries and the people buried there can therefore be considered as new settlers, but despite multiple known inhabited sites (terps) nearby, it is not clear where they lived</w:t>
      </w:r>
      <w:hyperlink r:id="rId39">
        <w:r w:rsidDel="00000000" w:rsidR="00000000" w:rsidRPr="00000000">
          <w:rPr>
            <w:color w:val="000000"/>
            <w:vertAlign w:val="superscript"/>
            <w:rtl w:val="0"/>
          </w:rPr>
          <w:t xml:space="preserve">24</w:t>
        </w:r>
      </w:hyperlink>
      <w:r w:rsidDel="00000000" w:rsidR="00000000" w:rsidRPr="00000000">
        <w:rPr>
          <w:rtl w:val="0"/>
        </w:rPr>
        <w:t xml:space="preserve">. The graveyard consisted of eight inhumations of which several were disturbed to some extent. They contained the remains of six adult females (ind 1, 2, 3, 5, 6, 7), one 10-14-year-old female (ind 4) and one adolescent/young adult that was possibly male (ind 8). Additionally, a pit with secondary human bones of at least two individuals and animal bones was found (feature S140). Some of these secondary bones could belong to the primary inhumations</w:t>
      </w:r>
      <w:hyperlink r:id="rId40">
        <w:r w:rsidDel="00000000" w:rsidR="00000000" w:rsidRPr="00000000">
          <w:rPr>
            <w:color w:val="000000"/>
            <w:vertAlign w:val="superscript"/>
            <w:rtl w:val="0"/>
          </w:rPr>
          <w:t xml:space="preserve">25</w:t>
        </w:r>
      </w:hyperlink>
      <w:r w:rsidDel="00000000" w:rsidR="00000000" w:rsidRPr="00000000">
        <w:rPr>
          <w:rtl w:val="0"/>
        </w:rPr>
        <w:t xml:space="preserve">. The primary inhumations were all single graves, but there were two sets of individuals that were buried directly next to each other (ind 2 with ind 3 and ind 4 with 5). All graves were in a north-south orientation, with all adult females facing south, the female child facing north and unclear direction for ind 8. The body position was unclear for ind 8, ind 3 was in prone position and the others were in supine position. The graves of ind 1, 2, 5, and 6 contained personal objects (beads, fibulae, buckle, knife, spindle)</w:t>
      </w:r>
      <w:hyperlink r:id="rId41">
        <w:r w:rsidDel="00000000" w:rsidR="00000000" w:rsidRPr="00000000">
          <w:rPr>
            <w:color w:val="000000"/>
            <w:vertAlign w:val="superscript"/>
            <w:rtl w:val="0"/>
          </w:rPr>
          <w:t xml:space="preserve">26</w:t>
        </w:r>
      </w:hyperlink>
      <w:r w:rsidDel="00000000" w:rsidR="00000000" w:rsidRPr="00000000">
        <w:rPr>
          <w:rtl w:val="0"/>
        </w:rPr>
        <w:t xml:space="preserve">. Strontium and oxygen isotope analyses were performed on all adult females (ind 1-3, 5-7) and indicated that one of them (ind 3) could have been born local, as her ratios were compatible with the region. The others had ratios that were not compatible with the region, but they can be found elsewhere in the Netherlands</w:t>
      </w:r>
      <w:hyperlink r:id="rId42">
        <w:r w:rsidDel="00000000" w:rsidR="00000000" w:rsidRPr="00000000">
          <w:rPr>
            <w:color w:val="000000"/>
            <w:vertAlign w:val="superscript"/>
            <w:rtl w:val="0"/>
          </w:rPr>
          <w:t xml:space="preserve">27</w:t>
        </w:r>
      </w:hyperlink>
      <w:r w:rsidDel="00000000" w:rsidR="00000000" w:rsidRPr="00000000">
        <w:rPr>
          <w:rtl w:val="0"/>
        </w:rPr>
        <w:t xml:space="preserve">. </w:t>
      </w:r>
    </w:p>
    <w:p w:rsidR="00000000" w:rsidDel="00000000" w:rsidP="00000000" w:rsidRDefault="00000000" w:rsidRPr="00000000" w14:paraId="000000DB">
      <w:pPr>
        <w:rPr/>
      </w:pPr>
      <w:r w:rsidDel="00000000" w:rsidR="00000000" w:rsidRPr="00000000">
        <w:rPr>
          <w:u w:val="single"/>
          <w:rtl w:val="0"/>
        </w:rPr>
        <w:t xml:space="preserve">Provenance Note:</w:t>
      </w:r>
      <w:r w:rsidDel="00000000" w:rsidR="00000000" w:rsidRPr="00000000">
        <w:rPr>
          <w:rtl w:val="0"/>
        </w:rPr>
        <w:t xml:space="preserve"> Samples from Midlum were provided by the Noordelijk Archeologisch Depot. Permission to analyse was granted to coauthor Eveline Altena in 2017.</w:t>
      </w:r>
    </w:p>
    <w:p w:rsidR="00000000" w:rsidDel="00000000" w:rsidP="00000000" w:rsidRDefault="00000000" w:rsidRPr="00000000" w14:paraId="000000DC">
      <w:pPr>
        <w:rPr/>
      </w:pPr>
      <w:r w:rsidDel="00000000" w:rsidR="00000000" w:rsidRPr="00000000">
        <w:rPr>
          <w:rtl w:val="0"/>
        </w:rPr>
      </w:r>
    </w:p>
    <w:p w:rsidR="00000000" w:rsidDel="00000000" w:rsidP="00000000" w:rsidRDefault="00000000" w:rsidRPr="00000000" w14:paraId="000000DD">
      <w:pPr>
        <w:pStyle w:val="Heading2"/>
        <w:rPr>
          <w:color w:val="000000"/>
        </w:rPr>
      </w:pPr>
      <w:bookmarkStart w:colFirst="0" w:colLast="0" w:name="_heading=h.49x2ik5" w:id="29"/>
      <w:bookmarkEnd w:id="29"/>
      <w:r w:rsidDel="00000000" w:rsidR="00000000" w:rsidRPr="00000000">
        <w:rPr>
          <w:color w:val="000000"/>
          <w:rtl w:val="0"/>
        </w:rPr>
        <w:t xml:space="preserve">Denmark</w:t>
      </w:r>
    </w:p>
    <w:p w:rsidR="00000000" w:rsidDel="00000000" w:rsidP="00000000" w:rsidRDefault="00000000" w:rsidRPr="00000000" w14:paraId="000000DE">
      <w:pPr>
        <w:pStyle w:val="Heading4"/>
        <w:rPr/>
      </w:pPr>
      <w:bookmarkStart w:colFirst="0" w:colLast="0" w:name="_heading=h.2p2csry" w:id="30"/>
      <w:bookmarkEnd w:id="30"/>
      <w:r w:rsidDel="00000000" w:rsidR="00000000" w:rsidRPr="00000000">
        <w:rPr>
          <w:color w:val="000000"/>
          <w:rtl w:val="0"/>
        </w:rPr>
        <w:t xml:space="preserve">Copenhagen, Sct. Clements, KBM3621, Denmark</w:t>
      </w:r>
      <w:r w:rsidDel="00000000" w:rsidR="00000000" w:rsidRPr="00000000">
        <w:rPr>
          <w:rtl w:val="0"/>
        </w:rPr>
        <w:t xml:space="preserve"> </w:t>
      </w:r>
    </w:p>
    <w:p w:rsidR="00000000" w:rsidDel="00000000" w:rsidP="00000000" w:rsidRDefault="00000000" w:rsidRPr="00000000" w14:paraId="000000DF">
      <w:pPr>
        <w:rPr/>
      </w:pPr>
      <w:r w:rsidDel="00000000" w:rsidR="00000000" w:rsidRPr="00000000">
        <w:rPr>
          <w:rtl w:val="0"/>
        </w:rPr>
        <w:t xml:space="preserve">In the first half of 2008, archaeologists from the Museum of Copenhagen (Københavns Bymuseum) excavated parts of the churchyard belonging to the medieval church of Sct. Clements in the center of Copenhagen, Denmark. Sct. Clements was a parish church, built in the 11</w:t>
      </w:r>
      <w:r w:rsidDel="00000000" w:rsidR="00000000" w:rsidRPr="00000000">
        <w:rPr>
          <w:vertAlign w:val="superscript"/>
          <w:rtl w:val="0"/>
        </w:rPr>
        <w:t xml:space="preserve">th</w:t>
      </w:r>
      <w:r w:rsidDel="00000000" w:rsidR="00000000" w:rsidRPr="00000000">
        <w:rPr>
          <w:rtl w:val="0"/>
        </w:rPr>
        <w:t xml:space="preserve"> century in the early years of the town’s existence. The church was taken out of use during the reformation, and demolished completely in the following decades. Today the site of the church and its former churchyard is located in the middle of the shopping street Strøget, close to City Hall Square in central Copenhagen. The area of excavation was located north of the church, comprising a total of 1048 graves. It was apparent that the churchyard had been intensely used during the whole of the medieval period, with up to seven stratigraphic layers of more or less preserved graves, and large amounts of disarticulated bones, stemming from distrubed graves, spread throughout the gravefills.</w:t>
      </w:r>
    </w:p>
    <w:p w:rsidR="00000000" w:rsidDel="00000000" w:rsidP="00000000" w:rsidRDefault="00000000" w:rsidRPr="00000000" w14:paraId="000000E0">
      <w:pPr>
        <w:rPr/>
      </w:pPr>
      <w:r w:rsidDel="00000000" w:rsidR="00000000" w:rsidRPr="00000000">
        <w:rPr>
          <w:rtl w:val="0"/>
        </w:rPr>
        <w:t xml:space="preserve">The buried individuals consisted of women, men and children of all ages, with a slight dominance of women. The mean height of the individuals was smaller than normal for Denmark during the time period, indicating they might have been living under poorer conditions than average. The churchyard showed a variety of burial practices, especially in the early medieval period (1050-1250 CE), for instance different shapes of grave cuts, preparation layers, and round stones placed on different parts of the body of the buried individuals. Other examples of burial practices represented among the sampled individuals are charcoal preparation layers and brick lined grave cuts. The individuals selected for ancient DNA analysis all lived during the early medieval period and comprise a selection of women, men and children. In-depth analyses of the burial population and their burial practices are still ongoing. Together they will shed new light on the life and identity of these early Copenhageners.</w:t>
      </w:r>
    </w:p>
    <w:p w:rsidR="00000000" w:rsidDel="00000000" w:rsidP="00000000" w:rsidRDefault="00000000" w:rsidRPr="00000000" w14:paraId="000000E1">
      <w:pPr>
        <w:rPr/>
      </w:pPr>
      <w:r w:rsidDel="00000000" w:rsidR="00000000" w:rsidRPr="00000000">
        <w:rPr>
          <w:u w:val="single"/>
          <w:rtl w:val="0"/>
        </w:rPr>
        <w:t xml:space="preserve">Provenance Note:</w:t>
      </w:r>
      <w:r w:rsidDel="00000000" w:rsidR="00000000" w:rsidRPr="00000000">
        <w:rPr>
          <w:rtl w:val="0"/>
        </w:rPr>
        <w:t xml:space="preserve"> Samples from Copenhagen were provided by the Museum of Copenhagen. Permission to analyse was granted to coauthor Hannes Schroeder in 2019.</w:t>
      </w:r>
    </w:p>
    <w:p w:rsidR="00000000" w:rsidDel="00000000" w:rsidP="00000000" w:rsidRDefault="00000000" w:rsidRPr="00000000" w14:paraId="000000E2">
      <w:pPr>
        <w:rPr/>
      </w:pPr>
      <w:r w:rsidDel="00000000" w:rsidR="00000000" w:rsidRPr="00000000">
        <w:rPr>
          <w:rtl w:val="0"/>
        </w:rPr>
      </w:r>
    </w:p>
    <w:p w:rsidR="00000000" w:rsidDel="00000000" w:rsidP="00000000" w:rsidRDefault="00000000" w:rsidRPr="00000000" w14:paraId="000000E3">
      <w:pPr>
        <w:pStyle w:val="Heading2"/>
        <w:rPr>
          <w:color w:val="000000"/>
        </w:rPr>
      </w:pPr>
      <w:bookmarkStart w:colFirst="0" w:colLast="0" w:name="_heading=h.147n2zr" w:id="31"/>
      <w:bookmarkEnd w:id="31"/>
      <w:r w:rsidDel="00000000" w:rsidR="00000000" w:rsidRPr="00000000">
        <w:rPr>
          <w:color w:val="000000"/>
          <w:rtl w:val="0"/>
        </w:rPr>
        <w:t xml:space="preserve">Germany</w:t>
      </w:r>
    </w:p>
    <w:p w:rsidR="00000000" w:rsidDel="00000000" w:rsidP="00000000" w:rsidRDefault="00000000" w:rsidRPr="00000000" w14:paraId="000000E4">
      <w:pPr>
        <w:pStyle w:val="Heading4"/>
        <w:rPr>
          <w:color w:val="000000"/>
        </w:rPr>
      </w:pPr>
      <w:bookmarkStart w:colFirst="0" w:colLast="0" w:name="_heading=h.3o7alnk" w:id="32"/>
      <w:bookmarkEnd w:id="32"/>
      <w:r w:rsidDel="00000000" w:rsidR="00000000" w:rsidRPr="00000000">
        <w:rPr>
          <w:color w:val="000000"/>
          <w:rtl w:val="0"/>
        </w:rPr>
        <w:t xml:space="preserve">Alt-Inden, North Rhine-Westphalia</w:t>
      </w:r>
    </w:p>
    <w:p w:rsidR="00000000" w:rsidDel="00000000" w:rsidP="00000000" w:rsidRDefault="00000000" w:rsidRPr="00000000" w14:paraId="000000E5">
      <w:pPr>
        <w:rPr/>
      </w:pPr>
      <w:r w:rsidDel="00000000" w:rsidR="00000000" w:rsidRPr="00000000">
        <w:rPr>
          <w:rtl w:val="0"/>
        </w:rPr>
        <w:t xml:space="preserve">The Merovingian graveyard Alt-Inden is located west of Cologne and is hence situated in the brown coal region of the Rhineland. The surface mining is still active in the region and the reason for the characteristic shape of the landscape. This exceptional situation necessitates a special archaeological approach and sometimes complete graveyards and settlements have to be recovered, although generally only 10% of the historic area can be documented and excavated in time before being destroyed by mining activities. The graveyard of Alt-Inden was excavated in 2004 during a campaign supervised by Bernd Päffgen from the Ludwig-Maximilians-University Munich. Of the originally 800 inhumation graves approximately 25% were preserved. The occupancy of the graveyard starts in the 2</w:t>
      </w:r>
      <w:r w:rsidDel="00000000" w:rsidR="00000000" w:rsidRPr="00000000">
        <w:rPr>
          <w:vertAlign w:val="superscript"/>
          <w:rtl w:val="0"/>
        </w:rPr>
        <w:t xml:space="preserve">nd</w:t>
      </w:r>
      <w:r w:rsidDel="00000000" w:rsidR="00000000" w:rsidRPr="00000000">
        <w:rPr>
          <w:rtl w:val="0"/>
        </w:rPr>
        <w:t xml:space="preserve"> millennium CE and continues until the mid of the 8</w:t>
      </w:r>
      <w:r w:rsidDel="00000000" w:rsidR="00000000" w:rsidRPr="00000000">
        <w:rPr>
          <w:vertAlign w:val="superscript"/>
          <w:rtl w:val="0"/>
        </w:rPr>
        <w:t xml:space="preserve">th</w:t>
      </w:r>
      <w:r w:rsidDel="00000000" w:rsidR="00000000" w:rsidRPr="00000000">
        <w:rPr>
          <w:rtl w:val="0"/>
        </w:rPr>
        <w:t xml:space="preserve"> millennium CE. The individuals used for the first sampling were selected based on their grave good assemblages by Tobias Albrecht in 2015. These 17 inhumations were found with grave objects associated with male burials. All individuals were classified as adult, aged between 20 to over 60 years. Most of them could be determined as males osteologically. However, the individual buried in grave 579 exhibits skeletal traits of female sex.</w:t>
      </w:r>
    </w:p>
    <w:p w:rsidR="00000000" w:rsidDel="00000000" w:rsidP="00000000" w:rsidRDefault="00000000" w:rsidRPr="00000000" w14:paraId="000000E6">
      <w:pPr>
        <w:rPr/>
      </w:pPr>
      <w:r w:rsidDel="00000000" w:rsidR="00000000" w:rsidRPr="00000000">
        <w:rPr>
          <w:u w:val="single"/>
          <w:rtl w:val="0"/>
        </w:rPr>
        <w:t xml:space="preserve">Provenance Note:</w:t>
      </w:r>
      <w:r w:rsidDel="00000000" w:rsidR="00000000" w:rsidRPr="00000000">
        <w:rPr>
          <w:rtl w:val="0"/>
        </w:rPr>
        <w:t xml:space="preserve"> Samples from Alt-Inden were provided by the LVR-Amt für Bodendenkmalpflege im Rheinland. Permission to analyse was granted to coauthor Stephan Schiffels in 2021.</w:t>
      </w:r>
    </w:p>
    <w:p w:rsidR="00000000" w:rsidDel="00000000" w:rsidP="00000000" w:rsidRDefault="00000000" w:rsidRPr="00000000" w14:paraId="000000E7">
      <w:pPr>
        <w:pStyle w:val="Heading4"/>
        <w:rPr/>
      </w:pPr>
      <w:bookmarkStart w:colFirst="0" w:colLast="0" w:name="_heading=h.23ckvvd" w:id="33"/>
      <w:bookmarkEnd w:id="33"/>
      <w:r w:rsidDel="00000000" w:rsidR="00000000" w:rsidRPr="00000000">
        <w:rPr>
          <w:rtl w:val="0"/>
        </w:rPr>
      </w:r>
    </w:p>
    <w:p w:rsidR="00000000" w:rsidDel="00000000" w:rsidP="00000000" w:rsidRDefault="00000000" w:rsidRPr="00000000" w14:paraId="000000E8">
      <w:pPr>
        <w:pStyle w:val="Heading4"/>
        <w:rPr>
          <w:color w:val="000000"/>
        </w:rPr>
      </w:pPr>
      <w:bookmarkStart w:colFirst="0" w:colLast="0" w:name="_heading=h.ihv636" w:id="34"/>
      <w:bookmarkEnd w:id="34"/>
      <w:r w:rsidDel="00000000" w:rsidR="00000000" w:rsidRPr="00000000">
        <w:rPr>
          <w:color w:val="000000"/>
          <w:rtl w:val="0"/>
        </w:rPr>
        <w:t xml:space="preserve">Hannover-Anderten, Hannover, Lower Saxony</w:t>
      </w:r>
    </w:p>
    <w:p w:rsidR="00000000" w:rsidDel="00000000" w:rsidP="00000000" w:rsidRDefault="00000000" w:rsidRPr="00000000" w14:paraId="000000E9">
      <w:pPr>
        <w:rPr/>
      </w:pPr>
      <w:r w:rsidDel="00000000" w:rsidR="00000000" w:rsidRPr="00000000">
        <w:rPr>
          <w:rtl w:val="0"/>
        </w:rPr>
        <w:t xml:space="preserve">The site was discovered in the first quarter of the 20</w:t>
      </w:r>
      <w:r w:rsidDel="00000000" w:rsidR="00000000" w:rsidRPr="00000000">
        <w:rPr>
          <w:vertAlign w:val="superscript"/>
          <w:rtl w:val="0"/>
        </w:rPr>
        <w:t xml:space="preserve">th</w:t>
      </w:r>
      <w:r w:rsidDel="00000000" w:rsidR="00000000" w:rsidRPr="00000000">
        <w:rPr>
          <w:rtl w:val="0"/>
        </w:rPr>
        <w:t xml:space="preserve"> century at the village of Anderten which is a part of the city of Hanover today. As a result of dredging work and the construction of a water gate for the </w:t>
      </w:r>
      <w:r w:rsidDel="00000000" w:rsidR="00000000" w:rsidRPr="00000000">
        <w:rPr>
          <w:i w:val="1"/>
          <w:rtl w:val="0"/>
        </w:rPr>
        <w:t xml:space="preserve">Mittelland-</w:t>
      </w:r>
      <w:r w:rsidDel="00000000" w:rsidR="00000000" w:rsidRPr="00000000">
        <w:rPr>
          <w:rtl w:val="0"/>
        </w:rPr>
        <w:t xml:space="preserve">Canal, human remains as well as medieval objects were initially retrieved. A rescue excavation was subsequently conducted by the Lower Saxony State Museum which captured a section of the cemetery, which is situated on an elevation of limestone marl. The excavations revealed around 130 inhumation graves, some cremations, and some horse burials. Inhumation burials from the late 6</w:t>
      </w:r>
      <w:r w:rsidDel="00000000" w:rsidR="00000000" w:rsidRPr="00000000">
        <w:rPr>
          <w:vertAlign w:val="superscript"/>
          <w:rtl w:val="0"/>
        </w:rPr>
        <w:t xml:space="preserve">th</w:t>
      </w:r>
      <w:r w:rsidDel="00000000" w:rsidR="00000000" w:rsidRPr="00000000">
        <w:rPr>
          <w:rtl w:val="0"/>
        </w:rPr>
        <w:t xml:space="preserve"> century are only attested by scatter finds which were retrieved by mechanical shovel-excavators. As far as the small number of artefacts tells us the cemetery was used mainly during the 7</w:t>
      </w:r>
      <w:r w:rsidDel="00000000" w:rsidR="00000000" w:rsidRPr="00000000">
        <w:rPr>
          <w:vertAlign w:val="superscript"/>
          <w:rtl w:val="0"/>
        </w:rPr>
        <w:t xml:space="preserve">th</w:t>
      </w:r>
      <w:r w:rsidDel="00000000" w:rsidR="00000000" w:rsidRPr="00000000">
        <w:rPr>
          <w:rtl w:val="0"/>
        </w:rPr>
        <w:t xml:space="preserve"> and 8</w:t>
      </w:r>
      <w:r w:rsidDel="00000000" w:rsidR="00000000" w:rsidRPr="00000000">
        <w:rPr>
          <w:vertAlign w:val="superscript"/>
          <w:rtl w:val="0"/>
        </w:rPr>
        <w:t xml:space="preserve">th</w:t>
      </w:r>
      <w:r w:rsidDel="00000000" w:rsidR="00000000" w:rsidRPr="00000000">
        <w:rPr>
          <w:rtl w:val="0"/>
        </w:rPr>
        <w:t xml:space="preserve"> century and was abandoned approximately around the beginning of the 10</w:t>
      </w:r>
      <w:r w:rsidDel="00000000" w:rsidR="00000000" w:rsidRPr="00000000">
        <w:rPr>
          <w:vertAlign w:val="superscript"/>
          <w:rtl w:val="0"/>
        </w:rPr>
        <w:t xml:space="preserve">th</w:t>
      </w:r>
      <w:r w:rsidDel="00000000" w:rsidR="00000000" w:rsidRPr="00000000">
        <w:rPr>
          <w:rtl w:val="0"/>
        </w:rPr>
        <w:t xml:space="preserve"> century. At Anderten, bone material has been preserved remarkably well, but due to the rarity of grave goods the dating of single burials is challenging. There are indications that some individual burials date to the late 7</w:t>
      </w:r>
      <w:r w:rsidDel="00000000" w:rsidR="00000000" w:rsidRPr="00000000">
        <w:rPr>
          <w:vertAlign w:val="superscript"/>
          <w:rtl w:val="0"/>
        </w:rPr>
        <w:t xml:space="preserve">th</w:t>
      </w:r>
      <w:r w:rsidDel="00000000" w:rsidR="00000000" w:rsidRPr="00000000">
        <w:rPr>
          <w:rtl w:val="0"/>
        </w:rPr>
        <w:t xml:space="preserve"> century (e.g. Grave 64, ADN013). This dating was subsequently confirmed by radiocarbon-dating in the course of the paleogenetic investigation. Based on comprehensive radiocarbon dating, a general dating span between the late 7</w:t>
      </w:r>
      <w:r w:rsidDel="00000000" w:rsidR="00000000" w:rsidRPr="00000000">
        <w:rPr>
          <w:vertAlign w:val="superscript"/>
          <w:rtl w:val="0"/>
        </w:rPr>
        <w:t xml:space="preserve">th</w:t>
      </w:r>
      <w:r w:rsidDel="00000000" w:rsidR="00000000" w:rsidRPr="00000000">
        <w:rPr>
          <w:rtl w:val="0"/>
        </w:rPr>
        <w:t xml:space="preserve"> and early 10</w:t>
      </w:r>
      <w:r w:rsidDel="00000000" w:rsidR="00000000" w:rsidRPr="00000000">
        <w:rPr>
          <w:vertAlign w:val="superscript"/>
          <w:rtl w:val="0"/>
        </w:rPr>
        <w:t xml:space="preserve">th</w:t>
      </w:r>
      <w:r w:rsidDel="00000000" w:rsidR="00000000" w:rsidRPr="00000000">
        <w:rPr>
          <w:rtl w:val="0"/>
        </w:rPr>
        <w:t xml:space="preserve"> century has to be assumed for the burials which were integrated into the DNA-sampling.</w:t>
      </w:r>
    </w:p>
    <w:p w:rsidR="00000000" w:rsidDel="00000000" w:rsidP="00000000" w:rsidRDefault="00000000" w:rsidRPr="00000000" w14:paraId="000000EA">
      <w:pPr>
        <w:rPr/>
      </w:pPr>
      <w:r w:rsidDel="00000000" w:rsidR="00000000" w:rsidRPr="00000000">
        <w:rPr>
          <w:u w:val="single"/>
          <w:rtl w:val="0"/>
        </w:rPr>
        <w:t xml:space="preserve">Provenance Note:</w:t>
      </w:r>
      <w:r w:rsidDel="00000000" w:rsidR="00000000" w:rsidRPr="00000000">
        <w:rPr>
          <w:rtl w:val="0"/>
        </w:rPr>
        <w:t xml:space="preserve"> Samples from Hannover-Anderten were provided by the Landesmuseum Hannover. Permission to analyse was granted to coauthor Stephan Schiffels in 2020.</w:t>
      </w:r>
    </w:p>
    <w:p w:rsidR="00000000" w:rsidDel="00000000" w:rsidP="00000000" w:rsidRDefault="00000000" w:rsidRPr="00000000" w14:paraId="000000EB">
      <w:pPr>
        <w:rPr/>
      </w:pPr>
      <w:r w:rsidDel="00000000" w:rsidR="00000000" w:rsidRPr="00000000">
        <w:rPr>
          <w:rtl w:val="0"/>
        </w:rPr>
      </w:r>
    </w:p>
    <w:p w:rsidR="00000000" w:rsidDel="00000000" w:rsidP="00000000" w:rsidRDefault="00000000" w:rsidRPr="00000000" w14:paraId="000000EC">
      <w:pPr>
        <w:pStyle w:val="Heading4"/>
        <w:spacing w:before="240" w:lineRule="auto"/>
        <w:jc w:val="both"/>
        <w:rPr>
          <w:color w:val="000000"/>
        </w:rPr>
      </w:pPr>
      <w:bookmarkStart w:colFirst="0" w:colLast="0" w:name="_heading=h.32hioqz" w:id="35"/>
      <w:bookmarkEnd w:id="35"/>
      <w:r w:rsidDel="00000000" w:rsidR="00000000" w:rsidRPr="00000000">
        <w:rPr>
          <w:color w:val="000000"/>
          <w:rtl w:val="0"/>
        </w:rPr>
        <w:t xml:space="preserve">Dunum, Wittmund, Lower Saxony</w:t>
      </w:r>
    </w:p>
    <w:p w:rsidR="00000000" w:rsidDel="00000000" w:rsidP="00000000" w:rsidRDefault="00000000" w:rsidRPr="00000000" w14:paraId="000000ED">
      <w:pPr>
        <w:spacing w:after="240" w:lineRule="auto"/>
        <w:jc w:val="both"/>
        <w:rPr/>
      </w:pPr>
      <w:r w:rsidDel="00000000" w:rsidR="00000000" w:rsidRPr="00000000">
        <w:rPr>
          <w:rtl w:val="0"/>
        </w:rPr>
        <w:t xml:space="preserve">The early medieval cemetery of Dunum (Lskr. Wittmund) was archaeologically examined between 1966 and 1971 during multiple excavation campaigns conducted by the </w:t>
      </w:r>
      <w:r w:rsidDel="00000000" w:rsidR="00000000" w:rsidRPr="00000000">
        <w:rPr>
          <w:i w:val="1"/>
          <w:rtl w:val="0"/>
        </w:rPr>
        <w:t xml:space="preserve">Niedersächsisches Institut für historische Küstenforschung (NIHK)</w:t>
      </w:r>
      <w:r w:rsidDel="00000000" w:rsidR="00000000" w:rsidRPr="00000000">
        <w:rPr>
          <w:rtl w:val="0"/>
        </w:rPr>
        <w:t xml:space="preserve"> under the direction of P. Schmid. The cemetery belongs to the group of so-called Frisian burial places in the south of the North Sea coast area. It is characterised by the contemporaneous usage of both urn and inhumation burials. Founded in the 7</w:t>
      </w:r>
      <w:r w:rsidDel="00000000" w:rsidR="00000000" w:rsidRPr="00000000">
        <w:rPr>
          <w:vertAlign w:val="superscript"/>
          <w:rtl w:val="0"/>
        </w:rPr>
        <w:t xml:space="preserve">th</w:t>
      </w:r>
      <w:r w:rsidDel="00000000" w:rsidR="00000000" w:rsidRPr="00000000">
        <w:rPr>
          <w:rtl w:val="0"/>
        </w:rPr>
        <w:t xml:space="preserve"> century, the graves of the early occupancy phase were numerously furnished with well-preserved grave goods. They include mainly clothing remains and jewellery but also tools as well as vessels made of ceramics and glass. By contrast, weapons or riding equipment are rare. As in contemporaneous cemeteries, starting in the middle of the 8</w:t>
      </w:r>
      <w:r w:rsidDel="00000000" w:rsidR="00000000" w:rsidRPr="00000000">
        <w:rPr>
          <w:vertAlign w:val="superscript"/>
          <w:rtl w:val="0"/>
        </w:rPr>
        <w:t xml:space="preserve">th</w:t>
      </w:r>
      <w:r w:rsidDel="00000000" w:rsidR="00000000" w:rsidRPr="00000000">
        <w:rPr>
          <w:rtl w:val="0"/>
        </w:rPr>
        <w:t xml:space="preserve"> century, burials were increasingly furnished without grave goods. This change in burial rite is commonly associated with the adaptation of Christian beliefs. The burial place was finally abandoned in the 10</w:t>
      </w:r>
      <w:r w:rsidDel="00000000" w:rsidR="00000000" w:rsidRPr="00000000">
        <w:rPr>
          <w:vertAlign w:val="superscript"/>
          <w:rtl w:val="0"/>
        </w:rPr>
        <w:t xml:space="preserve">th</w:t>
      </w:r>
      <w:r w:rsidDel="00000000" w:rsidR="00000000" w:rsidRPr="00000000">
        <w:rPr>
          <w:rtl w:val="0"/>
        </w:rPr>
        <w:t xml:space="preserve"> century. During the last decade, the cemetery of Dunum was frequently subject of archaeological investigations. Preliminary reports of the excavator</w:t>
      </w:r>
      <w:hyperlink r:id="rId43">
        <w:r w:rsidDel="00000000" w:rsidR="00000000" w:rsidRPr="00000000">
          <w:rPr>
            <w:color w:val="000000"/>
            <w:vertAlign w:val="superscript"/>
            <w:rtl w:val="0"/>
          </w:rPr>
          <w:t xml:space="preserve">28–33</w:t>
        </w:r>
      </w:hyperlink>
      <w:r w:rsidDel="00000000" w:rsidR="00000000" w:rsidRPr="00000000">
        <w:rPr>
          <w:rtl w:val="0"/>
        </w:rPr>
        <w:t xml:space="preserve"> based on selected material and artefact groups interpreted the area as cemetery of five separately buried farm communities</w:t>
      </w:r>
      <w:hyperlink r:id="rId44">
        <w:r w:rsidDel="00000000" w:rsidR="00000000" w:rsidRPr="00000000">
          <w:rPr>
            <w:color w:val="000000"/>
            <w:vertAlign w:val="superscript"/>
            <w:rtl w:val="0"/>
          </w:rPr>
          <w:t xml:space="preserve">34–39</w:t>
        </w:r>
      </w:hyperlink>
      <w:r w:rsidDel="00000000" w:rsidR="00000000" w:rsidRPr="00000000">
        <w:rPr>
          <w:rtl w:val="0"/>
        </w:rPr>
        <w:t xml:space="preserve">. In the last years, the Deutsche Forschungsgemeinschaft (DFG) financed a project involving the systematic analysis and evaluation of all findings of the cemetery as well as landscape archaeological investigation of the surrounding settlement area</w:t>
      </w:r>
      <w:hyperlink r:id="rId45">
        <w:r w:rsidDel="00000000" w:rsidR="00000000" w:rsidRPr="00000000">
          <w:rPr>
            <w:color w:val="000000"/>
            <w:vertAlign w:val="superscript"/>
            <w:rtl w:val="0"/>
          </w:rPr>
          <w:t xml:space="preserve">37</w:t>
        </w:r>
      </w:hyperlink>
      <w:r w:rsidDel="00000000" w:rsidR="00000000" w:rsidRPr="00000000">
        <w:rPr>
          <w:rtl w:val="0"/>
        </w:rPr>
        <w:t xml:space="preserve">. Within the project, C</w:t>
      </w:r>
      <w:r w:rsidDel="00000000" w:rsidR="00000000" w:rsidRPr="00000000">
        <w:rPr>
          <w:vertAlign w:val="superscript"/>
          <w:rtl w:val="0"/>
        </w:rPr>
        <w:t xml:space="preserve">14</w:t>
      </w:r>
      <w:r w:rsidDel="00000000" w:rsidR="00000000" w:rsidRPr="00000000">
        <w:rPr>
          <w:rtl w:val="0"/>
        </w:rPr>
        <w:t xml:space="preserve"> dating of organic remains was conducted, providing support for the results of the older dating approaches. Further, extensive anthropological investigations were performed for the first time, although only a small fraction of the buried population was available for analysis due to the limited bone preservation. To this day, individual data of only 52 cremation remains and 20 inhumation burials without grave goods are available, which date into the last occupancy phase during the 10</w:t>
      </w:r>
      <w:r w:rsidDel="00000000" w:rsidR="00000000" w:rsidRPr="00000000">
        <w:rPr>
          <w:vertAlign w:val="superscript"/>
          <w:rtl w:val="0"/>
        </w:rPr>
        <w:t xml:space="preserve">th</w:t>
      </w:r>
      <w:r w:rsidDel="00000000" w:rsidR="00000000" w:rsidRPr="00000000">
        <w:rPr>
          <w:rtl w:val="0"/>
        </w:rPr>
        <w:t xml:space="preserve"> century</w:t>
      </w:r>
      <w:hyperlink r:id="rId46">
        <w:r w:rsidDel="00000000" w:rsidR="00000000" w:rsidRPr="00000000">
          <w:rPr>
            <w:color w:val="000000"/>
            <w:vertAlign w:val="superscript"/>
            <w:rtl w:val="0"/>
          </w:rPr>
          <w:t xml:space="preserve">40</w:t>
        </w:r>
      </w:hyperlink>
      <w:r w:rsidDel="00000000" w:rsidR="00000000" w:rsidRPr="00000000">
        <w:rPr>
          <w:rtl w:val="0"/>
        </w:rPr>
        <w:t xml:space="preserve">. The analysed cremation remains are extremely fragmented and show remarkable preservation conditions</w:t>
      </w:r>
      <w:hyperlink r:id="rId47">
        <w:r w:rsidDel="00000000" w:rsidR="00000000" w:rsidRPr="00000000">
          <w:rPr>
            <w:color w:val="000000"/>
            <w:vertAlign w:val="superscript"/>
            <w:rtl w:val="0"/>
          </w:rPr>
          <w:t xml:space="preserve">41,42</w:t>
        </w:r>
      </w:hyperlink>
      <w:r w:rsidDel="00000000" w:rsidR="00000000" w:rsidRPr="00000000">
        <w:rPr>
          <w:rtl w:val="0"/>
        </w:rPr>
        <w:t xml:space="preserve">. This observation indicates that the still glowing pyres were extinguished using a fluid, possibly to collect and bury the burned bones sooner</w:t>
      </w:r>
      <w:hyperlink r:id="rId48">
        <w:r w:rsidDel="00000000" w:rsidR="00000000" w:rsidRPr="00000000">
          <w:rPr>
            <w:color w:val="000000"/>
            <w:vertAlign w:val="superscript"/>
            <w:rtl w:val="0"/>
          </w:rPr>
          <w:t xml:space="preserve">40</w:t>
        </w:r>
      </w:hyperlink>
      <w:r w:rsidDel="00000000" w:rsidR="00000000" w:rsidRPr="00000000">
        <w:rPr>
          <w:rtl w:val="0"/>
        </w:rPr>
        <w:t xml:space="preserve">. Within multiple cremation remains Clinker (molten none) was found, demonstrating burning temperatures above 800 degrees Celsius</w:t>
      </w:r>
      <w:hyperlink r:id="rId49">
        <w:r w:rsidDel="00000000" w:rsidR="00000000" w:rsidRPr="00000000">
          <w:rPr>
            <w:color w:val="000000"/>
            <w:vertAlign w:val="superscript"/>
            <w:rtl w:val="0"/>
          </w:rPr>
          <w:t xml:space="preserve">43</w:t>
        </w:r>
      </w:hyperlink>
      <w:r w:rsidDel="00000000" w:rsidR="00000000" w:rsidRPr="00000000">
        <w:rPr>
          <w:rtl w:val="0"/>
        </w:rPr>
        <w:t xml:space="preserve">. Such temperatures could only be achieved using high-quality oak wood, a conclusion which was also verified by material analysis. Further, animal bones were found across the human bone remains. These may either represent food sacrifices or the leftovers of a funeral banquet. Across the individuals selected for aDNA analysis, five discrepancies between osteological and molecular sex were detected. This is not surprising in light of the small sample size and high fragmentation of the bone material. The prevalence of male individuals within the buried population is an important finding and the fundament of future demographic analyses of the local burial community.</w:t>
      </w:r>
    </w:p>
    <w:p w:rsidR="00000000" w:rsidDel="00000000" w:rsidP="00000000" w:rsidRDefault="00000000" w:rsidRPr="00000000" w14:paraId="000000EE">
      <w:pPr>
        <w:spacing w:after="240" w:lineRule="auto"/>
        <w:jc w:val="both"/>
        <w:rPr/>
      </w:pPr>
      <w:r w:rsidDel="00000000" w:rsidR="00000000" w:rsidRPr="00000000">
        <w:rPr>
          <w:u w:val="single"/>
          <w:rtl w:val="0"/>
        </w:rPr>
        <w:t xml:space="preserve">Provenance Note:</w:t>
      </w:r>
      <w:r w:rsidDel="00000000" w:rsidR="00000000" w:rsidRPr="00000000">
        <w:rPr>
          <w:rtl w:val="0"/>
        </w:rPr>
        <w:t xml:space="preserve"> Samples from Dunum were provided by the Niedersächsisches Institut für historische Küstenforschung (NIhK). Permission to analyse was granted to coauthor Stephan Schiffels in 2020.</w:t>
      </w:r>
    </w:p>
    <w:p w:rsidR="00000000" w:rsidDel="00000000" w:rsidP="00000000" w:rsidRDefault="00000000" w:rsidRPr="00000000" w14:paraId="000000EF">
      <w:pPr>
        <w:rPr/>
      </w:pPr>
      <w:r w:rsidDel="00000000" w:rsidR="00000000" w:rsidRPr="00000000">
        <w:rPr>
          <w:rtl w:val="0"/>
        </w:rPr>
      </w:r>
    </w:p>
    <w:p w:rsidR="00000000" w:rsidDel="00000000" w:rsidP="00000000" w:rsidRDefault="00000000" w:rsidRPr="00000000" w14:paraId="000000F0">
      <w:pPr>
        <w:pStyle w:val="Heading4"/>
        <w:rPr>
          <w:color w:val="000000"/>
        </w:rPr>
      </w:pPr>
      <w:bookmarkStart w:colFirst="0" w:colLast="0" w:name="_heading=h.1hmsyys" w:id="36"/>
      <w:bookmarkEnd w:id="36"/>
      <w:r w:rsidDel="00000000" w:rsidR="00000000" w:rsidRPr="00000000">
        <w:rPr>
          <w:color w:val="000000"/>
          <w:rtl w:val="0"/>
        </w:rPr>
        <w:t xml:space="preserve">Drantum, Cloppenburg, Lower Saxony</w:t>
      </w:r>
    </w:p>
    <w:p w:rsidR="00000000" w:rsidDel="00000000" w:rsidP="00000000" w:rsidRDefault="00000000" w:rsidRPr="00000000" w14:paraId="000000F1">
      <w:pPr>
        <w:rPr/>
      </w:pPr>
      <w:r w:rsidDel="00000000" w:rsidR="00000000" w:rsidRPr="00000000">
        <w:rPr>
          <w:rtl w:val="0"/>
        </w:rPr>
        <w:t xml:space="preserve">The burial ground at Drantumer Mühle has been known for a long time. It lay directly east of a destroyed megalithic grave, the so-called "Hexenberg". During excavations in 1906, a Franziska, an iron throwing axe, was recovered, which is certainly connected to the burial ground. In 1936, the first inhumation graves were discovered while digging sand, and then a small excavation took place in 1937. Although the site had been a listed building since 1939, sand was still being removed. Finally, the A1 motorway, which was to be built in 1964, led directly across the burial ground. As a result, the findings of the archaeological monument had to be secured by excavation in the endangered area within only four months. 511 inhumation graves, 18 cremation pits or "pyre graves", 24 horse burials and 12 post settlements were documented. The cemetery has certainly not been recorded in its entirety, not to mention the graves destroyed unobserved by sand mining.</w:t>
      </w:r>
    </w:p>
    <w:p w:rsidR="00000000" w:rsidDel="00000000" w:rsidP="00000000" w:rsidRDefault="00000000" w:rsidRPr="00000000" w14:paraId="000000F2">
      <w:pPr>
        <w:rPr/>
      </w:pPr>
      <w:r w:rsidDel="00000000" w:rsidR="00000000" w:rsidRPr="00000000">
        <w:rPr>
          <w:rtl w:val="0"/>
        </w:rPr>
        <w:t xml:space="preserve">Occupation began in the 7</w:t>
      </w:r>
      <w:r w:rsidDel="00000000" w:rsidR="00000000" w:rsidRPr="00000000">
        <w:rPr>
          <w:vertAlign w:val="superscript"/>
          <w:rtl w:val="0"/>
        </w:rPr>
        <w:t xml:space="preserve">th</w:t>
      </w:r>
      <w:r w:rsidDel="00000000" w:rsidR="00000000" w:rsidRPr="00000000">
        <w:rPr>
          <w:rtl w:val="0"/>
        </w:rPr>
        <w:t xml:space="preserve"> century and ended around the middle of the 9</w:t>
      </w:r>
      <w:r w:rsidDel="00000000" w:rsidR="00000000" w:rsidRPr="00000000">
        <w:rPr>
          <w:vertAlign w:val="superscript"/>
          <w:rtl w:val="0"/>
        </w:rPr>
        <w:t xml:space="preserve">th</w:t>
      </w:r>
      <w:r w:rsidDel="00000000" w:rsidR="00000000" w:rsidRPr="00000000">
        <w:rPr>
          <w:rtl w:val="0"/>
        </w:rPr>
        <w:t xml:space="preserve"> century. Drantum is one of the cemeteries with mixed occupation, i.e. inhumation and cremation graves occur side by side. In the early phase until the second half of the 8</w:t>
      </w:r>
      <w:r w:rsidDel="00000000" w:rsidR="00000000" w:rsidRPr="00000000">
        <w:rPr>
          <w:vertAlign w:val="superscript"/>
          <w:rtl w:val="0"/>
        </w:rPr>
        <w:t xml:space="preserve">th</w:t>
      </w:r>
      <w:r w:rsidDel="00000000" w:rsidR="00000000" w:rsidRPr="00000000">
        <w:rPr>
          <w:rtl w:val="0"/>
        </w:rPr>
        <w:t xml:space="preserve"> century cremations were common. In cremation graves, the cremated remains were filled into pits. In pyre graves, the cremated remains were mounded over. From the 7</w:t>
      </w:r>
      <w:r w:rsidDel="00000000" w:rsidR="00000000" w:rsidRPr="00000000">
        <w:rPr>
          <w:vertAlign w:val="superscript"/>
          <w:rtl w:val="0"/>
        </w:rPr>
        <w:t xml:space="preserve">th</w:t>
      </w:r>
      <w:r w:rsidDel="00000000" w:rsidR="00000000" w:rsidRPr="00000000">
        <w:rPr>
          <w:rtl w:val="0"/>
        </w:rPr>
        <w:t xml:space="preserve"> to the second half of the 8th century, north-south oriented inhumations also occurred. These include horse burials. At the end of the 8th and in the 9</w:t>
      </w:r>
      <w:r w:rsidDel="00000000" w:rsidR="00000000" w:rsidRPr="00000000">
        <w:rPr>
          <w:vertAlign w:val="superscript"/>
          <w:rtl w:val="0"/>
        </w:rPr>
        <w:t xml:space="preserve">th</w:t>
      </w:r>
      <w:r w:rsidDel="00000000" w:rsidR="00000000" w:rsidRPr="00000000">
        <w:rPr>
          <w:rtl w:val="0"/>
        </w:rPr>
        <w:t xml:space="preserve"> century, burials without grave goods in an east-west orientation appeared in the Christian manner. </w:t>
      </w:r>
    </w:p>
    <w:p w:rsidR="00000000" w:rsidDel="00000000" w:rsidP="00000000" w:rsidRDefault="00000000" w:rsidRPr="00000000" w14:paraId="000000F3">
      <w:pPr>
        <w:rPr/>
      </w:pPr>
      <w:r w:rsidDel="00000000" w:rsidR="00000000" w:rsidRPr="00000000">
        <w:rPr>
          <w:u w:val="single"/>
          <w:rtl w:val="0"/>
        </w:rPr>
        <w:t xml:space="preserve">Provenance Note:</w:t>
      </w:r>
      <w:r w:rsidDel="00000000" w:rsidR="00000000" w:rsidRPr="00000000">
        <w:rPr>
          <w:rtl w:val="0"/>
        </w:rPr>
        <w:t xml:space="preserve"> Samples from ​​Drantum were provided by the Landesmuseum Natur und Mensch Oldenburg. Permission to analyse was granted to coauthor Stephan Schiffels in 2020.</w:t>
      </w:r>
    </w:p>
    <w:p w:rsidR="00000000" w:rsidDel="00000000" w:rsidP="00000000" w:rsidRDefault="00000000" w:rsidRPr="00000000" w14:paraId="000000F4">
      <w:pPr>
        <w:rPr/>
      </w:pPr>
      <w:r w:rsidDel="00000000" w:rsidR="00000000" w:rsidRPr="00000000">
        <w:rPr>
          <w:rtl w:val="0"/>
        </w:rPr>
      </w:r>
    </w:p>
    <w:p w:rsidR="00000000" w:rsidDel="00000000" w:rsidP="00000000" w:rsidRDefault="00000000" w:rsidRPr="00000000" w14:paraId="000000F5">
      <w:pPr>
        <w:pStyle w:val="Heading4"/>
        <w:rPr>
          <w:color w:val="000000"/>
        </w:rPr>
      </w:pPr>
      <w:bookmarkStart w:colFirst="0" w:colLast="0" w:name="_heading=h.41mghml" w:id="37"/>
      <w:bookmarkEnd w:id="37"/>
      <w:r w:rsidDel="00000000" w:rsidR="00000000" w:rsidRPr="00000000">
        <w:rPr>
          <w:color w:val="000000"/>
          <w:rtl w:val="0"/>
        </w:rPr>
        <w:t xml:space="preserve">Häven, district of Kloster Tempzin, Ludwigslust-Parchim, Mecklenburg-Western Pomerania</w:t>
      </w:r>
    </w:p>
    <w:p w:rsidR="00000000" w:rsidDel="00000000" w:rsidP="00000000" w:rsidRDefault="00000000" w:rsidRPr="00000000" w14:paraId="000000F6">
      <w:pPr>
        <w:rPr/>
      </w:pPr>
      <w:r w:rsidDel="00000000" w:rsidR="00000000" w:rsidRPr="00000000">
        <w:rPr>
          <w:rtl w:val="0"/>
        </w:rPr>
        <w:t xml:space="preserve">The site of Häven lies on a sandy hill in the moraine area north of the lake Keetz. Since the second half of the 19</w:t>
      </w:r>
      <w:r w:rsidDel="00000000" w:rsidR="00000000" w:rsidRPr="00000000">
        <w:rPr>
          <w:vertAlign w:val="superscript"/>
          <w:rtl w:val="0"/>
        </w:rPr>
        <w:t xml:space="preserve">th</w:t>
      </w:r>
      <w:r w:rsidDel="00000000" w:rsidR="00000000" w:rsidRPr="00000000">
        <w:rPr>
          <w:rtl w:val="0"/>
        </w:rPr>
        <w:t xml:space="preserve"> century several graves were discovered at this site due to gravel extraction. The first three graves were discovered in 1868, another three graves came to light in the spring of 1869, one grave was examined in 1872 and in 1875 two further graves were discovered. The discoveries attracted a considerable interest, as the grave goods consisted of a wide range of Roman as well as local artefacts. Comparable grave inventories are known from Southern Scandinavia.</w:t>
      </w:r>
    </w:p>
    <w:p w:rsidR="00000000" w:rsidDel="00000000" w:rsidP="00000000" w:rsidRDefault="00000000" w:rsidRPr="00000000" w14:paraId="000000F7">
      <w:pPr>
        <w:rPr/>
      </w:pPr>
      <w:r w:rsidDel="00000000" w:rsidR="00000000" w:rsidRPr="00000000">
        <w:rPr>
          <w:rtl w:val="0"/>
        </w:rPr>
        <w:t xml:space="preserve">Nearly one century later, gravel extraction led to the find of three further graves in 1967 and 1968. These discoveries led to a preliminary examination in the southern part of the gravel pit, whereby another grave was discovered and excavated in 1971. </w:t>
      </w:r>
    </w:p>
    <w:p w:rsidR="00000000" w:rsidDel="00000000" w:rsidP="00000000" w:rsidRDefault="00000000" w:rsidRPr="00000000" w14:paraId="000000F8">
      <w:pPr>
        <w:rPr/>
      </w:pPr>
      <w:r w:rsidDel="00000000" w:rsidR="00000000" w:rsidRPr="00000000">
        <w:rPr>
          <w:rtl w:val="0"/>
        </w:rPr>
        <w:t xml:space="preserve">Until today 13 graves are known at Häven. Two of these are burials of children. All of the burials are inhumations with different tomb constructions including stone packages and wooden chambers. Based on the inventories, the graves are dated to the 3</w:t>
      </w:r>
      <w:r w:rsidDel="00000000" w:rsidR="00000000" w:rsidRPr="00000000">
        <w:rPr>
          <w:vertAlign w:val="superscript"/>
          <w:rtl w:val="0"/>
        </w:rPr>
        <w:t xml:space="preserve">rd</w:t>
      </w:r>
      <w:r w:rsidDel="00000000" w:rsidR="00000000" w:rsidRPr="00000000">
        <w:rPr>
          <w:rtl w:val="0"/>
        </w:rPr>
        <w:t xml:space="preserve"> century CE. They can be divided into several spatially separated groups. Similarities in construction and associated grave goods point to a relationship with graves in Zealand, Denmark, as well as at the Central German sites of Haßleben and Leuna.</w:t>
      </w:r>
    </w:p>
    <w:p w:rsidR="00000000" w:rsidDel="00000000" w:rsidP="00000000" w:rsidRDefault="00000000" w:rsidRPr="00000000" w14:paraId="000000F9">
      <w:pPr>
        <w:rPr/>
      </w:pPr>
      <w:r w:rsidDel="00000000" w:rsidR="00000000" w:rsidRPr="00000000">
        <w:rPr>
          <w:u w:val="single"/>
          <w:rtl w:val="0"/>
        </w:rPr>
        <w:t xml:space="preserve">Provenance Note:</w:t>
      </w:r>
      <w:r w:rsidDel="00000000" w:rsidR="00000000" w:rsidRPr="00000000">
        <w:rPr>
          <w:rtl w:val="0"/>
        </w:rPr>
        <w:t xml:space="preserve"> Samples from Häven were provided by the Landesamt für Kultur und Denkmalpflege Mecklenburg-Vorpommern. Permission to analyse was granted to coauthor Joscha Gretzinger in 2021.</w:t>
      </w:r>
    </w:p>
    <w:p w:rsidR="00000000" w:rsidDel="00000000" w:rsidP="00000000" w:rsidRDefault="00000000" w:rsidRPr="00000000" w14:paraId="000000FA">
      <w:pPr>
        <w:rPr/>
      </w:pPr>
      <w:r w:rsidDel="00000000" w:rsidR="00000000" w:rsidRPr="00000000">
        <w:rPr>
          <w:rtl w:val="0"/>
        </w:rPr>
      </w:r>
    </w:p>
    <w:p w:rsidR="00000000" w:rsidDel="00000000" w:rsidP="00000000" w:rsidRDefault="00000000" w:rsidRPr="00000000" w14:paraId="000000FB">
      <w:pPr>
        <w:pStyle w:val="Heading4"/>
        <w:spacing w:before="240" w:lineRule="auto"/>
        <w:rPr>
          <w:color w:val="000000"/>
        </w:rPr>
      </w:pPr>
      <w:bookmarkStart w:colFirst="0" w:colLast="0" w:name="_heading=h.2grqrue" w:id="38"/>
      <w:bookmarkEnd w:id="38"/>
      <w:r w:rsidDel="00000000" w:rsidR="00000000" w:rsidRPr="00000000">
        <w:rPr>
          <w:color w:val="000000"/>
          <w:rtl w:val="0"/>
        </w:rPr>
        <w:t xml:space="preserve">Hiddestorf, Hannover, Lower Saxony</w:t>
      </w:r>
    </w:p>
    <w:p w:rsidR="00000000" w:rsidDel="00000000" w:rsidP="00000000" w:rsidRDefault="00000000" w:rsidRPr="00000000" w14:paraId="000000FC">
      <w:pPr>
        <w:spacing w:after="240" w:lineRule="auto"/>
        <w:rPr/>
      </w:pPr>
      <w:r w:rsidDel="00000000" w:rsidR="00000000" w:rsidRPr="00000000">
        <w:rPr>
          <w:rtl w:val="0"/>
        </w:rPr>
        <w:t xml:space="preserve">Since excavations from 2008, a pre- and protohistoric settlement north of the town of Hiddestorf, City of Hemmingen, Hanover region, Lower Saxony, Northern Germany, has been known. Rescue excavations were carried out again in 2012, during which further remains of houses, haystacks and wells were found. According to </w:t>
      </w:r>
      <w:r w:rsidDel="00000000" w:rsidR="00000000" w:rsidRPr="00000000">
        <w:rPr>
          <w:vertAlign w:val="superscript"/>
          <w:rtl w:val="0"/>
        </w:rPr>
        <w:t xml:space="preserve">14</w:t>
      </w:r>
      <w:r w:rsidDel="00000000" w:rsidR="00000000" w:rsidRPr="00000000">
        <w:rPr>
          <w:rtl w:val="0"/>
        </w:rPr>
        <w:t xml:space="preserve">C-data, there was a settlement continuity between the 1</w:t>
      </w:r>
      <w:r w:rsidDel="00000000" w:rsidR="00000000" w:rsidRPr="00000000">
        <w:rPr>
          <w:vertAlign w:val="superscript"/>
          <w:rtl w:val="0"/>
        </w:rPr>
        <w:t xml:space="preserve">st</w:t>
      </w:r>
      <w:r w:rsidDel="00000000" w:rsidR="00000000" w:rsidRPr="00000000">
        <w:rPr>
          <w:rtl w:val="0"/>
        </w:rPr>
        <w:t xml:space="preserve"> century BC and the 5</w:t>
      </w:r>
      <w:r w:rsidDel="00000000" w:rsidR="00000000" w:rsidRPr="00000000">
        <w:rPr>
          <w:vertAlign w:val="superscript"/>
          <w:rtl w:val="0"/>
        </w:rPr>
        <w:t xml:space="preserve">th</w:t>
      </w:r>
      <w:r w:rsidDel="00000000" w:rsidR="00000000" w:rsidRPr="00000000">
        <w:rPr>
          <w:rtl w:val="0"/>
        </w:rPr>
        <w:t xml:space="preserve">/6</w:t>
      </w:r>
      <w:r w:rsidDel="00000000" w:rsidR="00000000" w:rsidRPr="00000000">
        <w:rPr>
          <w:vertAlign w:val="superscript"/>
          <w:rtl w:val="0"/>
        </w:rPr>
        <w:t xml:space="preserve">th</w:t>
      </w:r>
      <w:r w:rsidDel="00000000" w:rsidR="00000000" w:rsidRPr="00000000">
        <w:rPr>
          <w:rtl w:val="0"/>
        </w:rPr>
        <w:t xml:space="preserve"> century AD. The area covers approx. four hectares and is located on the northern edge of a watercourse with a possible ford situation. The site is furthermore situated in a favourable location in terms of traffic topography lying on the route of the Hellweg, the main prehistoric west-east trade route, in a fertile loess region</w:t>
      </w:r>
      <w:hyperlink r:id="rId50">
        <w:r w:rsidDel="00000000" w:rsidR="00000000" w:rsidRPr="00000000">
          <w:rPr>
            <w:color w:val="000000"/>
            <w:vertAlign w:val="superscript"/>
            <w:rtl w:val="0"/>
          </w:rPr>
          <w:t xml:space="preserve">44</w:t>
        </w:r>
      </w:hyperlink>
      <w:r w:rsidDel="00000000" w:rsidR="00000000" w:rsidRPr="00000000">
        <w:rPr>
          <w:rtl w:val="0"/>
        </w:rPr>
        <w:t xml:space="preserve">.</w:t>
      </w:r>
    </w:p>
    <w:p w:rsidR="00000000" w:rsidDel="00000000" w:rsidP="00000000" w:rsidRDefault="00000000" w:rsidRPr="00000000" w14:paraId="000000FD">
      <w:pPr>
        <w:spacing w:after="240" w:before="240" w:lineRule="auto"/>
        <w:rPr/>
      </w:pPr>
      <w:r w:rsidDel="00000000" w:rsidR="00000000" w:rsidRPr="00000000">
        <w:rPr>
          <w:rtl w:val="0"/>
        </w:rPr>
        <w:t xml:space="preserve">The discovery of a small necropolis with five west-east-oriented inhumation burials and at least one horse grave in the middle of the settlement caused a sensation. Finds and </w:t>
      </w:r>
      <w:r w:rsidDel="00000000" w:rsidR="00000000" w:rsidRPr="00000000">
        <w:rPr>
          <w:vertAlign w:val="superscript"/>
          <w:rtl w:val="0"/>
        </w:rPr>
        <w:t xml:space="preserve">14</w:t>
      </w:r>
      <w:r w:rsidDel="00000000" w:rsidR="00000000" w:rsidRPr="00000000">
        <w:rPr>
          <w:rtl w:val="0"/>
        </w:rPr>
        <w:t xml:space="preserve">C-dates show that it was used in the 5</w:t>
      </w:r>
      <w:r w:rsidDel="00000000" w:rsidR="00000000" w:rsidRPr="00000000">
        <w:rPr>
          <w:vertAlign w:val="superscript"/>
          <w:rtl w:val="0"/>
        </w:rPr>
        <w:t xml:space="preserve">th</w:t>
      </w:r>
      <w:r w:rsidDel="00000000" w:rsidR="00000000" w:rsidRPr="00000000">
        <w:rPr>
          <w:rtl w:val="0"/>
        </w:rPr>
        <w:t xml:space="preserve">/early 6</w:t>
      </w:r>
      <w:r w:rsidDel="00000000" w:rsidR="00000000" w:rsidRPr="00000000">
        <w:rPr>
          <w:vertAlign w:val="superscript"/>
          <w:rtl w:val="0"/>
        </w:rPr>
        <w:t xml:space="preserve">th</w:t>
      </w:r>
      <w:r w:rsidDel="00000000" w:rsidR="00000000" w:rsidRPr="00000000">
        <w:rPr>
          <w:rtl w:val="0"/>
        </w:rPr>
        <w:t xml:space="preserve"> century. Not only the type of burial – actually cremation graves were common in this region at that time – but also the design of the necropolis and the grave goods are remarkable. A big central chamber grave (Bef. 1995, sample HID001) was surrounded and highlighted by a rectangular wooden palisade. The grave contained a male skeleton with an extraordinary weapon equipment, personal tools and clothing components as well as considerable food offerings and an extensive tableware including several ceramic vessels, a glass drinking bowl and an exclusive bronze hand wash basin. His riding horse was also buried in a wooden chamber a few meters eastern</w:t>
      </w:r>
      <w:hyperlink r:id="rId51">
        <w:r w:rsidDel="00000000" w:rsidR="00000000" w:rsidRPr="00000000">
          <w:rPr>
            <w:color w:val="000000"/>
            <w:vertAlign w:val="superscript"/>
            <w:rtl w:val="0"/>
          </w:rPr>
          <w:t xml:space="preserve">45</w:t>
        </w:r>
      </w:hyperlink>
      <w:r w:rsidDel="00000000" w:rsidR="00000000" w:rsidRPr="00000000">
        <w:rPr>
          <w:rtl w:val="0"/>
        </w:rPr>
        <w:t xml:space="preserve">. On the other side, western of the central grave, there was a very similar inhumation grave (Bef. 2053, sample HID003). It was only slightly smaller, but also surrounded by a rectangular grave enclosure and contained, among others, an outstanding glass claw beaker. This grave was flanked to the south and to the north by two further burials with rather poor grave goods containing pottery and weapons (Bef. 2050, sample HID002 and Bef. 2055, sample HID004), furthermore it was overlaid by a younger grave without any objects (Bef. 2054, no sample material remained)</w:t>
      </w:r>
      <w:hyperlink r:id="rId52">
        <w:r w:rsidDel="00000000" w:rsidR="00000000" w:rsidRPr="00000000">
          <w:rPr>
            <w:color w:val="000000"/>
            <w:vertAlign w:val="superscript"/>
            <w:rtl w:val="0"/>
          </w:rPr>
          <w:t xml:space="preserve">46</w:t>
        </w:r>
      </w:hyperlink>
      <w:r w:rsidDel="00000000" w:rsidR="00000000" w:rsidRPr="00000000">
        <w:rPr>
          <w:rtl w:val="0"/>
        </w:rPr>
        <w:t xml:space="preserve">.</w:t>
      </w:r>
    </w:p>
    <w:p w:rsidR="00000000" w:rsidDel="00000000" w:rsidP="00000000" w:rsidRDefault="00000000" w:rsidRPr="00000000" w14:paraId="000000FE">
      <w:pPr>
        <w:spacing w:after="240" w:before="240" w:lineRule="auto"/>
        <w:rPr/>
      </w:pPr>
      <w:r w:rsidDel="00000000" w:rsidR="00000000" w:rsidRPr="00000000">
        <w:rPr>
          <w:rtl w:val="0"/>
        </w:rPr>
        <w:t xml:space="preserve">The strictly symmetrical design, the elaborate grave construction, the quantity and quality of the grave goods show that the simultaneous burials followed a conscious hierarchical staging. Burial custom and grave goods show extensive long-distance contacts into the Merovingian realms in the west and to the Kingdom of the Thuringians in the east</w:t>
      </w:r>
      <w:hyperlink r:id="rId53">
        <w:r w:rsidDel="00000000" w:rsidR="00000000" w:rsidRPr="00000000">
          <w:rPr>
            <w:color w:val="000000"/>
            <w:vertAlign w:val="superscript"/>
            <w:rtl w:val="0"/>
          </w:rPr>
          <w:t xml:space="preserve">47</w:t>
        </w:r>
      </w:hyperlink>
      <w:r w:rsidDel="00000000" w:rsidR="00000000" w:rsidRPr="00000000">
        <w:rPr>
          <w:rtl w:val="0"/>
        </w:rPr>
        <w:t xml:space="preserve">. The continuity of the settlement and the fact that most of the ceramic vessels can be regarded as local production however emphasize the local, northwestern ties. Stable isotope analyses of human teeth (comparison of M1 and M3) and a horse tooth (laserablation MC-ICP mass spectrometry) do indeed proof mobility during lifetime, and they also suggest a common origin for the two individuals 1995 and 2053, but they do not refer to a non-local origin. The small necropolis represents some of the oldest inhumation graves of the region. It reflects the local elite and represents forms of allegiance systems, but it does not represent biologically or socially complete societies – the majority of the population adhered to the traditional cremation customs for several further generations.</w:t>
      </w:r>
    </w:p>
    <w:p w:rsidR="00000000" w:rsidDel="00000000" w:rsidP="00000000" w:rsidRDefault="00000000" w:rsidRPr="00000000" w14:paraId="000000FF">
      <w:pPr>
        <w:rPr/>
      </w:pPr>
      <w:r w:rsidDel="00000000" w:rsidR="00000000" w:rsidRPr="00000000">
        <w:rPr>
          <w:u w:val="single"/>
          <w:rtl w:val="0"/>
        </w:rPr>
        <w:t xml:space="preserve">Provenance Note:</w:t>
      </w:r>
      <w:r w:rsidDel="00000000" w:rsidR="00000000" w:rsidRPr="00000000">
        <w:rPr>
          <w:rtl w:val="0"/>
        </w:rPr>
        <w:t xml:space="preserve"> Samples from Hiddestorf were provided by the Landesmuseum Hannover. Permission to analyse was granted to coauthor Stephan Schiffels in 2020.</w:t>
      </w:r>
    </w:p>
    <w:p w:rsidR="00000000" w:rsidDel="00000000" w:rsidP="00000000" w:rsidRDefault="00000000" w:rsidRPr="00000000" w14:paraId="00000100">
      <w:pPr>
        <w:rPr/>
      </w:pPr>
      <w:r w:rsidDel="00000000" w:rsidR="00000000" w:rsidRPr="00000000">
        <w:rPr>
          <w:rtl w:val="0"/>
        </w:rPr>
      </w:r>
    </w:p>
    <w:p w:rsidR="00000000" w:rsidDel="00000000" w:rsidP="00000000" w:rsidRDefault="00000000" w:rsidRPr="00000000" w14:paraId="00000101">
      <w:pPr>
        <w:pStyle w:val="Heading4"/>
        <w:rPr>
          <w:color w:val="000000"/>
        </w:rPr>
      </w:pPr>
      <w:bookmarkStart w:colFirst="0" w:colLast="0" w:name="_heading=h.vx1227" w:id="39"/>
      <w:bookmarkEnd w:id="39"/>
      <w:r w:rsidDel="00000000" w:rsidR="00000000" w:rsidRPr="00000000">
        <w:rPr>
          <w:color w:val="000000"/>
          <w:rtl w:val="0"/>
        </w:rPr>
        <w:t xml:space="preserve">Issendorf, district of Stade, Lower Saxony</w:t>
      </w:r>
    </w:p>
    <w:p w:rsidR="00000000" w:rsidDel="00000000" w:rsidP="00000000" w:rsidRDefault="00000000" w:rsidRPr="00000000" w14:paraId="00000102">
      <w:pPr>
        <w:rPr/>
      </w:pPr>
      <w:r w:rsidDel="00000000" w:rsidR="00000000" w:rsidRPr="00000000">
        <w:rPr>
          <w:rtl w:val="0"/>
        </w:rPr>
        <w:t xml:space="preserve">The cemetery at Issendorf was discovered in the first half of the 18</w:t>
      </w:r>
      <w:r w:rsidDel="00000000" w:rsidR="00000000" w:rsidRPr="00000000">
        <w:rPr>
          <w:vertAlign w:val="superscript"/>
          <w:rtl w:val="0"/>
        </w:rPr>
        <w:t xml:space="preserve">th</w:t>
      </w:r>
      <w:r w:rsidDel="00000000" w:rsidR="00000000" w:rsidRPr="00000000">
        <w:rPr>
          <w:rtl w:val="0"/>
        </w:rPr>
        <w:t xml:space="preserve"> century and had been selectively excavated since then. Regular archaeological excavations were conducted in several campaigns from the 1960s to the 1990s culminating in a research project at the Lower Saxony State Museum. During the different field activities more than 5000 cremation urns, around 20 remains of pyres and 79 inhumation graves were discovered. The cemetery is situated on a shallow elevation and reuses the area around a megalithic tomb dating to the Neolithic. With an extrapolated number of originally more than 6000 cremations it is one of the largest sites of the migration period in the so-called Elbe-Weser triangle. According to the artefact assemblages the burials are dated to the period between the 4</w:t>
      </w:r>
      <w:r w:rsidDel="00000000" w:rsidR="00000000" w:rsidRPr="00000000">
        <w:rPr>
          <w:vertAlign w:val="superscript"/>
          <w:rtl w:val="0"/>
        </w:rPr>
        <w:t xml:space="preserve">th </w:t>
      </w:r>
      <w:r w:rsidDel="00000000" w:rsidR="00000000" w:rsidRPr="00000000">
        <w:rPr>
          <w:rtl w:val="0"/>
        </w:rPr>
        <w:t xml:space="preserve">to the 6</w:t>
      </w:r>
      <w:r w:rsidDel="00000000" w:rsidR="00000000" w:rsidRPr="00000000">
        <w:rPr>
          <w:vertAlign w:val="superscript"/>
          <w:rtl w:val="0"/>
        </w:rPr>
        <w:t xml:space="preserve">th</w:t>
      </w:r>
      <w:r w:rsidDel="00000000" w:rsidR="00000000" w:rsidRPr="00000000">
        <w:rPr>
          <w:rtl w:val="0"/>
        </w:rPr>
        <w:t xml:space="preserve"> century CE. Funeral rites and the material culture show clear similarities to artefacts – especially pottery and brooches – retrieved from early Anglo-Saxon cemeteries in England. The large archaeological potential is somewhat obstructed by the poor preservation of bone at the inhumation graves, resulting from the sandy soil. Thus, only the remains of two individuals could be integrated into this study as sufficient skeletal parts for DNA analysis were scarcely preserved. The burial of a juvenile female (grave 3540, ISS001) which provided sufficient hard tissue for aDNA analysis is dated on the basis of the two deposited cruciform brooches to the second phase of the Issendorf inhumation graves. The calibrated radiocarbon date places the burial in the second half of the 4</w:t>
      </w:r>
      <w:r w:rsidDel="00000000" w:rsidR="00000000" w:rsidRPr="00000000">
        <w:rPr>
          <w:vertAlign w:val="superscript"/>
          <w:rtl w:val="0"/>
        </w:rPr>
        <w:t xml:space="preserve">th</w:t>
      </w:r>
      <w:r w:rsidDel="00000000" w:rsidR="00000000" w:rsidRPr="00000000">
        <w:rPr>
          <w:rtl w:val="0"/>
        </w:rPr>
        <w:t xml:space="preserve"> century. In contrast, grave 3543 (ISS002) yielded no indicative artefacts, which would allow us to narrow down its dating itself, but according to its location on the cemetery a dating to the second or third phase (approx. 460–510 CE) seems plausible.</w:t>
      </w:r>
    </w:p>
    <w:p w:rsidR="00000000" w:rsidDel="00000000" w:rsidP="00000000" w:rsidRDefault="00000000" w:rsidRPr="00000000" w14:paraId="00000103">
      <w:pPr>
        <w:rPr/>
      </w:pPr>
      <w:r w:rsidDel="00000000" w:rsidR="00000000" w:rsidRPr="00000000">
        <w:rPr>
          <w:u w:val="single"/>
          <w:rtl w:val="0"/>
        </w:rPr>
        <w:t xml:space="preserve">Provenance Note:</w:t>
      </w:r>
      <w:r w:rsidDel="00000000" w:rsidR="00000000" w:rsidRPr="00000000">
        <w:rPr>
          <w:rtl w:val="0"/>
        </w:rPr>
        <w:t xml:space="preserve"> Samples from Issendorf were provided by the Landesmuseum Hannover. Permission to analyse was granted to coauthor Stephan Schiffels in 2020.</w:t>
      </w:r>
    </w:p>
    <w:p w:rsidR="00000000" w:rsidDel="00000000" w:rsidP="00000000" w:rsidRDefault="00000000" w:rsidRPr="00000000" w14:paraId="00000104">
      <w:pPr>
        <w:rPr/>
      </w:pPr>
      <w:r w:rsidDel="00000000" w:rsidR="00000000" w:rsidRPr="00000000">
        <w:rPr>
          <w:rtl w:val="0"/>
        </w:rPr>
      </w:r>
    </w:p>
    <w:p w:rsidR="00000000" w:rsidDel="00000000" w:rsidP="00000000" w:rsidRDefault="00000000" w:rsidRPr="00000000" w14:paraId="00000105">
      <w:pPr>
        <w:pStyle w:val="Heading4"/>
        <w:rPr>
          <w:color w:val="000000"/>
        </w:rPr>
      </w:pPr>
      <w:bookmarkStart w:colFirst="0" w:colLast="0" w:name="_heading=h.3fwokq0" w:id="40"/>
      <w:bookmarkEnd w:id="40"/>
      <w:r w:rsidDel="00000000" w:rsidR="00000000" w:rsidRPr="00000000">
        <w:rPr>
          <w:color w:val="000000"/>
          <w:rtl w:val="0"/>
        </w:rPr>
        <w:t xml:space="preserve">Liebenau, Nienburg/Weser, Lower Saxony</w:t>
      </w:r>
    </w:p>
    <w:p w:rsidR="00000000" w:rsidDel="00000000" w:rsidP="00000000" w:rsidRDefault="00000000" w:rsidRPr="00000000" w14:paraId="00000106">
      <w:pPr>
        <w:rPr/>
      </w:pPr>
      <w:r w:rsidDel="00000000" w:rsidR="00000000" w:rsidRPr="00000000">
        <w:rPr>
          <w:rtl w:val="0"/>
        </w:rPr>
        <w:t xml:space="preserve">The site has been known since the early 20</w:t>
      </w:r>
      <w:r w:rsidDel="00000000" w:rsidR="00000000" w:rsidRPr="00000000">
        <w:rPr>
          <w:vertAlign w:val="superscript"/>
          <w:rtl w:val="0"/>
        </w:rPr>
        <w:t xml:space="preserve">th</w:t>
      </w:r>
      <w:r w:rsidDel="00000000" w:rsidR="00000000" w:rsidRPr="00000000">
        <w:rPr>
          <w:rtl w:val="0"/>
        </w:rPr>
        <w:t xml:space="preserve"> century. The first excavations were conducted following accidental discoveries while sand was extracted for a brick manufacture. Following its initial discovery regular excavations were subsequently conducted and led to a long-term research project at the Lower Saxony State Museum. The cemetery is situated on an inland dune and was in use from the 4</w:t>
      </w:r>
      <w:r w:rsidDel="00000000" w:rsidR="00000000" w:rsidRPr="00000000">
        <w:rPr>
          <w:vertAlign w:val="superscript"/>
          <w:rtl w:val="0"/>
        </w:rPr>
        <w:t xml:space="preserve">th</w:t>
      </w:r>
      <w:r w:rsidDel="00000000" w:rsidR="00000000" w:rsidRPr="00000000">
        <w:rPr>
          <w:rtl w:val="0"/>
        </w:rPr>
        <w:t xml:space="preserve"> to the 9</w:t>
      </w:r>
      <w:r w:rsidDel="00000000" w:rsidR="00000000" w:rsidRPr="00000000">
        <w:rPr>
          <w:vertAlign w:val="superscript"/>
          <w:rtl w:val="0"/>
        </w:rPr>
        <w:t xml:space="preserve">th</w:t>
      </w:r>
      <w:r w:rsidDel="00000000" w:rsidR="00000000" w:rsidRPr="00000000">
        <w:rPr>
          <w:rtl w:val="0"/>
        </w:rPr>
        <w:t xml:space="preserve"> century CE. The excavations yielded a total of 522 graves, among them 143 inhumations as well as few horse and dog burials. The cemetery at Liebenau is an exceptional source for early medieval archaeology in northern Central Germany because of its long usage and the presence of richly furnished inhumation and cremation burials. According to the artefacts these assemblages mirror the integration of the population into different supraregional networks. During the early phases of the cemetery, assemblages show similarities to the Elbe-Weser-triangle and Early Anglo Saxon England, whilst in the later phases other connections preponderate. The preservation of bone is predominantly poor and fragments which are significant for DNA analysis were usually decayed. Despite this limitation by taphonomy, a wide spectrum of chronologically distinguishable burials was chosen for this study. These burials are primarily dated by brooch types: graves P9/A1 and N12/A2 (LBU009 and LBU002 approx. 400–450 CE), M11/A4 (LBU003 approx. 450–500 CE), H12/A4 and H12/A6 (LBU005 and LBU008 approx. 550–600 CE), J11/A2 (LBU001 approx. 600–650 CE), H11/A1 (LBU004 approx. 700–750 CE). The individuals from graves L12/A1(LBU007), J15/A1 (LBU010) lacked indicative artefacts. This is equally true for H9/A3 (LBU006) which could be broadly assigned to the 9</w:t>
      </w:r>
      <w:r w:rsidDel="00000000" w:rsidR="00000000" w:rsidRPr="00000000">
        <w:rPr>
          <w:vertAlign w:val="superscript"/>
          <w:rtl w:val="0"/>
        </w:rPr>
        <w:t xml:space="preserve">th</w:t>
      </w:r>
      <w:r w:rsidDel="00000000" w:rsidR="00000000" w:rsidRPr="00000000">
        <w:rPr>
          <w:rtl w:val="0"/>
        </w:rPr>
        <w:t xml:space="preserve"> century by radiocarbon dating. In summary, a significant selection of well-furnished inhumation burials was integrated into this study, in particular an outstanding burial with the equipment of a gold smith (H12/A6). But aDNA was in most cases too badly preserved for genome-wide analyses.</w:t>
      </w:r>
    </w:p>
    <w:p w:rsidR="00000000" w:rsidDel="00000000" w:rsidP="00000000" w:rsidRDefault="00000000" w:rsidRPr="00000000" w14:paraId="00000107">
      <w:pPr>
        <w:rPr/>
      </w:pPr>
      <w:r w:rsidDel="00000000" w:rsidR="00000000" w:rsidRPr="00000000">
        <w:rPr>
          <w:u w:val="single"/>
          <w:rtl w:val="0"/>
        </w:rPr>
        <w:t xml:space="preserve">Provenance Note:</w:t>
      </w:r>
      <w:r w:rsidDel="00000000" w:rsidR="00000000" w:rsidRPr="00000000">
        <w:rPr>
          <w:rtl w:val="0"/>
        </w:rPr>
        <w:t xml:space="preserve"> Samples from Liebenau were provided by the Landesmuseum Hannover. Permission to analyse was granted to coauthor Stephan Schiffels in 2020.</w:t>
      </w:r>
    </w:p>
    <w:p w:rsidR="00000000" w:rsidDel="00000000" w:rsidP="00000000" w:rsidRDefault="00000000" w:rsidRPr="00000000" w14:paraId="00000108">
      <w:pPr>
        <w:rPr/>
      </w:pPr>
      <w:r w:rsidDel="00000000" w:rsidR="00000000" w:rsidRPr="00000000">
        <w:rPr>
          <w:rtl w:val="0"/>
        </w:rPr>
      </w:r>
    </w:p>
    <w:p w:rsidR="00000000" w:rsidDel="00000000" w:rsidP="00000000" w:rsidRDefault="00000000" w:rsidRPr="00000000" w14:paraId="00000109">
      <w:pPr>
        <w:pStyle w:val="Heading4"/>
        <w:rPr>
          <w:color w:val="000000"/>
        </w:rPr>
      </w:pPr>
      <w:bookmarkStart w:colFirst="0" w:colLast="0" w:name="_heading=h.1v1yuxt" w:id="41"/>
      <w:bookmarkEnd w:id="41"/>
      <w:r w:rsidDel="00000000" w:rsidR="00000000" w:rsidRPr="00000000">
        <w:rPr>
          <w:color w:val="000000"/>
          <w:rtl w:val="0"/>
        </w:rPr>
        <w:t xml:space="preserve">Schleswig, Rathausmarkt, Schleswig-Flensburg, Schleswig-Holstein</w:t>
      </w:r>
    </w:p>
    <w:p w:rsidR="00000000" w:rsidDel="00000000" w:rsidP="00000000" w:rsidRDefault="00000000" w:rsidRPr="00000000" w14:paraId="0000010A">
      <w:pPr>
        <w:rPr/>
      </w:pPr>
      <w:r w:rsidDel="00000000" w:rsidR="00000000" w:rsidRPr="00000000">
        <w:rPr>
          <w:rtl w:val="0"/>
        </w:rPr>
        <w:t xml:space="preserve">Dating to 1070 to 1210 CE, the early medieval city of Schleswig represents one of the best studied sites in Northern Germany due to exceptional preservation conditions</w:t>
      </w:r>
      <w:hyperlink r:id="rId54">
        <w:r w:rsidDel="00000000" w:rsidR="00000000" w:rsidRPr="00000000">
          <w:rPr>
            <w:color w:val="000000"/>
            <w:vertAlign w:val="superscript"/>
            <w:rtl w:val="0"/>
          </w:rPr>
          <w:t xml:space="preserve">48</w:t>
        </w:r>
      </w:hyperlink>
      <w:r w:rsidDel="00000000" w:rsidR="00000000" w:rsidRPr="00000000">
        <w:rPr>
          <w:rtl w:val="0"/>
        </w:rPr>
        <w:t xml:space="preserve">. Its history is intrinsically tied to the prosperous ‘Viking’ trading centre Haithabu (8</w:t>
      </w:r>
      <w:r w:rsidDel="00000000" w:rsidR="00000000" w:rsidRPr="00000000">
        <w:rPr>
          <w:vertAlign w:val="superscript"/>
          <w:rtl w:val="0"/>
        </w:rPr>
        <w:t xml:space="preserve">th</w:t>
      </w:r>
      <w:r w:rsidDel="00000000" w:rsidR="00000000" w:rsidRPr="00000000">
        <w:rPr>
          <w:rtl w:val="0"/>
        </w:rPr>
        <w:t xml:space="preserve"> century to 1066 CE). Both settlements coexisted shortly and represent notable consecutive trading centres characterised by a cultural transition</w:t>
      </w:r>
      <w:hyperlink r:id="rId55">
        <w:r w:rsidDel="00000000" w:rsidR="00000000" w:rsidRPr="00000000">
          <w:rPr>
            <w:color w:val="000000"/>
            <w:vertAlign w:val="superscript"/>
            <w:rtl w:val="0"/>
          </w:rPr>
          <w:t xml:space="preserve">48–50</w:t>
        </w:r>
      </w:hyperlink>
      <w:r w:rsidDel="00000000" w:rsidR="00000000" w:rsidRPr="00000000">
        <w:rPr>
          <w:rtl w:val="0"/>
        </w:rPr>
        <w:t xml:space="preserve">. Strategically located at the connecting transit corridor between North and Baltic Sea, the Schlei Fjord enabled the surveillance of an extensive network of trading routes, controlling and exchanging raw materials and goods across borders</w:t>
      </w:r>
      <w:hyperlink r:id="rId56">
        <w:r w:rsidDel="00000000" w:rsidR="00000000" w:rsidRPr="00000000">
          <w:rPr>
            <w:color w:val="000000"/>
            <w:vertAlign w:val="superscript"/>
            <w:rtl w:val="0"/>
          </w:rPr>
          <w:t xml:space="preserve">51,52</w:t>
        </w:r>
      </w:hyperlink>
      <w:r w:rsidDel="00000000" w:rsidR="00000000" w:rsidRPr="00000000">
        <w:rPr>
          <w:rtl w:val="0"/>
        </w:rPr>
        <w:t xml:space="preserve">. Pavement workings in 1982 opened the possibility to rescue-excavate the market square (Rathausmarkt) of Schleswig, as part of the excavation program in the old city centre from 1964 to 1984</w:t>
      </w:r>
      <w:hyperlink r:id="rId57">
        <w:r w:rsidDel="00000000" w:rsidR="00000000" w:rsidRPr="00000000">
          <w:rPr>
            <w:color w:val="000000"/>
            <w:vertAlign w:val="superscript"/>
            <w:rtl w:val="0"/>
          </w:rPr>
          <w:t xml:space="preserve">48</w:t>
        </w:r>
      </w:hyperlink>
      <w:r w:rsidDel="00000000" w:rsidR="00000000" w:rsidRPr="00000000">
        <w:rPr>
          <w:rtl w:val="0"/>
        </w:rPr>
        <w:t xml:space="preserve">. An area of 250 m² was excavated, revealing foundations of a former church and a densely occupied Christian graveyard with complex stratigraphy. At a depth of 3 m, 240 graves were found, comprising 259 skeletons. High groundwater levels and a 2 m thick dung layer created humid and nearly anaerobic conditions leading to a remarkable preservation of wooden coffins and soft tissues of the buried individuals. Dendrochronological analyses of 28 wooden coffins resulted in absolute dates (1082 to 1205 CE). A full range of extensive bioarchaological analyses have been conducted so far, e.g. osteological, soft tissue and decomposition analyses</w:t>
      </w:r>
      <w:hyperlink r:id="rId58">
        <w:r w:rsidDel="00000000" w:rsidR="00000000" w:rsidRPr="00000000">
          <w:rPr>
            <w:color w:val="000000"/>
            <w:vertAlign w:val="superscript"/>
            <w:rtl w:val="0"/>
          </w:rPr>
          <w:t xml:space="preserve">48</w:t>
        </w:r>
      </w:hyperlink>
      <w:r w:rsidDel="00000000" w:rsidR="00000000" w:rsidRPr="00000000">
        <w:rPr>
          <w:rtl w:val="0"/>
        </w:rPr>
        <w:t xml:space="preserve">. A young adult female was buried in a unique mixed tuff-brick grave (Grave 100) which could be stratigraphically dated to 1180-1190 CE. While brick was locally available from 1160 onwards, tuff had to be imported from the Rhineland. The grave construction (Grave 214) of an adult man (22-33 years) is singular among the graveyard as his wooden coffin was placed on a bed of charcoal. Similar burial contexts have been reported from early medieval cemeteries in Lund, Great Britain and France</w:t>
      </w:r>
      <w:hyperlink r:id="rId59">
        <w:r w:rsidDel="00000000" w:rsidR="00000000" w:rsidRPr="00000000">
          <w:rPr>
            <w:color w:val="000000"/>
            <w:vertAlign w:val="superscript"/>
            <w:rtl w:val="0"/>
          </w:rPr>
          <w:t xml:space="preserve">48,53</w:t>
        </w:r>
      </w:hyperlink>
      <w:r w:rsidDel="00000000" w:rsidR="00000000" w:rsidRPr="00000000">
        <w:rPr>
          <w:rtl w:val="0"/>
        </w:rPr>
        <w:t xml:space="preserve">.</w:t>
      </w:r>
    </w:p>
    <w:p w:rsidR="00000000" w:rsidDel="00000000" w:rsidP="00000000" w:rsidRDefault="00000000" w:rsidRPr="00000000" w14:paraId="0000010B">
      <w:pPr>
        <w:rPr/>
      </w:pPr>
      <w:r w:rsidDel="00000000" w:rsidR="00000000" w:rsidRPr="00000000">
        <w:rPr>
          <w:u w:val="single"/>
          <w:rtl w:val="0"/>
        </w:rPr>
        <w:t xml:space="preserve">Provenance Note:</w:t>
      </w:r>
      <w:r w:rsidDel="00000000" w:rsidR="00000000" w:rsidRPr="00000000">
        <w:rPr>
          <w:rtl w:val="0"/>
        </w:rPr>
        <w:t xml:space="preserve"> Samples from Schleswig were provided by the Stiftung Schleswig-Holsteinische Landesmuseen Schloss Gottorf. Permission to analyse was granted to coauthor Ben Krause-Kyora in 2017.</w:t>
      </w:r>
    </w:p>
    <w:p w:rsidR="00000000" w:rsidDel="00000000" w:rsidP="00000000" w:rsidRDefault="00000000" w:rsidRPr="00000000" w14:paraId="0000010C">
      <w:pPr>
        <w:pStyle w:val="Heading4"/>
        <w:rPr/>
      </w:pPr>
      <w:bookmarkStart w:colFirst="0" w:colLast="0" w:name="_heading=h.4f1mdlm" w:id="42"/>
      <w:bookmarkEnd w:id="42"/>
      <w:r w:rsidDel="00000000" w:rsidR="00000000" w:rsidRPr="00000000">
        <w:rPr>
          <w:rtl w:val="0"/>
        </w:rPr>
      </w:r>
    </w:p>
    <w:p w:rsidR="00000000" w:rsidDel="00000000" w:rsidP="00000000" w:rsidRDefault="00000000" w:rsidRPr="00000000" w14:paraId="0000010D">
      <w:pPr>
        <w:pStyle w:val="Heading4"/>
        <w:rPr>
          <w:color w:val="000000"/>
        </w:rPr>
      </w:pPr>
      <w:bookmarkStart w:colFirst="0" w:colLast="0" w:name="_heading=h.2u6wntf" w:id="43"/>
      <w:bookmarkEnd w:id="43"/>
      <w:r w:rsidDel="00000000" w:rsidR="00000000" w:rsidRPr="00000000">
        <w:rPr>
          <w:color w:val="000000"/>
          <w:rtl w:val="0"/>
        </w:rPr>
        <w:t xml:space="preserve">Schortens, Friesland, Lower Saxony</w:t>
      </w:r>
    </w:p>
    <w:p w:rsidR="00000000" w:rsidDel="00000000" w:rsidP="00000000" w:rsidRDefault="00000000" w:rsidRPr="00000000" w14:paraId="0000010E">
      <w:pPr>
        <w:rPr/>
      </w:pPr>
      <w:r w:rsidDel="00000000" w:rsidR="00000000" w:rsidRPr="00000000">
        <w:rPr>
          <w:rtl w:val="0"/>
        </w:rPr>
        <w:t xml:space="preserve">Between the geest and the marsh in the coastal area of the North Sea lies one of the largest burial grounds of northern Germany. It was first noticed in 1938, when four cremation graves and a sword were found during the construction work for a new house in the south of the town Schortens and brought to the museum in Jever Castle. After this initial discovery, and with the transformation of previously unused farmland into building terrain in the following years, many more artifacts and urns were excavated unobserved. It was not until 1957 that an official survey was organized. A total of 15 inhumation and cremation graves with glass beads, needles, knives and pottery were found. Almost 20 years later - again initiated by the construction of another house - the last and largest excavation took place. Due to the building situation the excavation had to be carried out in the homeowner’s gardens, but almost 2880m</w:t>
      </w:r>
      <w:r w:rsidDel="00000000" w:rsidR="00000000" w:rsidRPr="00000000">
        <w:rPr>
          <w:vertAlign w:val="superscript"/>
          <w:rtl w:val="0"/>
        </w:rPr>
        <w:t xml:space="preserve">2</w:t>
      </w:r>
      <w:r w:rsidDel="00000000" w:rsidR="00000000" w:rsidRPr="00000000">
        <w:rPr>
          <w:rtl w:val="0"/>
        </w:rPr>
        <w:t xml:space="preserve"> (from originally about 6400m</w:t>
      </w:r>
      <w:r w:rsidDel="00000000" w:rsidR="00000000" w:rsidRPr="00000000">
        <w:rPr>
          <w:vertAlign w:val="superscript"/>
          <w:rtl w:val="0"/>
        </w:rPr>
        <w:t xml:space="preserve">2</w:t>
      </w:r>
      <w:r w:rsidDel="00000000" w:rsidR="00000000" w:rsidRPr="00000000">
        <w:rPr>
          <w:rtl w:val="0"/>
        </w:rPr>
        <w:t xml:space="preserve">) could be examined with more than 700 inhumation and cremation graves dating between the 5</w:t>
      </w:r>
      <w:r w:rsidDel="00000000" w:rsidR="00000000" w:rsidRPr="00000000">
        <w:rPr>
          <w:vertAlign w:val="superscript"/>
          <w:rtl w:val="0"/>
        </w:rPr>
        <w:t xml:space="preserve">th</w:t>
      </w:r>
      <w:r w:rsidDel="00000000" w:rsidR="00000000" w:rsidRPr="00000000">
        <w:rPr>
          <w:rtl w:val="0"/>
        </w:rPr>
        <w:t xml:space="preserve"> and the 9</w:t>
      </w:r>
      <w:r w:rsidDel="00000000" w:rsidR="00000000" w:rsidRPr="00000000">
        <w:rPr>
          <w:vertAlign w:val="superscript"/>
          <w:rtl w:val="0"/>
        </w:rPr>
        <w:t xml:space="preserve">th</w:t>
      </w:r>
      <w:r w:rsidDel="00000000" w:rsidR="00000000" w:rsidRPr="00000000">
        <w:rPr>
          <w:rtl w:val="0"/>
        </w:rPr>
        <w:t xml:space="preserve"> century. Since the sandy bottom of the geest hardly allows bone to be preserved, only corpse shadows could be found in most of the body graves. Nevertheless, it was possible to recover some bone fragments from four graves. The four sampled remains (85, 87, 88 and 455) are all from inhumation graves excavated in 1974. The graves 85, 87 and 88 lie in a row with grave number 86 in between. There are no artifacts, but contextually the graves can be dated to the late 8</w:t>
      </w:r>
      <w:r w:rsidDel="00000000" w:rsidR="00000000" w:rsidRPr="00000000">
        <w:rPr>
          <w:vertAlign w:val="superscript"/>
          <w:rtl w:val="0"/>
        </w:rPr>
        <w:t xml:space="preserve">th</w:t>
      </w:r>
      <w:r w:rsidDel="00000000" w:rsidR="00000000" w:rsidRPr="00000000">
        <w:rPr>
          <w:rtl w:val="0"/>
        </w:rPr>
        <w:t xml:space="preserve"> or early 9</w:t>
      </w:r>
      <w:r w:rsidDel="00000000" w:rsidR="00000000" w:rsidRPr="00000000">
        <w:rPr>
          <w:vertAlign w:val="superscript"/>
          <w:rtl w:val="0"/>
        </w:rPr>
        <w:t xml:space="preserve">th</w:t>
      </w:r>
      <w:r w:rsidDel="00000000" w:rsidR="00000000" w:rsidRPr="00000000">
        <w:rPr>
          <w:rtl w:val="0"/>
        </w:rPr>
        <w:t xml:space="preserve"> century. The last sample from grave 455 also dated to the 9</w:t>
      </w:r>
      <w:r w:rsidDel="00000000" w:rsidR="00000000" w:rsidRPr="00000000">
        <w:rPr>
          <w:vertAlign w:val="superscript"/>
          <w:rtl w:val="0"/>
        </w:rPr>
        <w:t xml:space="preserve">th</w:t>
      </w:r>
      <w:r w:rsidDel="00000000" w:rsidR="00000000" w:rsidRPr="00000000">
        <w:rPr>
          <w:rtl w:val="0"/>
        </w:rPr>
        <w:t xml:space="preserve"> century and belongs to a nearby row of 18 burials all facing west-east orientation and without grave goods. Although the graves cannot be archaeological assigned to any gender due to the lack of artifacts, DNA tests showed that all four were biologically male individuals and related to each other.</w:t>
      </w:r>
    </w:p>
    <w:p w:rsidR="00000000" w:rsidDel="00000000" w:rsidP="00000000" w:rsidRDefault="00000000" w:rsidRPr="00000000" w14:paraId="0000010F">
      <w:pPr>
        <w:rPr/>
      </w:pPr>
      <w:r w:rsidDel="00000000" w:rsidR="00000000" w:rsidRPr="00000000">
        <w:rPr>
          <w:u w:val="single"/>
          <w:rtl w:val="0"/>
        </w:rPr>
        <w:t xml:space="preserve">Provenance Note:</w:t>
      </w:r>
      <w:r w:rsidDel="00000000" w:rsidR="00000000" w:rsidRPr="00000000">
        <w:rPr>
          <w:rtl w:val="0"/>
        </w:rPr>
        <w:t xml:space="preserve"> Samples from Schortens were provided by the Landesmuseum Natur und Mensch Oldenburg. Permission to analyse was granted to coauthor Stephan Schiffels in 2020.</w:t>
      </w:r>
    </w:p>
    <w:p w:rsidR="00000000" w:rsidDel="00000000" w:rsidP="00000000" w:rsidRDefault="00000000" w:rsidRPr="00000000" w14:paraId="00000110">
      <w:pPr>
        <w:rPr/>
      </w:pPr>
      <w:r w:rsidDel="00000000" w:rsidR="00000000" w:rsidRPr="00000000">
        <w:rPr>
          <w:rtl w:val="0"/>
        </w:rPr>
      </w:r>
    </w:p>
    <w:p w:rsidR="00000000" w:rsidDel="00000000" w:rsidP="00000000" w:rsidRDefault="00000000" w:rsidRPr="00000000" w14:paraId="00000111">
      <w:pPr>
        <w:pStyle w:val="Heading4"/>
        <w:rPr>
          <w:color w:val="000000"/>
        </w:rPr>
      </w:pPr>
      <w:bookmarkStart w:colFirst="0" w:colLast="0" w:name="_heading=h.19c6y18" w:id="44"/>
      <w:bookmarkEnd w:id="44"/>
      <w:r w:rsidDel="00000000" w:rsidR="00000000" w:rsidRPr="00000000">
        <w:rPr>
          <w:color w:val="000000"/>
          <w:rtl w:val="0"/>
        </w:rPr>
        <w:t xml:space="preserve">Zetel, Friesland, Lower Saxony</w:t>
      </w:r>
    </w:p>
    <w:p w:rsidR="00000000" w:rsidDel="00000000" w:rsidP="00000000" w:rsidRDefault="00000000" w:rsidRPr="00000000" w14:paraId="00000112">
      <w:pPr>
        <w:rPr/>
      </w:pPr>
      <w:r w:rsidDel="00000000" w:rsidR="00000000" w:rsidRPr="00000000">
        <w:rPr>
          <w:rtl w:val="0"/>
        </w:rPr>
        <w:t xml:space="preserve">The mixed "Frisian" cemetery of Zetel was almost completely excavated from 1957 to 1964. 720 graves, 60 of which are cremations, date from the first half of the 7</w:t>
      </w:r>
      <w:r w:rsidDel="00000000" w:rsidR="00000000" w:rsidRPr="00000000">
        <w:rPr>
          <w:vertAlign w:val="superscript"/>
          <w:rtl w:val="0"/>
        </w:rPr>
        <w:t xml:space="preserve">th</w:t>
      </w:r>
      <w:r w:rsidDel="00000000" w:rsidR="00000000" w:rsidRPr="00000000">
        <w:rPr>
          <w:rtl w:val="0"/>
        </w:rPr>
        <w:t xml:space="preserve"> century to the second half of the 9</w:t>
      </w:r>
      <w:r w:rsidDel="00000000" w:rsidR="00000000" w:rsidRPr="00000000">
        <w:rPr>
          <w:vertAlign w:val="superscript"/>
          <w:rtl w:val="0"/>
        </w:rPr>
        <w:t xml:space="preserve">th</w:t>
      </w:r>
      <w:r w:rsidDel="00000000" w:rsidR="00000000" w:rsidRPr="00000000">
        <w:rPr>
          <w:rtl w:val="0"/>
        </w:rPr>
        <w:t xml:space="preserve"> century. An overall five-phase occupation of the cemetery was found. The first phase comprises mounded cremation burials, the second phase cremation graves and north-facing inhumations, which predominate in phases three and four. In the fifth phase the occupation ends with burials without grave goods oriented west-east. In addition to cremation pit graves, which are also found in Saxon regions, urn graves and bone storages with rest of pyre, were found in Zetel. Both types of burial occur almost exclusively in Frisian settlement areas and are considered characteristic of the tribal association. Three cremation burial complexes were originally mounded over and surrounded by a circular ditch. The burial ground was occupied by groups or clans, i.e. burials of the same period were located in different places and then formed the starting point for further occupation. From the middle of the 8</w:t>
      </w:r>
      <w:r w:rsidDel="00000000" w:rsidR="00000000" w:rsidRPr="00000000">
        <w:rPr>
          <w:vertAlign w:val="superscript"/>
          <w:rtl w:val="0"/>
        </w:rPr>
        <w:t xml:space="preserve">th</w:t>
      </w:r>
      <w:r w:rsidDel="00000000" w:rsidR="00000000" w:rsidRPr="00000000">
        <w:rPr>
          <w:rtl w:val="0"/>
        </w:rPr>
        <w:t xml:space="preserve"> century, the first south-north oriented inhumation graves were found in Zetel. At the end of the 8</w:t>
      </w:r>
      <w:r w:rsidDel="00000000" w:rsidR="00000000" w:rsidRPr="00000000">
        <w:rPr>
          <w:vertAlign w:val="superscript"/>
          <w:rtl w:val="0"/>
        </w:rPr>
        <w:t xml:space="preserve">th</w:t>
      </w:r>
      <w:r w:rsidDel="00000000" w:rsidR="00000000" w:rsidRPr="00000000">
        <w:rPr>
          <w:rtl w:val="0"/>
        </w:rPr>
        <w:t xml:space="preserve">/beginning of the 9</w:t>
      </w:r>
      <w:r w:rsidDel="00000000" w:rsidR="00000000" w:rsidRPr="00000000">
        <w:rPr>
          <w:vertAlign w:val="superscript"/>
          <w:rtl w:val="0"/>
        </w:rPr>
        <w:t xml:space="preserve">th</w:t>
      </w:r>
      <w:r w:rsidDel="00000000" w:rsidR="00000000" w:rsidRPr="00000000">
        <w:rPr>
          <w:rtl w:val="0"/>
        </w:rPr>
        <w:t xml:space="preserve"> century, east-west oriented burials were found. The burials without grave goods make up the bulk of this cemetery (approx. 80 %). The "Frisian" cemeteries are also subject to a gradual change in burial customs, the origin of which can be seen in the Christianisation pursued by the Frankish Empire. Even if there are no objects with Christian symbolism from Zetel, the change can be documented by the changing burial custom lacking grave goods. Despite forced Christianisation, the inner conversion of the population probably continued for quite a long time, at least until the construction of the first (wooden) church in Zetel in the 10</w:t>
      </w:r>
      <w:r w:rsidDel="00000000" w:rsidR="00000000" w:rsidRPr="00000000">
        <w:rPr>
          <w:vertAlign w:val="superscript"/>
          <w:rtl w:val="0"/>
        </w:rPr>
        <w:t xml:space="preserve">th</w:t>
      </w:r>
      <w:r w:rsidDel="00000000" w:rsidR="00000000" w:rsidRPr="00000000">
        <w:rPr>
          <w:rtl w:val="0"/>
        </w:rPr>
        <w:t xml:space="preserve"> century and the burial of the deceased at the church.</w:t>
      </w:r>
    </w:p>
    <w:p w:rsidR="00000000" w:rsidDel="00000000" w:rsidP="00000000" w:rsidRDefault="00000000" w:rsidRPr="00000000" w14:paraId="00000113">
      <w:pPr>
        <w:rPr/>
      </w:pPr>
      <w:r w:rsidDel="00000000" w:rsidR="00000000" w:rsidRPr="00000000">
        <w:rPr>
          <w:u w:val="single"/>
          <w:rtl w:val="0"/>
        </w:rPr>
        <w:t xml:space="preserve">Provenance Note:</w:t>
      </w:r>
      <w:r w:rsidDel="00000000" w:rsidR="00000000" w:rsidRPr="00000000">
        <w:rPr>
          <w:rtl w:val="0"/>
        </w:rPr>
        <w:t xml:space="preserve"> Samples from ​​Zetel were provided by the Landesmuseum Natur und Mensch Oldenburg. Permission to analyse was granted to coauthor Stephan Schiffels in 2020.</w:t>
      </w:r>
    </w:p>
    <w:p w:rsidR="00000000" w:rsidDel="00000000" w:rsidP="00000000" w:rsidRDefault="00000000" w:rsidRPr="00000000" w14:paraId="00000114">
      <w:pPr>
        <w:rPr/>
      </w:pPr>
      <w:r w:rsidDel="00000000" w:rsidR="00000000" w:rsidRPr="00000000">
        <w:rPr>
          <w:rtl w:val="0"/>
        </w:rPr>
      </w:r>
    </w:p>
    <w:p w:rsidR="00000000" w:rsidDel="00000000" w:rsidP="00000000" w:rsidRDefault="00000000" w:rsidRPr="00000000" w14:paraId="00000115">
      <w:pPr>
        <w:pStyle w:val="Heading1"/>
        <w:rPr>
          <w:color w:val="000000"/>
          <w:sz w:val="28"/>
          <w:szCs w:val="28"/>
        </w:rPr>
      </w:pPr>
      <w:bookmarkStart w:colFirst="0" w:colLast="0" w:name="_heading=h.3tbugp1" w:id="45"/>
      <w:bookmarkEnd w:id="45"/>
      <w:r w:rsidDel="00000000" w:rsidR="00000000" w:rsidRPr="00000000">
        <w:rPr>
          <w:color w:val="000000"/>
          <w:sz w:val="28"/>
          <w:szCs w:val="28"/>
          <w:rtl w:val="0"/>
        </w:rPr>
        <w:t xml:space="preserve">Supplementary Note 2 </w:t>
      </w:r>
      <w:r w:rsidDel="00000000" w:rsidR="00000000" w:rsidRPr="00000000">
        <w:rPr>
          <w:i w:val="1"/>
          <w:color w:val="000000"/>
          <w:sz w:val="28"/>
          <w:szCs w:val="28"/>
          <w:rtl w:val="0"/>
        </w:rPr>
        <w:t xml:space="preserve">Reference data</w:t>
      </w:r>
      <w:r w:rsidDel="00000000" w:rsidR="00000000" w:rsidRPr="00000000">
        <w:rPr>
          <w:color w:val="000000"/>
          <w:sz w:val="28"/>
          <w:szCs w:val="28"/>
          <w:rtl w:val="0"/>
        </w:rPr>
        <w:t xml:space="preserve">, </w:t>
      </w:r>
      <w:r w:rsidDel="00000000" w:rsidR="00000000" w:rsidRPr="00000000">
        <w:rPr>
          <w:i w:val="1"/>
          <w:color w:val="000000"/>
          <w:sz w:val="28"/>
          <w:szCs w:val="28"/>
          <w:rtl w:val="0"/>
        </w:rPr>
        <w:t xml:space="preserve">kinship, uniparental markers, and potential sex bias in early medieval England</w:t>
      </w:r>
      <w:r w:rsidDel="00000000" w:rsidR="00000000" w:rsidRPr="00000000">
        <w:rPr>
          <w:rtl w:val="0"/>
        </w:rPr>
      </w:r>
    </w:p>
    <w:p w:rsidR="00000000" w:rsidDel="00000000" w:rsidP="00000000" w:rsidRDefault="00000000" w:rsidRPr="00000000" w14:paraId="00000116">
      <w:pPr>
        <w:pStyle w:val="Heading2"/>
        <w:rPr>
          <w:color w:val="000000"/>
        </w:rPr>
      </w:pPr>
      <w:bookmarkStart w:colFirst="0" w:colLast="0" w:name="_heading=h.28h4qwu" w:id="46"/>
      <w:bookmarkEnd w:id="46"/>
      <w:r w:rsidDel="00000000" w:rsidR="00000000" w:rsidRPr="00000000">
        <w:rPr>
          <w:color w:val="000000"/>
          <w:rtl w:val="0"/>
        </w:rPr>
        <w:t xml:space="preserve">Reference data</w:t>
      </w:r>
    </w:p>
    <w:p w:rsidR="00000000" w:rsidDel="00000000" w:rsidP="00000000" w:rsidRDefault="00000000" w:rsidRPr="00000000" w14:paraId="00000117">
      <w:pPr>
        <w:rPr/>
      </w:pPr>
      <w:r w:rsidDel="00000000" w:rsidR="00000000" w:rsidRPr="00000000">
        <w:rPr>
          <w:rtl w:val="0"/>
        </w:rPr>
        <w:t xml:space="preserve">We compiled one main autosomal reference dataset of microarray SNP data for the purpose of analysing the ancestry of the ancient English and continental samples. We removed present-day individuals with &lt;95% call rate, and loci that failed previous WTCCC2 SNP quality control procedures</w:t>
      </w:r>
      <w:hyperlink r:id="rId60">
        <w:r w:rsidDel="00000000" w:rsidR="00000000" w:rsidRPr="00000000">
          <w:rPr>
            <w:color w:val="000000"/>
            <w:vertAlign w:val="superscript"/>
            <w:rtl w:val="0"/>
          </w:rPr>
          <w:t xml:space="preserve">54–56</w:t>
        </w:r>
      </w:hyperlink>
      <w:r w:rsidDel="00000000" w:rsidR="00000000" w:rsidRPr="00000000">
        <w:rPr>
          <w:rtl w:val="0"/>
        </w:rPr>
        <w:t xml:space="preserve">. We ran ADMIXTURE with individuals of Asian and African ancestry and filtered out European individuals with &lt;90% European ancestry. Finally, we filtered the reference datasets for related individuals, excluding pairs of first- and second-degree kin relationships and samples that failed WTCCC2 sample quality control procedures</w:t>
      </w:r>
      <w:hyperlink r:id="rId61">
        <w:r w:rsidDel="00000000" w:rsidR="00000000" w:rsidRPr="00000000">
          <w:rPr>
            <w:color w:val="000000"/>
            <w:vertAlign w:val="superscript"/>
            <w:rtl w:val="0"/>
          </w:rPr>
          <w:t xml:space="preserve">54–56</w:t>
        </w:r>
      </w:hyperlink>
      <w:r w:rsidDel="00000000" w:rsidR="00000000" w:rsidRPr="00000000">
        <w:rPr>
          <w:rtl w:val="0"/>
        </w:rPr>
        <w:t xml:space="preserve">. The remaining intersection of the autosomal SNPs were subsequently pruned for loci on three previously reported</w:t>
      </w:r>
      <w:hyperlink r:id="rId62">
        <w:r w:rsidDel="00000000" w:rsidR="00000000" w:rsidRPr="00000000">
          <w:rPr>
            <w:color w:val="000000"/>
            <w:vertAlign w:val="superscript"/>
            <w:rtl w:val="0"/>
          </w:rPr>
          <w:t xml:space="preserve">57–60</w:t>
        </w:r>
      </w:hyperlink>
      <w:r w:rsidDel="00000000" w:rsidR="00000000" w:rsidRPr="00000000">
        <w:rPr>
          <w:rtl w:val="0"/>
        </w:rPr>
        <w:t xml:space="preserve"> long-range LD regions on chromosomes 6, 8 and 11 using PLINK</w:t>
      </w:r>
      <w:hyperlink r:id="rId63">
        <w:r w:rsidDel="00000000" w:rsidR="00000000" w:rsidRPr="00000000">
          <w:rPr>
            <w:color w:val="000000"/>
            <w:vertAlign w:val="superscript"/>
            <w:rtl w:val="0"/>
          </w:rPr>
          <w:t xml:space="preserve">61</w:t>
        </w:r>
      </w:hyperlink>
      <w:r w:rsidDel="00000000" w:rsidR="00000000" w:rsidRPr="00000000">
        <w:rPr>
          <w:rtl w:val="0"/>
        </w:rPr>
        <w:t xml:space="preserve">. Additionally, we removed a 15 Mb region surrounding the HLA region </w:t>
      </w:r>
      <w:r w:rsidDel="00000000" w:rsidR="00000000" w:rsidRPr="00000000">
        <w:rPr>
          <w:color w:val="222222"/>
          <w:highlight w:val="white"/>
          <w:rtl w:val="0"/>
        </w:rPr>
        <w:t xml:space="preserve">on chromosome 6 because a fraction of the European samples included multiple sclerosis case samples, a disease with strong HLA associations</w:t>
      </w:r>
      <w:hyperlink r:id="rId64">
        <w:r w:rsidDel="00000000" w:rsidR="00000000" w:rsidRPr="00000000">
          <w:rPr>
            <w:color w:val="000000"/>
            <w:highlight w:val="white"/>
            <w:vertAlign w:val="superscript"/>
            <w:rtl w:val="0"/>
          </w:rPr>
          <w:t xml:space="preserve">55,56</w:t>
        </w:r>
      </w:hyperlink>
      <w:r w:rsidDel="00000000" w:rsidR="00000000" w:rsidRPr="00000000">
        <w:rPr>
          <w:rtl w:val="0"/>
        </w:rPr>
        <w:t xml:space="preserve">. Our final reference dataset contained genotypes for 445,171 SNPs (the intersection of several different Affymetrix and Illumina chip types) from 10,176 contemporary individuals sampled from 45 mostly European populations from previously published datasets</w:t>
      </w:r>
      <w:hyperlink r:id="rId65">
        <w:r w:rsidDel="00000000" w:rsidR="00000000" w:rsidRPr="00000000">
          <w:rPr>
            <w:color w:val="000000"/>
            <w:vertAlign w:val="superscript"/>
            <w:rtl w:val="0"/>
          </w:rPr>
          <w:t xml:space="preserve">54–56,62–73</w:t>
        </w:r>
      </w:hyperlink>
      <w:r w:rsidDel="00000000" w:rsidR="00000000" w:rsidRPr="00000000">
        <w:rPr>
          <w:rtl w:val="0"/>
        </w:rPr>
        <w:t xml:space="preserve">: </w:t>
      </w:r>
    </w:p>
    <w:p w:rsidR="00000000" w:rsidDel="00000000" w:rsidP="00000000" w:rsidRDefault="00000000" w:rsidRPr="00000000" w14:paraId="00000118">
      <w:pPr>
        <w:numPr>
          <w:ilvl w:val="0"/>
          <w:numId w:val="4"/>
        </w:numPr>
        <w:spacing w:after="0" w:lineRule="auto"/>
        <w:ind w:left="720" w:hanging="360"/>
        <w:rPr/>
      </w:pPr>
      <w:r w:rsidDel="00000000" w:rsidR="00000000" w:rsidRPr="00000000">
        <w:rPr>
          <w:rtl w:val="0"/>
        </w:rPr>
        <w:t xml:space="preserve">Norway (921)</w:t>
      </w:r>
    </w:p>
    <w:p w:rsidR="00000000" w:rsidDel="00000000" w:rsidP="00000000" w:rsidRDefault="00000000" w:rsidRPr="00000000" w14:paraId="00000119">
      <w:pPr>
        <w:numPr>
          <w:ilvl w:val="0"/>
          <w:numId w:val="4"/>
        </w:numPr>
        <w:spacing w:after="0" w:lineRule="auto"/>
        <w:ind w:left="720" w:hanging="360"/>
        <w:rPr/>
      </w:pPr>
      <w:r w:rsidDel="00000000" w:rsidR="00000000" w:rsidRPr="00000000">
        <w:rPr>
          <w:rtl w:val="0"/>
        </w:rPr>
        <w:t xml:space="preserve">Sweden (1,110)</w:t>
      </w:r>
    </w:p>
    <w:p w:rsidR="00000000" w:rsidDel="00000000" w:rsidP="00000000" w:rsidRDefault="00000000" w:rsidRPr="00000000" w14:paraId="0000011A">
      <w:pPr>
        <w:numPr>
          <w:ilvl w:val="0"/>
          <w:numId w:val="4"/>
        </w:numPr>
        <w:spacing w:after="0" w:lineRule="auto"/>
        <w:ind w:left="720" w:hanging="360"/>
        <w:rPr/>
      </w:pPr>
      <w:r w:rsidDel="00000000" w:rsidR="00000000" w:rsidRPr="00000000">
        <w:rPr>
          <w:rtl w:val="0"/>
        </w:rPr>
        <w:t xml:space="preserve">Denmark (314)</w:t>
      </w:r>
    </w:p>
    <w:p w:rsidR="00000000" w:rsidDel="00000000" w:rsidP="00000000" w:rsidRDefault="00000000" w:rsidRPr="00000000" w14:paraId="0000011B">
      <w:pPr>
        <w:numPr>
          <w:ilvl w:val="0"/>
          <w:numId w:val="4"/>
        </w:numPr>
        <w:spacing w:after="0" w:lineRule="auto"/>
        <w:ind w:left="720" w:hanging="360"/>
        <w:rPr/>
      </w:pPr>
      <w:r w:rsidDel="00000000" w:rsidR="00000000" w:rsidRPr="00000000">
        <w:rPr>
          <w:rtl w:val="0"/>
        </w:rPr>
        <w:t xml:space="preserve">England (1,678)</w:t>
      </w:r>
    </w:p>
    <w:p w:rsidR="00000000" w:rsidDel="00000000" w:rsidP="00000000" w:rsidRDefault="00000000" w:rsidRPr="00000000" w14:paraId="0000011C">
      <w:pPr>
        <w:numPr>
          <w:ilvl w:val="0"/>
          <w:numId w:val="4"/>
        </w:numPr>
        <w:spacing w:after="0" w:lineRule="auto"/>
        <w:ind w:left="720" w:hanging="360"/>
        <w:rPr/>
      </w:pPr>
      <w:r w:rsidDel="00000000" w:rsidR="00000000" w:rsidRPr="00000000">
        <w:rPr>
          <w:rtl w:val="0"/>
        </w:rPr>
        <w:t xml:space="preserve">Scotland, excluding Orkney (91)</w:t>
      </w:r>
    </w:p>
    <w:p w:rsidR="00000000" w:rsidDel="00000000" w:rsidP="00000000" w:rsidRDefault="00000000" w:rsidRPr="00000000" w14:paraId="0000011D">
      <w:pPr>
        <w:numPr>
          <w:ilvl w:val="0"/>
          <w:numId w:val="4"/>
        </w:numPr>
        <w:spacing w:after="0" w:lineRule="auto"/>
        <w:ind w:left="720" w:hanging="360"/>
        <w:rPr/>
      </w:pPr>
      <w:r w:rsidDel="00000000" w:rsidR="00000000" w:rsidRPr="00000000">
        <w:rPr>
          <w:rtl w:val="0"/>
        </w:rPr>
        <w:t xml:space="preserve">Orkney (92)</w:t>
      </w:r>
    </w:p>
    <w:p w:rsidR="00000000" w:rsidDel="00000000" w:rsidP="00000000" w:rsidRDefault="00000000" w:rsidRPr="00000000" w14:paraId="0000011E">
      <w:pPr>
        <w:numPr>
          <w:ilvl w:val="0"/>
          <w:numId w:val="4"/>
        </w:numPr>
        <w:spacing w:after="0" w:lineRule="auto"/>
        <w:ind w:left="720" w:hanging="360"/>
        <w:rPr/>
      </w:pPr>
      <w:r w:rsidDel="00000000" w:rsidR="00000000" w:rsidRPr="00000000">
        <w:rPr>
          <w:rtl w:val="0"/>
        </w:rPr>
        <w:t xml:space="preserve">Wales (129)</w:t>
      </w:r>
    </w:p>
    <w:p w:rsidR="00000000" w:rsidDel="00000000" w:rsidP="00000000" w:rsidRDefault="00000000" w:rsidRPr="00000000" w14:paraId="0000011F">
      <w:pPr>
        <w:numPr>
          <w:ilvl w:val="0"/>
          <w:numId w:val="4"/>
        </w:numPr>
        <w:spacing w:after="0" w:lineRule="auto"/>
        <w:ind w:left="720" w:hanging="360"/>
        <w:rPr/>
      </w:pPr>
      <w:r w:rsidDel="00000000" w:rsidR="00000000" w:rsidRPr="00000000">
        <w:rPr>
          <w:rtl w:val="0"/>
        </w:rPr>
        <w:t xml:space="preserve">Northern Ireland (115)</w:t>
      </w:r>
    </w:p>
    <w:p w:rsidR="00000000" w:rsidDel="00000000" w:rsidP="00000000" w:rsidRDefault="00000000" w:rsidRPr="00000000" w14:paraId="00000120">
      <w:pPr>
        <w:numPr>
          <w:ilvl w:val="0"/>
          <w:numId w:val="4"/>
        </w:numPr>
        <w:spacing w:after="0" w:lineRule="auto"/>
        <w:ind w:left="720" w:hanging="360"/>
        <w:rPr/>
      </w:pPr>
      <w:r w:rsidDel="00000000" w:rsidR="00000000" w:rsidRPr="00000000">
        <w:rPr>
          <w:rtl w:val="0"/>
        </w:rPr>
        <w:t xml:space="preserve">Ireland (332)</w:t>
      </w:r>
    </w:p>
    <w:p w:rsidR="00000000" w:rsidDel="00000000" w:rsidP="00000000" w:rsidRDefault="00000000" w:rsidRPr="00000000" w14:paraId="00000121">
      <w:pPr>
        <w:numPr>
          <w:ilvl w:val="0"/>
          <w:numId w:val="4"/>
        </w:numPr>
        <w:spacing w:after="0" w:lineRule="auto"/>
        <w:ind w:left="720" w:hanging="360"/>
        <w:rPr/>
      </w:pPr>
      <w:r w:rsidDel="00000000" w:rsidR="00000000" w:rsidRPr="00000000">
        <w:rPr>
          <w:rtl w:val="0"/>
        </w:rPr>
        <w:t xml:space="preserve">Germany (1,093)</w:t>
      </w:r>
    </w:p>
    <w:p w:rsidR="00000000" w:rsidDel="00000000" w:rsidP="00000000" w:rsidRDefault="00000000" w:rsidRPr="00000000" w14:paraId="00000122">
      <w:pPr>
        <w:numPr>
          <w:ilvl w:val="0"/>
          <w:numId w:val="4"/>
        </w:numPr>
        <w:spacing w:after="0" w:lineRule="auto"/>
        <w:ind w:left="720" w:hanging="360"/>
        <w:rPr/>
      </w:pPr>
      <w:r w:rsidDel="00000000" w:rsidR="00000000" w:rsidRPr="00000000">
        <w:rPr>
          <w:rtl w:val="0"/>
        </w:rPr>
        <w:t xml:space="preserve">Netherlands (498)</w:t>
      </w:r>
    </w:p>
    <w:p w:rsidR="00000000" w:rsidDel="00000000" w:rsidP="00000000" w:rsidRDefault="00000000" w:rsidRPr="00000000" w14:paraId="00000123">
      <w:pPr>
        <w:numPr>
          <w:ilvl w:val="0"/>
          <w:numId w:val="4"/>
        </w:numPr>
        <w:spacing w:after="0" w:lineRule="auto"/>
        <w:ind w:left="720" w:hanging="360"/>
        <w:rPr/>
      </w:pPr>
      <w:r w:rsidDel="00000000" w:rsidR="00000000" w:rsidRPr="00000000">
        <w:rPr>
          <w:rtl w:val="0"/>
        </w:rPr>
        <w:t xml:space="preserve">Belgium (538)</w:t>
      </w:r>
    </w:p>
    <w:p w:rsidR="00000000" w:rsidDel="00000000" w:rsidP="00000000" w:rsidRDefault="00000000" w:rsidRPr="00000000" w14:paraId="00000124">
      <w:pPr>
        <w:numPr>
          <w:ilvl w:val="0"/>
          <w:numId w:val="4"/>
        </w:numPr>
        <w:spacing w:after="0" w:lineRule="auto"/>
        <w:ind w:left="720" w:hanging="360"/>
        <w:rPr/>
      </w:pPr>
      <w:r w:rsidDel="00000000" w:rsidR="00000000" w:rsidRPr="00000000">
        <w:rPr>
          <w:rtl w:val="0"/>
        </w:rPr>
        <w:t xml:space="preserve">France (495)</w:t>
      </w:r>
    </w:p>
    <w:p w:rsidR="00000000" w:rsidDel="00000000" w:rsidP="00000000" w:rsidRDefault="00000000" w:rsidRPr="00000000" w14:paraId="00000125">
      <w:pPr>
        <w:numPr>
          <w:ilvl w:val="0"/>
          <w:numId w:val="4"/>
        </w:numPr>
        <w:spacing w:after="0" w:lineRule="auto"/>
        <w:ind w:left="720" w:hanging="360"/>
        <w:rPr/>
      </w:pPr>
      <w:r w:rsidDel="00000000" w:rsidR="00000000" w:rsidRPr="00000000">
        <w:rPr>
          <w:rtl w:val="0"/>
        </w:rPr>
        <w:t xml:space="preserve">Spain (211)</w:t>
      </w:r>
    </w:p>
    <w:p w:rsidR="00000000" w:rsidDel="00000000" w:rsidP="00000000" w:rsidRDefault="00000000" w:rsidRPr="00000000" w14:paraId="00000126">
      <w:pPr>
        <w:numPr>
          <w:ilvl w:val="0"/>
          <w:numId w:val="4"/>
        </w:numPr>
        <w:spacing w:after="0" w:lineRule="auto"/>
        <w:ind w:left="720" w:hanging="360"/>
        <w:rPr/>
      </w:pPr>
      <w:r w:rsidDel="00000000" w:rsidR="00000000" w:rsidRPr="00000000">
        <w:rPr>
          <w:rtl w:val="0"/>
        </w:rPr>
        <w:t xml:space="preserve">Italy (776)</w:t>
      </w:r>
    </w:p>
    <w:p w:rsidR="00000000" w:rsidDel="00000000" w:rsidP="00000000" w:rsidRDefault="00000000" w:rsidRPr="00000000" w14:paraId="00000127">
      <w:pPr>
        <w:numPr>
          <w:ilvl w:val="0"/>
          <w:numId w:val="4"/>
        </w:numPr>
        <w:spacing w:after="0" w:lineRule="auto"/>
        <w:ind w:left="720" w:hanging="360"/>
        <w:rPr/>
      </w:pPr>
      <w:r w:rsidDel="00000000" w:rsidR="00000000" w:rsidRPr="00000000">
        <w:rPr>
          <w:rtl w:val="0"/>
        </w:rPr>
        <w:t xml:space="preserve">Finland (779)</w:t>
      </w:r>
    </w:p>
    <w:p w:rsidR="00000000" w:rsidDel="00000000" w:rsidP="00000000" w:rsidRDefault="00000000" w:rsidRPr="00000000" w14:paraId="00000128">
      <w:pPr>
        <w:numPr>
          <w:ilvl w:val="0"/>
          <w:numId w:val="4"/>
        </w:numPr>
        <w:spacing w:after="0" w:lineRule="auto"/>
        <w:ind w:left="720" w:hanging="360"/>
        <w:rPr/>
      </w:pPr>
      <w:r w:rsidDel="00000000" w:rsidR="00000000" w:rsidRPr="00000000">
        <w:rPr>
          <w:rtl w:val="0"/>
        </w:rPr>
        <w:t xml:space="preserve">Estonia (6)</w:t>
      </w:r>
    </w:p>
    <w:p w:rsidR="00000000" w:rsidDel="00000000" w:rsidP="00000000" w:rsidRDefault="00000000" w:rsidRPr="00000000" w14:paraId="00000129">
      <w:pPr>
        <w:numPr>
          <w:ilvl w:val="0"/>
          <w:numId w:val="4"/>
        </w:numPr>
        <w:spacing w:after="0" w:lineRule="auto"/>
        <w:ind w:left="720" w:hanging="360"/>
        <w:rPr/>
      </w:pPr>
      <w:r w:rsidDel="00000000" w:rsidR="00000000" w:rsidRPr="00000000">
        <w:rPr>
          <w:rtl w:val="0"/>
        </w:rPr>
        <w:t xml:space="preserve">Latvia (9)</w:t>
      </w:r>
    </w:p>
    <w:p w:rsidR="00000000" w:rsidDel="00000000" w:rsidP="00000000" w:rsidRDefault="00000000" w:rsidRPr="00000000" w14:paraId="0000012A">
      <w:pPr>
        <w:numPr>
          <w:ilvl w:val="0"/>
          <w:numId w:val="4"/>
        </w:numPr>
        <w:spacing w:after="0" w:lineRule="auto"/>
        <w:ind w:left="720" w:hanging="360"/>
        <w:rPr/>
      </w:pPr>
      <w:r w:rsidDel="00000000" w:rsidR="00000000" w:rsidRPr="00000000">
        <w:rPr>
          <w:rtl w:val="0"/>
        </w:rPr>
        <w:t xml:space="preserve">Lithuania (438)</w:t>
      </w:r>
    </w:p>
    <w:p w:rsidR="00000000" w:rsidDel="00000000" w:rsidP="00000000" w:rsidRDefault="00000000" w:rsidRPr="00000000" w14:paraId="0000012B">
      <w:pPr>
        <w:numPr>
          <w:ilvl w:val="0"/>
          <w:numId w:val="4"/>
        </w:numPr>
        <w:spacing w:after="0" w:lineRule="auto"/>
        <w:ind w:left="720" w:hanging="360"/>
        <w:rPr/>
      </w:pPr>
      <w:r w:rsidDel="00000000" w:rsidR="00000000" w:rsidRPr="00000000">
        <w:rPr>
          <w:rtl w:val="0"/>
        </w:rPr>
        <w:t xml:space="preserve">Belarus (21)</w:t>
      </w:r>
    </w:p>
    <w:p w:rsidR="00000000" w:rsidDel="00000000" w:rsidP="00000000" w:rsidRDefault="00000000" w:rsidRPr="00000000" w14:paraId="0000012C">
      <w:pPr>
        <w:numPr>
          <w:ilvl w:val="0"/>
          <w:numId w:val="4"/>
        </w:numPr>
        <w:spacing w:after="0" w:lineRule="auto"/>
        <w:ind w:left="720" w:hanging="360"/>
        <w:rPr/>
      </w:pPr>
      <w:r w:rsidDel="00000000" w:rsidR="00000000" w:rsidRPr="00000000">
        <w:rPr>
          <w:rtl w:val="0"/>
        </w:rPr>
        <w:t xml:space="preserve">Poland (80)</w:t>
      </w:r>
    </w:p>
    <w:p w:rsidR="00000000" w:rsidDel="00000000" w:rsidP="00000000" w:rsidRDefault="00000000" w:rsidRPr="00000000" w14:paraId="0000012D">
      <w:pPr>
        <w:numPr>
          <w:ilvl w:val="0"/>
          <w:numId w:val="4"/>
        </w:numPr>
        <w:spacing w:after="0" w:lineRule="auto"/>
        <w:ind w:left="720" w:hanging="360"/>
        <w:rPr/>
      </w:pPr>
      <w:r w:rsidDel="00000000" w:rsidR="00000000" w:rsidRPr="00000000">
        <w:rPr>
          <w:rtl w:val="0"/>
        </w:rPr>
        <w:t xml:space="preserve">Ukraine (27)</w:t>
      </w:r>
    </w:p>
    <w:p w:rsidR="00000000" w:rsidDel="00000000" w:rsidP="00000000" w:rsidRDefault="00000000" w:rsidRPr="00000000" w14:paraId="0000012E">
      <w:pPr>
        <w:numPr>
          <w:ilvl w:val="0"/>
          <w:numId w:val="4"/>
        </w:numPr>
        <w:spacing w:after="0" w:lineRule="auto"/>
        <w:ind w:left="720" w:hanging="360"/>
        <w:rPr/>
      </w:pPr>
      <w:r w:rsidDel="00000000" w:rsidR="00000000" w:rsidRPr="00000000">
        <w:rPr>
          <w:rtl w:val="0"/>
        </w:rPr>
        <w:t xml:space="preserve">Hungary (22)</w:t>
      </w:r>
    </w:p>
    <w:p w:rsidR="00000000" w:rsidDel="00000000" w:rsidP="00000000" w:rsidRDefault="00000000" w:rsidRPr="00000000" w14:paraId="0000012F">
      <w:pPr>
        <w:numPr>
          <w:ilvl w:val="0"/>
          <w:numId w:val="4"/>
        </w:numPr>
        <w:spacing w:after="0" w:lineRule="auto"/>
        <w:ind w:left="720" w:hanging="360"/>
        <w:rPr/>
      </w:pPr>
      <w:r w:rsidDel="00000000" w:rsidR="00000000" w:rsidRPr="00000000">
        <w:rPr>
          <w:rtl w:val="0"/>
        </w:rPr>
        <w:t xml:space="preserve">Slovakia (15)</w:t>
      </w:r>
    </w:p>
    <w:p w:rsidR="00000000" w:rsidDel="00000000" w:rsidP="00000000" w:rsidRDefault="00000000" w:rsidRPr="00000000" w14:paraId="00000130">
      <w:pPr>
        <w:numPr>
          <w:ilvl w:val="0"/>
          <w:numId w:val="4"/>
        </w:numPr>
        <w:spacing w:after="0" w:lineRule="auto"/>
        <w:ind w:left="720" w:hanging="360"/>
        <w:rPr/>
      </w:pPr>
      <w:r w:rsidDel="00000000" w:rsidR="00000000" w:rsidRPr="00000000">
        <w:rPr>
          <w:rtl w:val="0"/>
        </w:rPr>
        <w:t xml:space="preserve">Slovenia (15)</w:t>
      </w:r>
    </w:p>
    <w:p w:rsidR="00000000" w:rsidDel="00000000" w:rsidP="00000000" w:rsidRDefault="00000000" w:rsidRPr="00000000" w14:paraId="00000131">
      <w:pPr>
        <w:numPr>
          <w:ilvl w:val="0"/>
          <w:numId w:val="4"/>
        </w:numPr>
        <w:spacing w:after="0" w:lineRule="auto"/>
        <w:ind w:left="720" w:hanging="360"/>
        <w:rPr/>
      </w:pPr>
      <w:r w:rsidDel="00000000" w:rsidR="00000000" w:rsidRPr="00000000">
        <w:rPr>
          <w:rtl w:val="0"/>
        </w:rPr>
        <w:t xml:space="preserve">Romania (16)</w:t>
      </w:r>
    </w:p>
    <w:p w:rsidR="00000000" w:rsidDel="00000000" w:rsidP="00000000" w:rsidRDefault="00000000" w:rsidRPr="00000000" w14:paraId="00000132">
      <w:pPr>
        <w:numPr>
          <w:ilvl w:val="0"/>
          <w:numId w:val="4"/>
        </w:numPr>
        <w:spacing w:after="0" w:lineRule="auto"/>
        <w:ind w:left="720" w:hanging="360"/>
        <w:rPr/>
      </w:pPr>
      <w:r w:rsidDel="00000000" w:rsidR="00000000" w:rsidRPr="00000000">
        <w:rPr>
          <w:rtl w:val="0"/>
        </w:rPr>
        <w:t xml:space="preserve">Moldavia (9)</w:t>
      </w:r>
    </w:p>
    <w:p w:rsidR="00000000" w:rsidDel="00000000" w:rsidP="00000000" w:rsidRDefault="00000000" w:rsidRPr="00000000" w14:paraId="00000133">
      <w:pPr>
        <w:numPr>
          <w:ilvl w:val="0"/>
          <w:numId w:val="4"/>
        </w:numPr>
        <w:spacing w:after="0" w:lineRule="auto"/>
        <w:ind w:left="720" w:hanging="360"/>
        <w:rPr/>
      </w:pPr>
      <w:r w:rsidDel="00000000" w:rsidR="00000000" w:rsidRPr="00000000">
        <w:rPr>
          <w:rtl w:val="0"/>
        </w:rPr>
        <w:t xml:space="preserve">Bulgaria (13)</w:t>
      </w:r>
    </w:p>
    <w:p w:rsidR="00000000" w:rsidDel="00000000" w:rsidP="00000000" w:rsidRDefault="00000000" w:rsidRPr="00000000" w14:paraId="00000134">
      <w:pPr>
        <w:numPr>
          <w:ilvl w:val="0"/>
          <w:numId w:val="4"/>
        </w:numPr>
        <w:spacing w:after="0" w:lineRule="auto"/>
        <w:ind w:left="720" w:hanging="360"/>
        <w:rPr/>
      </w:pPr>
      <w:r w:rsidDel="00000000" w:rsidR="00000000" w:rsidRPr="00000000">
        <w:rPr>
          <w:rtl w:val="0"/>
        </w:rPr>
        <w:t xml:space="preserve">Albania (3)</w:t>
      </w:r>
    </w:p>
    <w:p w:rsidR="00000000" w:rsidDel="00000000" w:rsidP="00000000" w:rsidRDefault="00000000" w:rsidRPr="00000000" w14:paraId="00000135">
      <w:pPr>
        <w:numPr>
          <w:ilvl w:val="0"/>
          <w:numId w:val="4"/>
        </w:numPr>
        <w:spacing w:after="0" w:lineRule="auto"/>
        <w:ind w:left="720" w:hanging="360"/>
        <w:rPr/>
      </w:pPr>
      <w:r w:rsidDel="00000000" w:rsidR="00000000" w:rsidRPr="00000000">
        <w:rPr>
          <w:rtl w:val="0"/>
        </w:rPr>
        <w:t xml:space="preserve">Kosovo (9)</w:t>
      </w:r>
    </w:p>
    <w:p w:rsidR="00000000" w:rsidDel="00000000" w:rsidP="00000000" w:rsidRDefault="00000000" w:rsidRPr="00000000" w14:paraId="00000136">
      <w:pPr>
        <w:numPr>
          <w:ilvl w:val="0"/>
          <w:numId w:val="4"/>
        </w:numPr>
        <w:spacing w:after="0" w:lineRule="auto"/>
        <w:ind w:left="720" w:hanging="360"/>
        <w:rPr/>
      </w:pPr>
      <w:r w:rsidDel="00000000" w:rsidR="00000000" w:rsidRPr="00000000">
        <w:rPr>
          <w:rtl w:val="0"/>
        </w:rPr>
        <w:t xml:space="preserve">Macedonia (14)</w:t>
      </w:r>
    </w:p>
    <w:p w:rsidR="00000000" w:rsidDel="00000000" w:rsidP="00000000" w:rsidRDefault="00000000" w:rsidRPr="00000000" w14:paraId="00000137">
      <w:pPr>
        <w:numPr>
          <w:ilvl w:val="0"/>
          <w:numId w:val="4"/>
        </w:numPr>
        <w:spacing w:after="0" w:lineRule="auto"/>
        <w:ind w:left="720" w:hanging="360"/>
        <w:rPr/>
      </w:pPr>
      <w:r w:rsidDel="00000000" w:rsidR="00000000" w:rsidRPr="00000000">
        <w:rPr>
          <w:rtl w:val="0"/>
        </w:rPr>
        <w:t xml:space="preserve">Montenegro (14)</w:t>
      </w:r>
    </w:p>
    <w:p w:rsidR="00000000" w:rsidDel="00000000" w:rsidP="00000000" w:rsidRDefault="00000000" w:rsidRPr="00000000" w14:paraId="00000138">
      <w:pPr>
        <w:numPr>
          <w:ilvl w:val="0"/>
          <w:numId w:val="4"/>
        </w:numPr>
        <w:spacing w:after="0" w:lineRule="auto"/>
        <w:ind w:left="720" w:hanging="360"/>
        <w:rPr/>
      </w:pPr>
      <w:r w:rsidDel="00000000" w:rsidR="00000000" w:rsidRPr="00000000">
        <w:rPr>
          <w:rtl w:val="0"/>
        </w:rPr>
        <w:t xml:space="preserve">Bosnia (15)</w:t>
      </w:r>
    </w:p>
    <w:p w:rsidR="00000000" w:rsidDel="00000000" w:rsidP="00000000" w:rsidRDefault="00000000" w:rsidRPr="00000000" w14:paraId="00000139">
      <w:pPr>
        <w:numPr>
          <w:ilvl w:val="0"/>
          <w:numId w:val="4"/>
        </w:numPr>
        <w:spacing w:after="0" w:lineRule="auto"/>
        <w:ind w:left="720" w:hanging="360"/>
        <w:rPr/>
      </w:pPr>
      <w:r w:rsidDel="00000000" w:rsidR="00000000" w:rsidRPr="00000000">
        <w:rPr>
          <w:rtl w:val="0"/>
        </w:rPr>
        <w:t xml:space="preserve">Croatia (28)</w:t>
      </w:r>
    </w:p>
    <w:p w:rsidR="00000000" w:rsidDel="00000000" w:rsidP="00000000" w:rsidRDefault="00000000" w:rsidRPr="00000000" w14:paraId="0000013A">
      <w:pPr>
        <w:numPr>
          <w:ilvl w:val="0"/>
          <w:numId w:val="4"/>
        </w:numPr>
        <w:spacing w:after="0" w:lineRule="auto"/>
        <w:ind w:left="720" w:hanging="360"/>
        <w:rPr/>
      </w:pPr>
      <w:r w:rsidDel="00000000" w:rsidR="00000000" w:rsidRPr="00000000">
        <w:rPr>
          <w:rtl w:val="0"/>
        </w:rPr>
        <w:t xml:space="preserve">Serbia (18)</w:t>
      </w:r>
    </w:p>
    <w:p w:rsidR="00000000" w:rsidDel="00000000" w:rsidP="00000000" w:rsidRDefault="00000000" w:rsidRPr="00000000" w14:paraId="0000013B">
      <w:pPr>
        <w:numPr>
          <w:ilvl w:val="0"/>
          <w:numId w:val="4"/>
        </w:numPr>
        <w:spacing w:after="0" w:lineRule="auto"/>
        <w:ind w:left="720" w:hanging="360"/>
        <w:rPr/>
      </w:pPr>
      <w:r w:rsidDel="00000000" w:rsidR="00000000" w:rsidRPr="00000000">
        <w:rPr>
          <w:rtl w:val="0"/>
        </w:rPr>
        <w:t xml:space="preserve">Greece (36)</w:t>
      </w:r>
    </w:p>
    <w:p w:rsidR="00000000" w:rsidDel="00000000" w:rsidP="00000000" w:rsidRDefault="00000000" w:rsidRPr="00000000" w14:paraId="0000013C">
      <w:pPr>
        <w:numPr>
          <w:ilvl w:val="0"/>
          <w:numId w:val="4"/>
        </w:numPr>
        <w:spacing w:after="0" w:lineRule="auto"/>
        <w:ind w:left="720" w:hanging="360"/>
        <w:rPr/>
      </w:pPr>
      <w:r w:rsidDel="00000000" w:rsidR="00000000" w:rsidRPr="00000000">
        <w:rPr>
          <w:rtl w:val="0"/>
        </w:rPr>
        <w:t xml:space="preserve">Jordan (22)</w:t>
      </w:r>
    </w:p>
    <w:p w:rsidR="00000000" w:rsidDel="00000000" w:rsidP="00000000" w:rsidRDefault="00000000" w:rsidRPr="00000000" w14:paraId="0000013D">
      <w:pPr>
        <w:numPr>
          <w:ilvl w:val="0"/>
          <w:numId w:val="4"/>
        </w:numPr>
        <w:spacing w:after="0" w:lineRule="auto"/>
        <w:ind w:left="720" w:hanging="360"/>
        <w:rPr/>
      </w:pPr>
      <w:r w:rsidDel="00000000" w:rsidR="00000000" w:rsidRPr="00000000">
        <w:rPr>
          <w:rtl w:val="0"/>
        </w:rPr>
        <w:t xml:space="preserve">Morocco (10)</w:t>
      </w:r>
    </w:p>
    <w:p w:rsidR="00000000" w:rsidDel="00000000" w:rsidP="00000000" w:rsidRDefault="00000000" w:rsidRPr="00000000" w14:paraId="0000013E">
      <w:pPr>
        <w:numPr>
          <w:ilvl w:val="0"/>
          <w:numId w:val="4"/>
        </w:numPr>
        <w:spacing w:after="0" w:lineRule="auto"/>
        <w:ind w:left="720" w:hanging="360"/>
        <w:rPr/>
      </w:pPr>
      <w:r w:rsidDel="00000000" w:rsidR="00000000" w:rsidRPr="00000000">
        <w:rPr>
          <w:rtl w:val="0"/>
        </w:rPr>
        <w:t xml:space="preserve">Saami (3)</w:t>
      </w:r>
    </w:p>
    <w:p w:rsidR="00000000" w:rsidDel="00000000" w:rsidP="00000000" w:rsidRDefault="00000000" w:rsidRPr="00000000" w14:paraId="0000013F">
      <w:pPr>
        <w:numPr>
          <w:ilvl w:val="0"/>
          <w:numId w:val="4"/>
        </w:numPr>
        <w:spacing w:after="0" w:lineRule="auto"/>
        <w:ind w:left="720" w:hanging="360"/>
        <w:rPr/>
      </w:pPr>
      <w:r w:rsidDel="00000000" w:rsidR="00000000" w:rsidRPr="00000000">
        <w:rPr>
          <w:rtl w:val="0"/>
        </w:rPr>
        <w:t xml:space="preserve">Ingrian Finns (3)</w:t>
      </w:r>
    </w:p>
    <w:p w:rsidR="00000000" w:rsidDel="00000000" w:rsidP="00000000" w:rsidRDefault="00000000" w:rsidRPr="00000000" w14:paraId="00000140">
      <w:pPr>
        <w:numPr>
          <w:ilvl w:val="0"/>
          <w:numId w:val="4"/>
        </w:numPr>
        <w:spacing w:after="0" w:lineRule="auto"/>
        <w:ind w:left="720" w:hanging="360"/>
        <w:rPr/>
      </w:pPr>
      <w:r w:rsidDel="00000000" w:rsidR="00000000" w:rsidRPr="00000000">
        <w:rPr>
          <w:rtl w:val="0"/>
        </w:rPr>
        <w:t xml:space="preserve">Tuscans from Italy (108)</w:t>
      </w:r>
    </w:p>
    <w:p w:rsidR="00000000" w:rsidDel="00000000" w:rsidP="00000000" w:rsidRDefault="00000000" w:rsidRPr="00000000" w14:paraId="00000141">
      <w:pPr>
        <w:numPr>
          <w:ilvl w:val="0"/>
          <w:numId w:val="4"/>
        </w:numPr>
        <w:spacing w:after="0" w:lineRule="auto"/>
        <w:ind w:left="720" w:hanging="360"/>
        <w:rPr/>
      </w:pPr>
      <w:r w:rsidDel="00000000" w:rsidR="00000000" w:rsidRPr="00000000">
        <w:rPr>
          <w:rtl w:val="0"/>
        </w:rPr>
        <w:t xml:space="preserve">Northern Europeans from Utah (99)</w:t>
      </w:r>
    </w:p>
    <w:p w:rsidR="00000000" w:rsidDel="00000000" w:rsidP="00000000" w:rsidRDefault="00000000" w:rsidRPr="00000000" w14:paraId="00000142">
      <w:pPr>
        <w:numPr>
          <w:ilvl w:val="0"/>
          <w:numId w:val="4"/>
        </w:numPr>
        <w:spacing w:after="0" w:lineRule="auto"/>
        <w:ind w:left="720" w:hanging="360"/>
        <w:rPr/>
      </w:pPr>
      <w:r w:rsidDel="00000000" w:rsidR="00000000" w:rsidRPr="00000000">
        <w:rPr>
          <w:rtl w:val="0"/>
        </w:rPr>
        <w:t xml:space="preserve">Yoruba in Ibadan (108)</w:t>
      </w:r>
    </w:p>
    <w:p w:rsidR="00000000" w:rsidDel="00000000" w:rsidP="00000000" w:rsidRDefault="00000000" w:rsidRPr="00000000" w14:paraId="00000143">
      <w:pPr>
        <w:numPr>
          <w:ilvl w:val="0"/>
          <w:numId w:val="4"/>
        </w:numPr>
        <w:ind w:left="720" w:hanging="360"/>
        <w:rPr/>
      </w:pPr>
      <w:r w:rsidDel="00000000" w:rsidR="00000000" w:rsidRPr="00000000">
        <w:rPr>
          <w:rtl w:val="0"/>
        </w:rPr>
        <w:t xml:space="preserve">Han Chinese in Beijing (103)</w:t>
      </w:r>
    </w:p>
    <w:p w:rsidR="00000000" w:rsidDel="00000000" w:rsidP="00000000" w:rsidRDefault="00000000" w:rsidRPr="00000000" w14:paraId="00000144">
      <w:pPr>
        <w:rPr/>
      </w:pPr>
      <w:r w:rsidDel="00000000" w:rsidR="00000000" w:rsidRPr="00000000">
        <w:rPr>
          <w:rtl w:val="0"/>
        </w:rPr>
        <w:t xml:space="preserve">This includes relevant populations from Great Britain and Ireland, as well as populations from the Netherlands, Germany, and Denmark). Unfortunately, while our reference dataset includes 1,093 present-day Germans, regional origin data reported in Leslie et al. 2015</w:t>
      </w:r>
      <w:hyperlink r:id="rId66">
        <w:r w:rsidDel="00000000" w:rsidR="00000000" w:rsidRPr="00000000">
          <w:rPr>
            <w:color w:val="000000"/>
            <w:vertAlign w:val="superscript"/>
            <w:rtl w:val="0"/>
          </w:rPr>
          <w:t xml:space="preserve">56</w:t>
        </w:r>
      </w:hyperlink>
      <w:r w:rsidDel="00000000" w:rsidR="00000000" w:rsidRPr="00000000">
        <w:rPr>
          <w:rtl w:val="0"/>
        </w:rPr>
        <w:t xml:space="preserve"> for those individuals was not available to us. This is limiting, since there is strong regional genetic differentiation across the German population, especially along an east-to-west and a north-to-south cline</w:t>
      </w:r>
      <w:hyperlink r:id="rId67">
        <w:r w:rsidDel="00000000" w:rsidR="00000000" w:rsidRPr="00000000">
          <w:rPr>
            <w:color w:val="000000"/>
            <w:vertAlign w:val="superscript"/>
            <w:rtl w:val="0"/>
          </w:rPr>
          <w:t xml:space="preserve">74–76</w:t>
        </w:r>
      </w:hyperlink>
      <w:r w:rsidDel="00000000" w:rsidR="00000000" w:rsidRPr="00000000">
        <w:rPr>
          <w:rtl w:val="0"/>
        </w:rPr>
        <w:t xml:space="preserve"> and the addressed German reference data was collected in three centres (Munich, Berlin, and Hamburg)</w:t>
      </w:r>
      <w:hyperlink r:id="rId68">
        <w:r w:rsidDel="00000000" w:rsidR="00000000" w:rsidRPr="00000000">
          <w:rPr>
            <w:color w:val="000000"/>
            <w:vertAlign w:val="superscript"/>
            <w:rtl w:val="0"/>
          </w:rPr>
          <w:t xml:space="preserve">55</w:t>
        </w:r>
      </w:hyperlink>
      <w:r w:rsidDel="00000000" w:rsidR="00000000" w:rsidRPr="00000000">
        <w:rPr>
          <w:rtl w:val="0"/>
        </w:rPr>
        <w:t xml:space="preserve">, covering most of the present-day German genetic diversity</w:t>
      </w:r>
      <w:hyperlink r:id="rId69">
        <w:r w:rsidDel="00000000" w:rsidR="00000000" w:rsidRPr="00000000">
          <w:rPr>
            <w:color w:val="000000"/>
            <w:vertAlign w:val="superscript"/>
            <w:rtl w:val="0"/>
          </w:rPr>
          <w:t xml:space="preserve">56</w:t>
        </w:r>
      </w:hyperlink>
      <w:r w:rsidDel="00000000" w:rsidR="00000000" w:rsidRPr="00000000">
        <w:rPr>
          <w:rtl w:val="0"/>
        </w:rPr>
        <w:t xml:space="preserve">. Treating all German samples as one population would therefore result in the loss of potentially relevant structural information, especially since Lower Saxony is assumed to be one of the emigration areas to England during the early medieval period studied here, and similarly Schleswig-Holstein (historical area of the historic group of the Angles), which highlights the relevance of the present-day northern German population as an important reference in the analysis of medieval samples from England and Lower Saxony. In theory, the northern German sampling was rural and population-based with the majority of samples recruited through out-patient (ambulatory) clinics and a minority recruited from neurological wards, especially around Hamburg. To account for this issue, we used a genetic approach to identify northern Germans. We used the unpublished genomes of seven German individuals, genotyped on 631,172 SNPs, for whom geographic origins of all four grandparents were known, in a hierarchical clustering approach using i) the first 10 PCs of Germany-exclusive principal component analysis (PCA) or ii) pairwise identity-by-state (IBS) data (computed in PLINK</w:t>
      </w:r>
      <w:hyperlink r:id="rId70">
        <w:r w:rsidDel="00000000" w:rsidR="00000000" w:rsidRPr="00000000">
          <w:rPr>
            <w:color w:val="000000"/>
            <w:vertAlign w:val="superscript"/>
            <w:rtl w:val="0"/>
          </w:rPr>
          <w:t xml:space="preserve">61</w:t>
        </w:r>
      </w:hyperlink>
      <w:r w:rsidDel="00000000" w:rsidR="00000000" w:rsidRPr="00000000">
        <w:rPr>
          <w:rtl w:val="0"/>
        </w:rPr>
        <w:t xml:space="preserve">) of the same dataset to identify an intersection of 92 individuals clustering with the three known northern German genomes within both approaches. While this cannot guarantee that the identified German samples originated from northern Germany, PCA and Uniform Manifold Approximation and Projection (UMAP)</w:t>
      </w:r>
      <w:hyperlink r:id="rId71">
        <w:r w:rsidDel="00000000" w:rsidR="00000000" w:rsidRPr="00000000">
          <w:rPr>
            <w:color w:val="000000"/>
            <w:vertAlign w:val="superscript"/>
            <w:rtl w:val="0"/>
          </w:rPr>
          <w:t xml:space="preserve">77</w:t>
        </w:r>
      </w:hyperlink>
      <w:r w:rsidDel="00000000" w:rsidR="00000000" w:rsidRPr="00000000">
        <w:rPr>
          <w:rtl w:val="0"/>
        </w:rPr>
        <w:t xml:space="preserve"> indicate that the identified subsample falls indeed within the expected range of present-day Germans from northern Germany (Supplementary figure 2.1).</w:t>
      </w:r>
    </w:p>
    <w:p w:rsidR="00000000" w:rsidDel="00000000" w:rsidP="00000000" w:rsidRDefault="00000000" w:rsidRPr="00000000" w14:paraId="00000145">
      <w:pPr>
        <w:rPr/>
      </w:pPr>
      <w:r w:rsidDel="00000000" w:rsidR="00000000" w:rsidRPr="00000000">
        <w:rPr>
          <w:rtl w:val="0"/>
        </w:rPr>
        <w:t xml:space="preserve">For the reference data set of contemporary individuals described above, principal component analyses (PCA) were conducted using the smartpca program (v.16000) from the EIGENSOFT (v.6.01) package</w:t>
      </w:r>
      <w:hyperlink r:id="rId72">
        <w:r w:rsidDel="00000000" w:rsidR="00000000" w:rsidRPr="00000000">
          <w:rPr>
            <w:color w:val="000000"/>
            <w:vertAlign w:val="superscript"/>
            <w:rtl w:val="0"/>
          </w:rPr>
          <w:t xml:space="preserve">78</w:t>
        </w:r>
      </w:hyperlink>
      <w:r w:rsidDel="00000000" w:rsidR="00000000" w:rsidRPr="00000000">
        <w:rPr>
          <w:rtl w:val="0"/>
        </w:rPr>
        <w:t xml:space="preserve">. We classify them as:</w:t>
      </w:r>
    </w:p>
    <w:p w:rsidR="00000000" w:rsidDel="00000000" w:rsidP="00000000" w:rsidRDefault="00000000" w:rsidRPr="00000000" w14:paraId="00000146">
      <w:pPr>
        <w:numPr>
          <w:ilvl w:val="0"/>
          <w:numId w:val="1"/>
        </w:numPr>
        <w:pBdr>
          <w:top w:space="0" w:sz="0" w:val="nil"/>
          <w:left w:space="0" w:sz="0" w:val="nil"/>
          <w:bottom w:space="0" w:sz="0" w:val="nil"/>
          <w:right w:space="0" w:sz="0" w:val="nil"/>
          <w:between w:space="0" w:sz="0" w:val="nil"/>
        </w:pBdr>
        <w:spacing w:after="0" w:lineRule="auto"/>
        <w:ind w:left="1080" w:hanging="720"/>
        <w:rPr>
          <w:color w:val="000000"/>
        </w:rPr>
      </w:pPr>
      <w:r w:rsidDel="00000000" w:rsidR="00000000" w:rsidRPr="00000000">
        <w:rPr>
          <w:color w:val="000000"/>
          <w:rtl w:val="0"/>
        </w:rPr>
        <w:t xml:space="preserve">North Sea PCA</w:t>
      </w:r>
    </w:p>
    <w:p w:rsidR="00000000" w:rsidDel="00000000" w:rsidP="00000000" w:rsidRDefault="00000000" w:rsidRPr="00000000" w14:paraId="00000147">
      <w:pPr>
        <w:pBdr>
          <w:top w:space="0" w:sz="0" w:val="nil"/>
          <w:left w:space="0" w:sz="0" w:val="nil"/>
          <w:bottom w:space="0" w:sz="0" w:val="nil"/>
          <w:right w:space="0" w:sz="0" w:val="nil"/>
          <w:between w:space="0" w:sz="0" w:val="nil"/>
        </w:pBdr>
        <w:spacing w:after="0" w:lineRule="auto"/>
        <w:ind w:left="1080" w:firstLine="0"/>
        <w:rPr>
          <w:color w:val="000000"/>
        </w:rPr>
      </w:pPr>
      <w:r w:rsidDel="00000000" w:rsidR="00000000" w:rsidRPr="00000000">
        <w:rPr>
          <w:color w:val="000000"/>
          <w:rtl w:val="0"/>
        </w:rPr>
        <w:t xml:space="preserve">(PCs computed on Ireland, Northern Ireland, Scotland, Orkney, Wales, England, Netherlands, </w:t>
      </w:r>
      <w:r w:rsidDel="00000000" w:rsidR="00000000" w:rsidRPr="00000000">
        <w:rPr>
          <w:rtl w:val="0"/>
        </w:rPr>
        <w:t xml:space="preserve">n</w:t>
      </w:r>
      <w:r w:rsidDel="00000000" w:rsidR="00000000" w:rsidRPr="00000000">
        <w:rPr>
          <w:color w:val="000000"/>
          <w:rtl w:val="0"/>
        </w:rPr>
        <w:t xml:space="preserve">orthern Germany, Denmark, Norway, Sweden)</w:t>
      </w:r>
    </w:p>
    <w:p w:rsidR="00000000" w:rsidDel="00000000" w:rsidP="00000000" w:rsidRDefault="00000000" w:rsidRPr="00000000" w14:paraId="00000148">
      <w:pPr>
        <w:numPr>
          <w:ilvl w:val="0"/>
          <w:numId w:val="1"/>
        </w:numPr>
        <w:pBdr>
          <w:top w:space="0" w:sz="0" w:val="nil"/>
          <w:left w:space="0" w:sz="0" w:val="nil"/>
          <w:bottom w:space="0" w:sz="0" w:val="nil"/>
          <w:right w:space="0" w:sz="0" w:val="nil"/>
          <w:between w:space="0" w:sz="0" w:val="nil"/>
        </w:pBdr>
        <w:spacing w:after="0" w:lineRule="auto"/>
        <w:ind w:left="1080" w:hanging="720"/>
        <w:rPr>
          <w:color w:val="000000"/>
        </w:rPr>
      </w:pPr>
      <w:r w:rsidDel="00000000" w:rsidR="00000000" w:rsidRPr="00000000">
        <w:rPr>
          <w:color w:val="000000"/>
          <w:rtl w:val="0"/>
        </w:rPr>
        <w:t xml:space="preserve">Northwestern European PCA</w:t>
      </w:r>
    </w:p>
    <w:p w:rsidR="00000000" w:rsidDel="00000000" w:rsidP="00000000" w:rsidRDefault="00000000" w:rsidRPr="00000000" w14:paraId="00000149">
      <w:pPr>
        <w:pBdr>
          <w:top w:space="0" w:sz="0" w:val="nil"/>
          <w:left w:space="0" w:sz="0" w:val="nil"/>
          <w:bottom w:space="0" w:sz="0" w:val="nil"/>
          <w:right w:space="0" w:sz="0" w:val="nil"/>
          <w:between w:space="0" w:sz="0" w:val="nil"/>
        </w:pBdr>
        <w:spacing w:after="0" w:lineRule="auto"/>
        <w:ind w:left="1080" w:firstLine="0"/>
        <w:rPr>
          <w:color w:val="000000"/>
        </w:rPr>
      </w:pPr>
      <w:r w:rsidDel="00000000" w:rsidR="00000000" w:rsidRPr="00000000">
        <w:rPr>
          <w:color w:val="000000"/>
          <w:rtl w:val="0"/>
        </w:rPr>
        <w:t xml:space="preserve">(PCs computed on </w:t>
      </w:r>
      <w:r w:rsidDel="00000000" w:rsidR="00000000" w:rsidRPr="00000000">
        <w:rPr>
          <w:rtl w:val="0"/>
        </w:rPr>
        <w:t xml:space="preserve">the above-mentioned North Sea populations plus </w:t>
      </w:r>
      <w:r w:rsidDel="00000000" w:rsidR="00000000" w:rsidRPr="00000000">
        <w:rPr>
          <w:color w:val="000000"/>
          <w:rtl w:val="0"/>
        </w:rPr>
        <w:t xml:space="preserve">Belgium, Germany, and France)</w:t>
      </w:r>
    </w:p>
    <w:p w:rsidR="00000000" w:rsidDel="00000000" w:rsidP="00000000" w:rsidRDefault="00000000" w:rsidRPr="00000000" w14:paraId="0000014A">
      <w:pPr>
        <w:numPr>
          <w:ilvl w:val="0"/>
          <w:numId w:val="1"/>
        </w:numPr>
        <w:pBdr>
          <w:top w:space="0" w:sz="0" w:val="nil"/>
          <w:left w:space="0" w:sz="0" w:val="nil"/>
          <w:bottom w:space="0" w:sz="0" w:val="nil"/>
          <w:right w:space="0" w:sz="0" w:val="nil"/>
          <w:between w:space="0" w:sz="0" w:val="nil"/>
        </w:pBdr>
        <w:spacing w:after="0" w:lineRule="auto"/>
        <w:ind w:left="1080" w:hanging="720"/>
        <w:rPr>
          <w:color w:val="000000"/>
        </w:rPr>
      </w:pPr>
      <w:r w:rsidDel="00000000" w:rsidR="00000000" w:rsidRPr="00000000">
        <w:rPr>
          <w:color w:val="000000"/>
          <w:rtl w:val="0"/>
        </w:rPr>
        <w:t xml:space="preserve">Northeastern European PCA</w:t>
      </w:r>
    </w:p>
    <w:p w:rsidR="00000000" w:rsidDel="00000000" w:rsidP="00000000" w:rsidRDefault="00000000" w:rsidRPr="00000000" w14:paraId="0000014B">
      <w:pPr>
        <w:pBdr>
          <w:top w:space="0" w:sz="0" w:val="nil"/>
          <w:left w:space="0" w:sz="0" w:val="nil"/>
          <w:bottom w:space="0" w:sz="0" w:val="nil"/>
          <w:right w:space="0" w:sz="0" w:val="nil"/>
          <w:between w:space="0" w:sz="0" w:val="nil"/>
        </w:pBdr>
        <w:ind w:left="1080" w:firstLine="0"/>
        <w:rPr>
          <w:color w:val="000000"/>
        </w:rPr>
      </w:pPr>
      <w:r w:rsidDel="00000000" w:rsidR="00000000" w:rsidRPr="00000000">
        <w:rPr>
          <w:color w:val="000000"/>
          <w:rtl w:val="0"/>
        </w:rPr>
        <w:t xml:space="preserve">(PCs computed on </w:t>
      </w:r>
      <w:r w:rsidDel="00000000" w:rsidR="00000000" w:rsidRPr="00000000">
        <w:rPr>
          <w:rtl w:val="0"/>
        </w:rPr>
        <w:t xml:space="preserve">the above-mentioned Northwestern European Populations plus </w:t>
      </w:r>
      <w:r w:rsidDel="00000000" w:rsidR="00000000" w:rsidRPr="00000000">
        <w:rPr>
          <w:color w:val="000000"/>
          <w:rtl w:val="0"/>
        </w:rPr>
        <w:t xml:space="preserve">Finland, Estonia, Latvia, Lithuania, Belarus, and Poland)</w:t>
      </w:r>
    </w:p>
    <w:p w:rsidR="00000000" w:rsidDel="00000000" w:rsidP="00000000" w:rsidRDefault="00000000" w:rsidRPr="00000000" w14:paraId="0000014C">
      <w:pPr>
        <w:rPr/>
      </w:pPr>
      <w:r w:rsidDel="00000000" w:rsidR="00000000" w:rsidRPr="00000000">
        <w:rPr>
          <w:rtl w:val="0"/>
        </w:rPr>
        <w:t xml:space="preserve">As observed in previous studies</w:t>
      </w:r>
      <w:hyperlink r:id="rId73">
        <w:r w:rsidDel="00000000" w:rsidR="00000000" w:rsidRPr="00000000">
          <w:rPr>
            <w:color w:val="000000"/>
            <w:vertAlign w:val="superscript"/>
            <w:rtl w:val="0"/>
          </w:rPr>
          <w:t xml:space="preserve">79,80</w:t>
        </w:r>
      </w:hyperlink>
      <w:r w:rsidDel="00000000" w:rsidR="00000000" w:rsidRPr="00000000">
        <w:rPr>
          <w:rtl w:val="0"/>
        </w:rPr>
        <w:t xml:space="preserve">, the resulting plots noticeably resemble geographic maps of Europe. Individuals from the same geographic region cluster together and major populations are distinguishable. Geographically adjacent populations, and recognizable geographical features of Europe such as the Scandinavian peninsula, Britain and Ireland, or the Baltic Sea are apparent (Extended Data Fig. 7). A highly similar pattern emerges from the multidimensional scaling (MDS) visualisation of pairwise </w:t>
      </w:r>
      <w:r w:rsidDel="00000000" w:rsidR="00000000" w:rsidRPr="00000000">
        <w:rPr>
          <w:i w:val="1"/>
          <w:rtl w:val="0"/>
        </w:rPr>
        <w:t xml:space="preserve">F</w:t>
      </w:r>
      <w:r w:rsidDel="00000000" w:rsidR="00000000" w:rsidRPr="00000000">
        <w:rPr>
          <w:vertAlign w:val="subscript"/>
          <w:rtl w:val="0"/>
        </w:rPr>
        <w:t xml:space="preserve">ST</w:t>
      </w:r>
      <w:r w:rsidDel="00000000" w:rsidR="00000000" w:rsidRPr="00000000">
        <w:rPr>
          <w:rtl w:val="0"/>
        </w:rPr>
        <w:t xml:space="preserve"> distances between the present-day populations (Supp. Fig. 2.2). </w:t>
      </w:r>
    </w:p>
    <w:p w:rsidR="00000000" w:rsidDel="00000000" w:rsidP="00000000" w:rsidRDefault="00000000" w:rsidRPr="00000000" w14:paraId="0000014D">
      <w:pPr>
        <w:rPr/>
      </w:pPr>
      <w:r w:rsidDel="00000000" w:rsidR="00000000" w:rsidRPr="00000000">
        <w:rPr>
          <w:rtl w:val="0"/>
        </w:rPr>
        <w:t xml:space="preserve">Consequently, we merged our present-day DNA reference data with previously published datasets of ancient individuals reported by the Reich Lab in the Allen Ancient DNA Resource v.50.0 (</w:t>
      </w:r>
      <w:hyperlink r:id="rId74">
        <w:r w:rsidDel="00000000" w:rsidR="00000000" w:rsidRPr="00000000">
          <w:rPr>
            <w:color w:val="0563c1"/>
            <w:u w:val="single"/>
            <w:rtl w:val="0"/>
          </w:rPr>
          <w:t xml:space="preserve">https://reich.hms.harvard.edu/allen-ancient-dna-resource-aadr-downloadable-genotypes-present-day-and-ancient-dna-data</w:t>
        </w:r>
      </w:hyperlink>
      <w:r w:rsidDel="00000000" w:rsidR="00000000" w:rsidRPr="00000000">
        <w:rPr>
          <w:rtl w:val="0"/>
        </w:rPr>
        <w:t xml:space="preserve">) as well as additional genome-wide data recently reported in Patterson et al 2021</w:t>
      </w:r>
      <w:hyperlink r:id="rId75">
        <w:r w:rsidDel="00000000" w:rsidR="00000000" w:rsidRPr="00000000">
          <w:rPr>
            <w:color w:val="000000"/>
            <w:vertAlign w:val="superscript"/>
            <w:rtl w:val="0"/>
          </w:rPr>
          <w:t xml:space="preserve">81</w:t>
        </w:r>
      </w:hyperlink>
      <w:r w:rsidDel="00000000" w:rsidR="00000000" w:rsidRPr="00000000">
        <w:rPr>
          <w:rtl w:val="0"/>
        </w:rPr>
        <w:t xml:space="preserve">. In doing so, we corrected for reference allele and strand flips. The final dataset includes genome-wide ancient DNA data from 4,336 individuals, mostly from Europe (but also from Greenland, the Near East, and eastern Russia), ranging between the Mesolithic and the early modern Period</w:t>
      </w:r>
      <w:hyperlink r:id="rId76">
        <w:r w:rsidDel="00000000" w:rsidR="00000000" w:rsidRPr="00000000">
          <w:rPr>
            <w:color w:val="000000"/>
            <w:vertAlign w:val="superscript"/>
            <w:rtl w:val="0"/>
          </w:rPr>
          <w:t xml:space="preserve">81–145</w:t>
        </w:r>
      </w:hyperlink>
      <w:r w:rsidDel="00000000" w:rsidR="00000000" w:rsidRPr="00000000">
        <w:rPr>
          <w:rtl w:val="0"/>
        </w:rPr>
        <w:t xml:space="preserve">. Population labels correspond to the labels used in the Allen Ancient DNA Resource v.50.0 annotation file. </w:t>
      </w:r>
      <w:r w:rsidDel="00000000" w:rsidR="00000000" w:rsidRPr="00000000">
        <w:rPr/>
        <w:drawing>
          <wp:inline distB="0" distT="0" distL="0" distR="0">
            <wp:extent cx="5760720" cy="2880360"/>
            <wp:effectExtent b="0" l="0" r="0" t="0"/>
            <wp:docPr descr="Chart, scatter chart&#10;&#10;Description automatically generated" id="163" name="image47.png"/>
            <a:graphic>
              <a:graphicData uri="http://schemas.openxmlformats.org/drawingml/2006/picture">
                <pic:pic>
                  <pic:nvPicPr>
                    <pic:cNvPr descr="Chart, scatter chart&#10;&#10;Description automatically generated" id="0" name="image47.png"/>
                    <pic:cNvPicPr preferRelativeResize="0"/>
                  </pic:nvPicPr>
                  <pic:blipFill>
                    <a:blip r:embed="rId77"/>
                    <a:srcRect b="0" l="0" r="0" t="0"/>
                    <a:stretch>
                      <a:fillRect/>
                    </a:stretch>
                  </pic:blipFill>
                  <pic:spPr>
                    <a:xfrm>
                      <a:off x="0" y="0"/>
                      <a:ext cx="5760720" cy="2880360"/>
                    </a:xfrm>
                    <a:prstGeom prst="rect"/>
                    <a:ln/>
                  </pic:spPr>
                </pic:pic>
              </a:graphicData>
            </a:graphic>
          </wp:inline>
        </w:drawing>
      </w:r>
      <w:r w:rsidDel="00000000" w:rsidR="00000000" w:rsidRPr="00000000">
        <w:rPr>
          <w:rtl w:val="0"/>
        </w:rPr>
      </w:r>
    </w:p>
    <w:p w:rsidR="00000000" w:rsidDel="00000000" w:rsidP="00000000" w:rsidRDefault="00000000" w:rsidRPr="00000000" w14:paraId="0000014E">
      <w:pPr>
        <w:pBdr>
          <w:top w:space="0" w:sz="0" w:val="nil"/>
          <w:left w:space="0" w:sz="0" w:val="nil"/>
          <w:bottom w:space="0" w:sz="0" w:val="nil"/>
          <w:right w:space="0" w:sz="0" w:val="nil"/>
          <w:between w:space="0" w:sz="0" w:val="nil"/>
        </w:pBdr>
        <w:spacing w:after="200" w:line="240" w:lineRule="auto"/>
        <w:rPr>
          <w:i w:val="1"/>
          <w:sz w:val="18"/>
          <w:szCs w:val="18"/>
        </w:rPr>
      </w:pPr>
      <w:r w:rsidDel="00000000" w:rsidR="00000000" w:rsidRPr="00000000">
        <w:rPr>
          <w:b w:val="1"/>
          <w:i w:val="1"/>
          <w:sz w:val="18"/>
          <w:szCs w:val="18"/>
          <w:rtl w:val="0"/>
        </w:rPr>
        <w:t xml:space="preserve">Supplementary Figure 2.1, Identification of northern German ancestry within the German sample.</w:t>
      </w:r>
      <w:r w:rsidDel="00000000" w:rsidR="00000000" w:rsidRPr="00000000">
        <w:rPr>
          <w:i w:val="1"/>
          <w:sz w:val="18"/>
          <w:szCs w:val="18"/>
          <w:rtl w:val="0"/>
        </w:rPr>
        <w:t xml:space="preserve"> a) A PCA of present-day Germans and Danes recapitulates geography. The locations of the German genomes of known geographic origin are indicated. Genetically identified northern Germans cluster intermediate between Germans and Danes. b) UMAP of the same dataset. </w:t>
      </w:r>
    </w:p>
    <w:p w:rsidR="00000000" w:rsidDel="00000000" w:rsidP="00000000" w:rsidRDefault="00000000" w:rsidRPr="00000000" w14:paraId="0000014F">
      <w:pPr>
        <w:keepNext w:val="1"/>
        <w:rPr/>
      </w:pPr>
      <w:r w:rsidDel="00000000" w:rsidR="00000000" w:rsidRPr="00000000">
        <w:rPr/>
        <w:drawing>
          <wp:inline distB="0" distT="0" distL="0" distR="0">
            <wp:extent cx="5760720" cy="2933065"/>
            <wp:effectExtent b="0" l="0" r="0" t="0"/>
            <wp:docPr descr="Chart, scatter chart&#10;&#10;Description automatically generated" id="170" name="image52.png"/>
            <a:graphic>
              <a:graphicData uri="http://schemas.openxmlformats.org/drawingml/2006/picture">
                <pic:pic>
                  <pic:nvPicPr>
                    <pic:cNvPr descr="Chart, scatter chart&#10;&#10;Description automatically generated" id="0" name="image52.png"/>
                    <pic:cNvPicPr preferRelativeResize="0"/>
                  </pic:nvPicPr>
                  <pic:blipFill>
                    <a:blip r:embed="rId78"/>
                    <a:srcRect b="0" l="0" r="0" t="0"/>
                    <a:stretch>
                      <a:fillRect/>
                    </a:stretch>
                  </pic:blipFill>
                  <pic:spPr>
                    <a:xfrm>
                      <a:off x="0" y="0"/>
                      <a:ext cx="5760720" cy="2933065"/>
                    </a:xfrm>
                    <a:prstGeom prst="rect"/>
                    <a:ln/>
                  </pic:spPr>
                </pic:pic>
              </a:graphicData>
            </a:graphic>
          </wp:inline>
        </w:drawing>
      </w:r>
      <w:r w:rsidDel="00000000" w:rsidR="00000000" w:rsidRPr="00000000">
        <w:rPr>
          <w:rtl w:val="0"/>
        </w:rPr>
      </w:r>
    </w:p>
    <w:p w:rsidR="00000000" w:rsidDel="00000000" w:rsidP="00000000" w:rsidRDefault="00000000" w:rsidRPr="00000000" w14:paraId="00000150">
      <w:pPr>
        <w:pBdr>
          <w:top w:space="0" w:sz="0" w:val="nil"/>
          <w:left w:space="0" w:sz="0" w:val="nil"/>
          <w:bottom w:space="0" w:sz="0" w:val="nil"/>
          <w:right w:space="0" w:sz="0" w:val="nil"/>
          <w:between w:space="0" w:sz="0" w:val="nil"/>
        </w:pBdr>
        <w:spacing w:after="200" w:line="240" w:lineRule="auto"/>
        <w:rPr>
          <w:i w:val="1"/>
          <w:sz w:val="18"/>
          <w:szCs w:val="18"/>
        </w:rPr>
      </w:pPr>
      <w:r w:rsidDel="00000000" w:rsidR="00000000" w:rsidRPr="00000000">
        <w:rPr>
          <w:b w:val="1"/>
          <w:i w:val="1"/>
          <w:sz w:val="18"/>
          <w:szCs w:val="18"/>
          <w:rtl w:val="0"/>
        </w:rPr>
        <w:t xml:space="preserve">Supplementary Figure 2.2, Genetic differentiation within the present-day reference dataset.</w:t>
      </w:r>
      <w:r w:rsidDel="00000000" w:rsidR="00000000" w:rsidRPr="00000000">
        <w:rPr>
          <w:i w:val="1"/>
          <w:sz w:val="18"/>
          <w:szCs w:val="18"/>
          <w:rtl w:val="0"/>
        </w:rPr>
        <w:t xml:space="preserve"> a) Multidimensional scaling (MDS) plot of pairwise F</w:t>
      </w:r>
      <w:r w:rsidDel="00000000" w:rsidR="00000000" w:rsidRPr="00000000">
        <w:rPr>
          <w:i w:val="1"/>
          <w:sz w:val="18"/>
          <w:szCs w:val="18"/>
          <w:vertAlign w:val="subscript"/>
          <w:rtl w:val="0"/>
        </w:rPr>
        <w:t xml:space="preserve">ST</w:t>
      </w:r>
      <w:r w:rsidDel="00000000" w:rsidR="00000000" w:rsidRPr="00000000">
        <w:rPr>
          <w:i w:val="1"/>
          <w:sz w:val="18"/>
          <w:szCs w:val="18"/>
          <w:rtl w:val="0"/>
        </w:rPr>
        <w:t xml:space="preserve"> distances between 15 European populations. b) Same as a) but excluding Italy. </w:t>
      </w:r>
    </w:p>
    <w:p w:rsidR="00000000" w:rsidDel="00000000" w:rsidP="00000000" w:rsidRDefault="00000000" w:rsidRPr="00000000" w14:paraId="00000151">
      <w:pPr>
        <w:pBdr>
          <w:top w:space="0" w:sz="0" w:val="nil"/>
          <w:left w:space="0" w:sz="0" w:val="nil"/>
          <w:bottom w:space="0" w:sz="0" w:val="nil"/>
          <w:right w:space="0" w:sz="0" w:val="nil"/>
          <w:between w:space="0" w:sz="0" w:val="nil"/>
        </w:pBdr>
        <w:spacing w:after="200" w:line="240" w:lineRule="auto"/>
        <w:rPr>
          <w:i w:val="1"/>
          <w:color w:val="44546a"/>
          <w:sz w:val="18"/>
          <w:szCs w:val="18"/>
        </w:rPr>
      </w:pPr>
      <w:r w:rsidDel="00000000" w:rsidR="00000000" w:rsidRPr="00000000">
        <w:rPr>
          <w:rtl w:val="0"/>
        </w:rPr>
      </w:r>
    </w:p>
    <w:p w:rsidR="00000000" w:rsidDel="00000000" w:rsidP="00000000" w:rsidRDefault="00000000" w:rsidRPr="00000000" w14:paraId="00000152">
      <w:pPr>
        <w:pStyle w:val="Heading2"/>
        <w:rPr>
          <w:color w:val="000000"/>
        </w:rPr>
      </w:pPr>
      <w:bookmarkStart w:colFirst="0" w:colLast="0" w:name="_heading=h.nmf14n" w:id="47"/>
      <w:bookmarkEnd w:id="47"/>
      <w:r w:rsidDel="00000000" w:rsidR="00000000" w:rsidRPr="00000000">
        <w:rPr>
          <w:color w:val="000000"/>
          <w:rtl w:val="0"/>
        </w:rPr>
        <w:t xml:space="preserve">Kinship</w:t>
      </w:r>
    </w:p>
    <w:p w:rsidR="00000000" w:rsidDel="00000000" w:rsidP="00000000" w:rsidRDefault="00000000" w:rsidRPr="00000000" w14:paraId="00000153">
      <w:pPr>
        <w:rPr/>
      </w:pPr>
      <w:r w:rsidDel="00000000" w:rsidR="00000000" w:rsidRPr="00000000">
        <w:rPr>
          <w:rtl w:val="0"/>
        </w:rPr>
        <w:t xml:space="preserve">We identified several kinship networks (Methods, Supp. Table 1) across several sites in England and the continent. Notable examples include Anderten in Lower Saxony, as well as Dover Buckland, Sedgeford, Lakenheath, Ely, West Heslerton, and Rookery Hill in England. In these cases we compared kin relationships, uniparental markers, and estimates of ancestry components (as described in Supp. Section 2 and Section 3).</w:t>
      </w:r>
    </w:p>
    <w:p w:rsidR="00000000" w:rsidDel="00000000" w:rsidP="00000000" w:rsidRDefault="00000000" w:rsidRPr="00000000" w14:paraId="00000154">
      <w:pPr>
        <w:rPr/>
      </w:pPr>
      <w:r w:rsidDel="00000000" w:rsidR="00000000" w:rsidRPr="00000000">
        <w:rPr>
          <w:i w:val="1"/>
          <w:rtl w:val="0"/>
        </w:rPr>
        <w:t xml:space="preserve">Anderten</w:t>
      </w:r>
      <w:r w:rsidDel="00000000" w:rsidR="00000000" w:rsidRPr="00000000">
        <w:rPr>
          <w:rtl w:val="0"/>
        </w:rPr>
        <w:t xml:space="preserve">. Here we identify four related individuals within one family (ADN001, ADN003, ADN005, and ADN009/ADN010). Three of those individuals are male and carry the same Y-chromosome haplogroup J2b2a1a1, which is comparatively rare in Northern Europe but more frequent in Southern Europe and Southwestern Asia</w:t>
      </w:r>
      <w:hyperlink r:id="rId79">
        <w:r w:rsidDel="00000000" w:rsidR="00000000" w:rsidRPr="00000000">
          <w:rPr>
            <w:color w:val="000000"/>
            <w:vertAlign w:val="superscript"/>
            <w:rtl w:val="0"/>
          </w:rPr>
          <w:t xml:space="preserve">146</w:t>
        </w:r>
      </w:hyperlink>
      <w:r w:rsidDel="00000000" w:rsidR="00000000" w:rsidRPr="00000000">
        <w:rPr>
          <w:rtl w:val="0"/>
        </w:rPr>
        <w:t xml:space="preserve">. Based on the mtDNA haplogroups and LcMLkin</w:t>
      </w:r>
      <w:hyperlink r:id="rId80">
        <w:r w:rsidDel="00000000" w:rsidR="00000000" w:rsidRPr="00000000">
          <w:rPr>
            <w:color w:val="000000"/>
            <w:vertAlign w:val="superscript"/>
            <w:rtl w:val="0"/>
          </w:rPr>
          <w:t xml:space="preserve">147</w:t>
        </w:r>
      </w:hyperlink>
      <w:r w:rsidDel="00000000" w:rsidR="00000000" w:rsidRPr="00000000">
        <w:rPr>
          <w:rtl w:val="0"/>
        </w:rPr>
        <w:t xml:space="preserve">, we infer that ADN001 (mtDNA: H56) is the father of the siblings ADN003, ADN005, and ADN009 (mtDNA: H2a2a1). While we detect a notable proportion of southern European (Italian-like) ancestry in ADN001 (25.6%), his offspring only exhibit small proportions (0–3%). We further conclude that the unsampled mother probably harboured mostly CNE (Danish/Northern German-like) ancestry. We also find two more first-degree related individuals (father ADN013 &amp; daughter ADN011) at the site who show, however, no closer genetic relatedness to the family group mentioned above. </w:t>
      </w:r>
    </w:p>
    <w:p w:rsidR="00000000" w:rsidDel="00000000" w:rsidP="00000000" w:rsidRDefault="00000000" w:rsidRPr="00000000" w14:paraId="00000155">
      <w:pPr>
        <w:rPr/>
      </w:pPr>
      <w:r w:rsidDel="00000000" w:rsidR="00000000" w:rsidRPr="00000000">
        <w:rPr>
          <w:i w:val="1"/>
          <w:rtl w:val="0"/>
        </w:rPr>
        <w:t xml:space="preserve">Sedgeford</w:t>
      </w:r>
      <w:r w:rsidDel="00000000" w:rsidR="00000000" w:rsidRPr="00000000">
        <w:rPr>
          <w:rtl w:val="0"/>
        </w:rPr>
        <w:t xml:space="preserve">. Here we identify four related individuals (SED006, SED018, SED020, and SED021). All four individuals are male: three individuals (SED018, SED020, and SED021) share R1b-P312 haplogroups (R1b1a1b1a1a2), while one individual (SED006) carries an R1a-M420 haplotype (R1a1a1) commonly found in Scandinavia and eastern Europe</w:t>
      </w:r>
      <w:hyperlink r:id="rId81">
        <w:r w:rsidDel="00000000" w:rsidR="00000000" w:rsidRPr="00000000">
          <w:rPr>
            <w:color w:val="000000"/>
            <w:vertAlign w:val="superscript"/>
            <w:rtl w:val="0"/>
          </w:rPr>
          <w:t xml:space="preserve">148</w:t>
        </w:r>
      </w:hyperlink>
      <w:r w:rsidDel="00000000" w:rsidR="00000000" w:rsidRPr="00000000">
        <w:rPr>
          <w:rtl w:val="0"/>
        </w:rPr>
        <w:t xml:space="preserve">. Interestingly, although R1b-P312 is often associated with the Bronze Age populations of the British-Irish Isles</w:t>
      </w:r>
      <w:hyperlink r:id="rId82">
        <w:r w:rsidDel="00000000" w:rsidR="00000000" w:rsidRPr="00000000">
          <w:rPr>
            <w:color w:val="000000"/>
            <w:vertAlign w:val="superscript"/>
            <w:rtl w:val="0"/>
          </w:rPr>
          <w:t xml:space="preserve">87,130</w:t>
        </w:r>
      </w:hyperlink>
      <w:r w:rsidDel="00000000" w:rsidR="00000000" w:rsidRPr="00000000">
        <w:rPr>
          <w:rtl w:val="0"/>
        </w:rPr>
        <w:t xml:space="preserve">, all four individuals exhibit exclusively CNE ancestry. Based on the mtDNA haplogroups and LcMLkin output, we infer that sample SED020 is the father of SED018 (mtDNA: H1b5), and the brother of SED021, who carries mtDNA haplogroup V, which is frequent in northern Scandinavia</w:t>
      </w:r>
      <w:hyperlink r:id="rId83">
        <w:r w:rsidDel="00000000" w:rsidR="00000000" w:rsidRPr="00000000">
          <w:rPr>
            <w:color w:val="000000"/>
            <w:vertAlign w:val="superscript"/>
            <w:rtl w:val="0"/>
          </w:rPr>
          <w:t xml:space="preserve">149</w:t>
        </w:r>
      </w:hyperlink>
      <w:r w:rsidDel="00000000" w:rsidR="00000000" w:rsidRPr="00000000">
        <w:rPr>
          <w:rtl w:val="0"/>
        </w:rPr>
        <w:t xml:space="preserve">. SED006 neither shares a mtDNA or Y-chromosome haplogroup with the other three samples, but he may be located ancestral to SED020 and SED021 within the pedigree since he is a third–degree relative of both.</w:t>
      </w:r>
    </w:p>
    <w:p w:rsidR="00000000" w:rsidDel="00000000" w:rsidP="00000000" w:rsidRDefault="00000000" w:rsidRPr="00000000" w14:paraId="00000156">
      <w:pPr>
        <w:rPr/>
      </w:pPr>
      <w:r w:rsidDel="00000000" w:rsidR="00000000" w:rsidRPr="00000000">
        <w:rPr>
          <w:i w:val="1"/>
          <w:rtl w:val="0"/>
        </w:rPr>
        <w:t xml:space="preserve">Lakenheath</w:t>
      </w:r>
      <w:r w:rsidDel="00000000" w:rsidR="00000000" w:rsidRPr="00000000">
        <w:rPr>
          <w:rtl w:val="0"/>
        </w:rPr>
        <w:t xml:space="preserve">. Here we identify three related individuals (LAK002, LAK009, and LAK014). Two individuals are male (LAK002 and LAK009), one is female (LAK014). The two males both carry I1a2-Z58 Y-chromosome haplotypes, which are common in Scandinavia and Germanic-speaking Europe</w:t>
      </w:r>
      <w:hyperlink r:id="rId84">
        <w:r w:rsidDel="00000000" w:rsidR="00000000" w:rsidRPr="00000000">
          <w:rPr>
            <w:color w:val="000000"/>
            <w:vertAlign w:val="superscript"/>
            <w:rtl w:val="0"/>
          </w:rPr>
          <w:t xml:space="preserve">150</w:t>
        </w:r>
      </w:hyperlink>
      <w:r w:rsidDel="00000000" w:rsidR="00000000" w:rsidRPr="00000000">
        <w:rPr>
          <w:rtl w:val="0"/>
        </w:rPr>
        <w:t xml:space="preserve">. Based on the mtDNA haplogroups and LcMLkin output, we infer that LAK009 and LAK014 are siblings, carrying K1a1b2a1a haplotypes. LAK002 is the father of both individuals, exhibiting J1c2c2 as mtDNA haplogroup. Notably, LAK002, as well as his daughter and son, shows exclusively CNE ancestry, which indicates that the unsampled mother did not carry local British ancestry either.</w:t>
      </w:r>
    </w:p>
    <w:p w:rsidR="00000000" w:rsidDel="00000000" w:rsidP="00000000" w:rsidRDefault="00000000" w:rsidRPr="00000000" w14:paraId="00000157">
      <w:pPr>
        <w:rPr>
          <w:rFonts w:ascii="Arial" w:cs="Arial" w:eastAsia="Arial" w:hAnsi="Arial"/>
          <w:sz w:val="20"/>
          <w:szCs w:val="20"/>
        </w:rPr>
      </w:pPr>
      <w:r w:rsidDel="00000000" w:rsidR="00000000" w:rsidRPr="00000000">
        <w:rPr>
          <w:i w:val="1"/>
          <w:rtl w:val="0"/>
        </w:rPr>
        <w:t xml:space="preserve">Ely</w:t>
      </w:r>
      <w:r w:rsidDel="00000000" w:rsidR="00000000" w:rsidRPr="00000000">
        <w:rPr>
          <w:rtl w:val="0"/>
        </w:rPr>
        <w:t xml:space="preserve">. Here we identify four related individuals (ELY001, ELY002, ELY004, and ELY005). Two individuals are male (ELY004 and ELY005) and two are female (ELY001 and ELY002). The two male individuals both carry I1-M253 haplotypes but are probably not paternally related. Instead, they are second–degree related on the maternal line, both carrying U5a1a1 haplotypes, which indicates an uncle–nephew relationship. ELY005 is again a second degree relative of ELY001 (mtDNA: </w:t>
      </w:r>
      <w:r w:rsidDel="00000000" w:rsidR="00000000" w:rsidRPr="00000000">
        <w:rPr>
          <w:rFonts w:ascii="Arial" w:cs="Arial" w:eastAsia="Arial" w:hAnsi="Arial"/>
          <w:sz w:val="20"/>
          <w:szCs w:val="20"/>
          <w:rtl w:val="0"/>
        </w:rPr>
        <w:t xml:space="preserve">J1c2b)</w:t>
      </w:r>
      <w:r w:rsidDel="00000000" w:rsidR="00000000" w:rsidRPr="00000000">
        <w:rPr>
          <w:rtl w:val="0"/>
        </w:rPr>
        <w:t xml:space="preserve">, but they do not share the same mtDNA haplogroup. ELY001 is also a third–degree relative of ELY002 (mtDNA: </w:t>
      </w:r>
      <w:r w:rsidDel="00000000" w:rsidR="00000000" w:rsidRPr="00000000">
        <w:rPr>
          <w:rFonts w:ascii="Arial" w:cs="Arial" w:eastAsia="Arial" w:hAnsi="Arial"/>
          <w:sz w:val="20"/>
          <w:szCs w:val="20"/>
          <w:rtl w:val="0"/>
        </w:rPr>
        <w:t xml:space="preserve">H1bb)</w:t>
      </w:r>
      <w:r w:rsidDel="00000000" w:rsidR="00000000" w:rsidRPr="00000000">
        <w:rPr>
          <w:rtl w:val="0"/>
        </w:rPr>
        <w:t xml:space="preserve"> but they do not share the same mtDNA haplogroup, thus excluding kinship on the maternal line. While the males exhibit exclusively CNE ancestry, congruent with their northern European Y-chromosome haplogroup, both females exhibit around 50% CNE ancestry (58% and 50%), which may indicate recent admixture with a local British source.</w:t>
      </w:r>
      <w:r w:rsidDel="00000000" w:rsidR="00000000" w:rsidRPr="00000000">
        <w:rPr>
          <w:rtl w:val="0"/>
        </w:rPr>
      </w:r>
    </w:p>
    <w:p w:rsidR="00000000" w:rsidDel="00000000" w:rsidP="00000000" w:rsidRDefault="00000000" w:rsidRPr="00000000" w14:paraId="00000158">
      <w:pPr>
        <w:rPr/>
      </w:pPr>
      <w:r w:rsidDel="00000000" w:rsidR="00000000" w:rsidRPr="00000000">
        <w:rPr>
          <w:i w:val="1"/>
          <w:rtl w:val="0"/>
        </w:rPr>
        <w:t xml:space="preserve">West Heslerton</w:t>
      </w:r>
      <w:r w:rsidDel="00000000" w:rsidR="00000000" w:rsidRPr="00000000">
        <w:rPr>
          <w:rtl w:val="0"/>
        </w:rPr>
        <w:t xml:space="preserve">. Here we identify a kinship group with nine related individuals. Two individuals are female and seven are male. Both pairs I20649–I20638 and I20638–I11588 have a father–son relationship of unknown order. Since all three males are related on the paternal side, they share the same Y-chromosome haplotype (I1a2-Z58). The remaining individuals exhibit more cryptic second- and third-degree relationships to each other, which cannot be clearly resolved, suggesting a complex kin network in West Heslerton. Notably, they do not share matching mtDNA or Y-chromosome haplogroups. All nine individuals exhibit exclusively CNE ancestry, indicating no admixture with local English sources at all. Two further West Heslerton individuals (I20640 and I20656) which are second– or third–degree related to each other, show no closer genetic relatedness to the family group mentioned above.</w:t>
      </w:r>
    </w:p>
    <w:p w:rsidR="00000000" w:rsidDel="00000000" w:rsidP="00000000" w:rsidRDefault="00000000" w:rsidRPr="00000000" w14:paraId="00000159">
      <w:pPr>
        <w:rPr/>
      </w:pPr>
      <w:r w:rsidDel="00000000" w:rsidR="00000000" w:rsidRPr="00000000">
        <w:rPr>
          <w:i w:val="1"/>
          <w:rtl w:val="0"/>
        </w:rPr>
        <w:t xml:space="preserve">Rookery Hill</w:t>
      </w:r>
      <w:r w:rsidDel="00000000" w:rsidR="00000000" w:rsidRPr="00000000">
        <w:rPr>
          <w:rtl w:val="0"/>
        </w:rPr>
        <w:t xml:space="preserve">. Here we identify a kin group of three related individuals. Two individuals are female and one is male. Based on the mtDNA haplogroups and LcMLkin output, we infer that I14540 is the father of daughter I14541. Both individuals are second– or third–degree related to the female I14534, who does not carry a matching mtDNA haplogroup. All three individuals show exclusively WBI ancestry, which indicates no recent introgression of CNE ancestry into the family complex. We find also two more first–degree related individuals (father I14535 and daughter I14536) at the site who show no closer genetic relatedness to the family group mentioned above.</w:t>
      </w:r>
    </w:p>
    <w:p w:rsidR="00000000" w:rsidDel="00000000" w:rsidP="00000000" w:rsidRDefault="00000000" w:rsidRPr="00000000" w14:paraId="0000015A">
      <w:pPr>
        <w:pBdr>
          <w:top w:space="0" w:sz="0" w:val="nil"/>
          <w:left w:space="0" w:sz="0" w:val="nil"/>
          <w:bottom w:space="0" w:sz="0" w:val="nil"/>
          <w:right w:space="0" w:sz="0" w:val="nil"/>
          <w:between w:space="0" w:sz="0" w:val="nil"/>
        </w:pBdr>
        <w:spacing w:after="200" w:line="240" w:lineRule="auto"/>
        <w:rPr>
          <w:color w:val="44546a"/>
          <w:sz w:val="20"/>
          <w:szCs w:val="20"/>
        </w:rPr>
      </w:pPr>
      <w:r w:rsidDel="00000000" w:rsidR="00000000" w:rsidRPr="00000000">
        <w:rPr>
          <w:rtl w:val="0"/>
        </w:rPr>
      </w:r>
    </w:p>
    <w:p w:rsidR="00000000" w:rsidDel="00000000" w:rsidP="00000000" w:rsidRDefault="00000000" w:rsidRPr="00000000" w14:paraId="0000015B">
      <w:pPr>
        <w:pStyle w:val="Heading2"/>
        <w:rPr/>
      </w:pPr>
      <w:bookmarkStart w:colFirst="0" w:colLast="0" w:name="_heading=h.37m2jsg" w:id="48"/>
      <w:bookmarkEnd w:id="48"/>
      <w:r w:rsidDel="00000000" w:rsidR="00000000" w:rsidRPr="00000000">
        <w:rPr>
          <w:color w:val="000000"/>
          <w:rtl w:val="0"/>
        </w:rPr>
        <w:t xml:space="preserve">Mitochondrial DNA</w:t>
      </w:r>
      <w:r w:rsidDel="00000000" w:rsidR="00000000" w:rsidRPr="00000000">
        <w:rPr>
          <w:rtl w:val="0"/>
        </w:rPr>
      </w:r>
    </w:p>
    <w:p w:rsidR="00000000" w:rsidDel="00000000" w:rsidP="00000000" w:rsidRDefault="00000000" w:rsidRPr="00000000" w14:paraId="0000015C">
      <w:pPr>
        <w:jc w:val="both"/>
        <w:rPr/>
      </w:pPr>
      <w:r w:rsidDel="00000000" w:rsidR="00000000" w:rsidRPr="00000000">
        <w:rPr>
          <w:rtl w:val="0"/>
        </w:rPr>
        <w:t xml:space="preserve">To analyse possible signals of early medieval immigration through the maternal line of descent, we looked at mitochondrial DNA haplogroup sharing across nine “geo-chronological” groups (Supplementary Figure 2.3). We assembled these by combining our new (</w:t>
      </w:r>
      <w:r w:rsidDel="00000000" w:rsidR="00000000" w:rsidRPr="00000000">
        <w:rPr>
          <w:i w:val="1"/>
          <w:rtl w:val="0"/>
        </w:rPr>
        <w:t xml:space="preserve">n </w:t>
      </w:r>
      <w:r w:rsidDel="00000000" w:rsidR="00000000" w:rsidRPr="00000000">
        <w:rPr>
          <w:rtl w:val="0"/>
        </w:rPr>
        <w:t xml:space="preserve">= 417) and published (</w:t>
      </w:r>
      <w:r w:rsidDel="00000000" w:rsidR="00000000" w:rsidRPr="00000000">
        <w:rPr>
          <w:i w:val="1"/>
          <w:rtl w:val="0"/>
        </w:rPr>
        <w:t xml:space="preserve">n </w:t>
      </w:r>
      <w:r w:rsidDel="00000000" w:rsidR="00000000" w:rsidRPr="00000000">
        <w:rPr>
          <w:rtl w:val="0"/>
        </w:rPr>
        <w:t xml:space="preserve">= 909) data (Supp. Table 2.1) with the goal of identifying and differentiating local pre-medieval British mitochondrial lineages from non-local ones. </w:t>
      </w:r>
    </w:p>
    <w:p w:rsidR="00000000" w:rsidDel="00000000" w:rsidP="00000000" w:rsidRDefault="00000000" w:rsidRPr="00000000" w14:paraId="0000015D">
      <w:pPr>
        <w:jc w:val="both"/>
        <w:rPr/>
      </w:pPr>
      <w:r w:rsidDel="00000000" w:rsidR="00000000" w:rsidRPr="00000000">
        <w:rPr>
          <w:rtl w:val="0"/>
        </w:rPr>
        <w:t xml:space="preserve">To this end, we combined samples from Bronze Age and Iron Age Scotland, Ireland, and Wales (Sco_Ire_Wal_BA_IA), with Bronze Age and Iron Age England (Eng_BA_IA), to represent the local mitochondrial gene pool (BritLoc). The North Sea region (NorthSea) was represented by the Bronze Age, Iron Age and early medieval North Sea (NorthSea_BA_IA_EMA), and the later medieval “Viking” North Sea group from Denmark (VK_NorthSea). Taking into consideration the signal of Scandinavian influence that emerged from the genome-wide analyses, we also included the Scandinavian Peninsula (Scand) as a potential secondary source of non-local medieval lineages, here represented by two groups: a small sample of Iron Age and early medieval Scandinavians (ScandP_IA_EMA) and a much larger sample of later medieval Scandinavian “Vikings” from Norway and Sweden (VK_ScandP). We also included small groups of British and Irish “Vikings” (VK_Brit&amp;Ire) and Irish medieval samples (Ire_MA). Finally, we included in the analysis only unrelated individuals on the maternal line of descent, and excluded duplicated individuals present in the dataset.</w:t>
      </w:r>
    </w:p>
    <w:p w:rsidR="00000000" w:rsidDel="00000000" w:rsidP="00000000" w:rsidRDefault="00000000" w:rsidRPr="00000000" w14:paraId="0000015E">
      <w:pPr>
        <w:jc w:val="both"/>
        <w:rPr/>
      </w:pPr>
      <w:r w:rsidDel="00000000" w:rsidR="00000000" w:rsidRPr="00000000">
        <w:rPr>
          <w:rtl w:val="0"/>
        </w:rPr>
        <w:t xml:space="preserve">As discussed above, when we considered the distribution of the major mitochondrial haplogroups across the nine “geo-chronological” groups (Supplementary Figure 2.3), there were no significant patterns or discontinuities that could not be explained by the heterogeneous sample sizes, in contrast to Y-chromosome distributions.</w:t>
      </w:r>
    </w:p>
    <w:p w:rsidR="00000000" w:rsidDel="00000000" w:rsidP="00000000" w:rsidRDefault="00000000" w:rsidRPr="00000000" w14:paraId="0000015F">
      <w:pPr>
        <w:keepNext w:val="1"/>
        <w:jc w:val="both"/>
        <w:rPr/>
      </w:pPr>
      <w:r w:rsidDel="00000000" w:rsidR="00000000" w:rsidRPr="00000000">
        <w:rPr/>
        <w:drawing>
          <wp:inline distB="114300" distT="114300" distL="114300" distR="114300">
            <wp:extent cx="5760410" cy="2794000"/>
            <wp:effectExtent b="0" l="0" r="0" t="0"/>
            <wp:docPr id="166" name="image50.png"/>
            <a:graphic>
              <a:graphicData uri="http://schemas.openxmlformats.org/drawingml/2006/picture">
                <pic:pic>
                  <pic:nvPicPr>
                    <pic:cNvPr id="0" name="image50.png"/>
                    <pic:cNvPicPr preferRelativeResize="0"/>
                  </pic:nvPicPr>
                  <pic:blipFill>
                    <a:blip r:embed="rId85"/>
                    <a:srcRect b="0" l="0" r="0" t="0"/>
                    <a:stretch>
                      <a:fillRect/>
                    </a:stretch>
                  </pic:blipFill>
                  <pic:spPr>
                    <a:xfrm>
                      <a:off x="0" y="0"/>
                      <a:ext cx="5760410" cy="2794000"/>
                    </a:xfrm>
                    <a:prstGeom prst="rect"/>
                    <a:ln/>
                  </pic:spPr>
                </pic:pic>
              </a:graphicData>
            </a:graphic>
          </wp:inline>
        </w:drawing>
      </w:r>
      <w:r w:rsidDel="00000000" w:rsidR="00000000" w:rsidRPr="00000000">
        <w:rPr>
          <w:rtl w:val="0"/>
        </w:rPr>
      </w:r>
    </w:p>
    <w:p w:rsidR="00000000" w:rsidDel="00000000" w:rsidP="00000000" w:rsidRDefault="00000000" w:rsidRPr="00000000" w14:paraId="00000160">
      <w:pPr>
        <w:spacing w:after="200" w:line="240" w:lineRule="auto"/>
        <w:jc w:val="both"/>
        <w:rPr>
          <w:i w:val="1"/>
          <w:sz w:val="18"/>
          <w:szCs w:val="18"/>
        </w:rPr>
      </w:pPr>
      <w:r w:rsidDel="00000000" w:rsidR="00000000" w:rsidRPr="00000000">
        <w:rPr>
          <w:b w:val="1"/>
          <w:i w:val="1"/>
          <w:sz w:val="18"/>
          <w:szCs w:val="18"/>
          <w:rtl w:val="0"/>
        </w:rPr>
        <w:t xml:space="preserve">Supplementary Figure 2.3. mtDNA diversity. </w:t>
      </w:r>
      <w:r w:rsidDel="00000000" w:rsidR="00000000" w:rsidRPr="00000000">
        <w:rPr>
          <w:i w:val="1"/>
          <w:sz w:val="18"/>
          <w:szCs w:val="18"/>
          <w:rtl w:val="0"/>
        </w:rPr>
        <w:t xml:space="preserve">Distribution of the major mitochondrial lineages across the nine geo-chronological groups. Counts only include unrelated individuals.</w:t>
      </w:r>
    </w:p>
    <w:p w:rsidR="00000000" w:rsidDel="00000000" w:rsidP="00000000" w:rsidRDefault="00000000" w:rsidRPr="00000000" w14:paraId="00000161">
      <w:pPr>
        <w:jc w:val="both"/>
        <w:rPr/>
      </w:pPr>
      <w:r w:rsidDel="00000000" w:rsidR="00000000" w:rsidRPr="00000000">
        <w:rPr>
          <w:rtl w:val="0"/>
        </w:rPr>
        <w:t xml:space="preserve">We then looked at the finest level of sub-haplogroup classification (which we refer to as “lineages”) to identify shared lineages between Eng_EMA and the two putative sources: the continental North Sea region (NorthSea_BA_IA_EMA + VK_NorthSea) and the Scandinavian Peninsula (ScandP_IA_EMA + VK_ScandP). </w:t>
      </w:r>
    </w:p>
    <w:p w:rsidR="00000000" w:rsidDel="00000000" w:rsidP="00000000" w:rsidRDefault="00000000" w:rsidRPr="00000000" w14:paraId="00000162">
      <w:pPr>
        <w:jc w:val="both"/>
        <w:rPr/>
      </w:pPr>
      <w:r w:rsidDel="00000000" w:rsidR="00000000" w:rsidRPr="00000000">
        <w:rPr>
          <w:rtl w:val="0"/>
        </w:rPr>
        <w:t xml:space="preserve">This approach has obvious limitations: the absence of a single shared lineage within or across regions is not necessarily evidence of absence; likewise, the presence of a shared lineage across regions is not necessarily evidence of a unique genetic link. To minimise the impact of these caveats, we focused our considerations on aggregate patterns involving multiple lineages, and for each potential candidate lineage, we considered, when possible, the phylogenetic relationships between sister/sub-lineages and their sharing pattern. </w:t>
      </w:r>
    </w:p>
    <w:p w:rsidR="00000000" w:rsidDel="00000000" w:rsidP="00000000" w:rsidRDefault="00000000" w:rsidRPr="00000000" w14:paraId="00000163">
      <w:pPr>
        <w:jc w:val="both"/>
        <w:rPr/>
      </w:pPr>
      <w:r w:rsidDel="00000000" w:rsidR="00000000" w:rsidRPr="00000000">
        <w:rPr>
          <w:rtl w:val="0"/>
        </w:rPr>
        <w:t xml:space="preserve">For example, we labelled as “uncertain” putative shared lineages that were deeply nodal within the haplogroup tree (like T2*) or nested among lineages that had been observed in pre-medieval Britain, such as K2b1a1, shared between Eng_EMA and the Scandinavian group (Supp. Table 2.5), and labelled “uncertain” because the sub-clade K2b1a1a was found in the Eng_BA_IA group. On the other hand, we considered as reliable I1*, shared between Eng_EMA and the NorthSea region (Supp. Table 2.3), despite being nodal, because all I1 lineages we found in the dataset (including I1a1, I1a1a3 and I1a1e) were identified among Vikings from Scandinavia, the North Sea and Britain, and the NorthSea_BA_IA_EMA, while no I1 lineages were detected in Britain BA_IA, or medieval Ireland, even though we did detect I2 lineages (I2*, I2a, and I2a1). </w:t>
      </w:r>
    </w:p>
    <w:p w:rsidR="00000000" w:rsidDel="00000000" w:rsidP="00000000" w:rsidRDefault="00000000" w:rsidRPr="00000000" w14:paraId="00000164">
      <w:pPr>
        <w:jc w:val="both"/>
        <w:rPr/>
      </w:pPr>
      <w:r w:rsidDel="00000000" w:rsidR="00000000" w:rsidRPr="00000000">
        <w:rPr>
          <w:rtl w:val="0"/>
        </w:rPr>
        <w:t xml:space="preserve">At the finest level of haplogroup sub-classification, Eng_EMA included 176 mitochondrial lineages. Of these, 74 were unique to the sample group, and 57 were shared with the putative British local gene pool (BritLoc), of which 19 were uniquely shared, while 38 were also found among the continental medieval samples (Medieval), here including both the North Sea region and the Scandinavian Peninsula. Eng_EMA shared 83 lineages with the medieval group, of which 38 were also detected in the local British gene pool, while 45 were exclusively shared (Supp. Figure 2.4).</w:t>
      </w:r>
    </w:p>
    <w:p w:rsidR="00000000" w:rsidDel="00000000" w:rsidP="00000000" w:rsidRDefault="00000000" w:rsidRPr="00000000" w14:paraId="00000165">
      <w:pPr>
        <w:keepNext w:val="1"/>
        <w:jc w:val="center"/>
        <w:rPr/>
      </w:pPr>
      <w:r w:rsidDel="00000000" w:rsidR="00000000" w:rsidRPr="00000000">
        <w:rPr/>
        <w:drawing>
          <wp:inline distB="114300" distT="114300" distL="114300" distR="114300">
            <wp:extent cx="4286965" cy="4200842"/>
            <wp:effectExtent b="0" l="0" r="0" t="0"/>
            <wp:docPr id="168" name="image51.png"/>
            <a:graphic>
              <a:graphicData uri="http://schemas.openxmlformats.org/drawingml/2006/picture">
                <pic:pic>
                  <pic:nvPicPr>
                    <pic:cNvPr id="0" name="image51.png"/>
                    <pic:cNvPicPr preferRelativeResize="0"/>
                  </pic:nvPicPr>
                  <pic:blipFill>
                    <a:blip r:embed="rId86"/>
                    <a:srcRect b="0" l="0" r="0" t="0"/>
                    <a:stretch>
                      <a:fillRect/>
                    </a:stretch>
                  </pic:blipFill>
                  <pic:spPr>
                    <a:xfrm>
                      <a:off x="0" y="0"/>
                      <a:ext cx="4286965" cy="4200842"/>
                    </a:xfrm>
                    <a:prstGeom prst="rect"/>
                    <a:ln/>
                  </pic:spPr>
                </pic:pic>
              </a:graphicData>
            </a:graphic>
          </wp:inline>
        </w:drawing>
      </w:r>
      <w:r w:rsidDel="00000000" w:rsidR="00000000" w:rsidRPr="00000000">
        <w:rPr>
          <w:rtl w:val="0"/>
        </w:rPr>
      </w:r>
    </w:p>
    <w:p w:rsidR="00000000" w:rsidDel="00000000" w:rsidP="00000000" w:rsidRDefault="00000000" w:rsidRPr="00000000" w14:paraId="00000166">
      <w:pPr>
        <w:spacing w:after="200" w:line="240" w:lineRule="auto"/>
        <w:rPr>
          <w:i w:val="1"/>
          <w:sz w:val="18"/>
          <w:szCs w:val="18"/>
        </w:rPr>
      </w:pPr>
      <w:bookmarkStart w:colFirst="0" w:colLast="0" w:name="_heading=h.1mrcu09" w:id="49"/>
      <w:bookmarkEnd w:id="49"/>
      <w:r w:rsidDel="00000000" w:rsidR="00000000" w:rsidRPr="00000000">
        <w:rPr>
          <w:b w:val="1"/>
          <w:i w:val="1"/>
          <w:sz w:val="18"/>
          <w:szCs w:val="18"/>
          <w:rtl w:val="0"/>
        </w:rPr>
        <w:t xml:space="preserve">Supplementary Figure 2.4. Mitochondrial lineage sharing among the three major population groups</w:t>
      </w:r>
      <w:r w:rsidDel="00000000" w:rsidR="00000000" w:rsidRPr="00000000">
        <w:rPr>
          <w:i w:val="1"/>
          <w:sz w:val="18"/>
          <w:szCs w:val="18"/>
          <w:rtl w:val="0"/>
        </w:rPr>
        <w:t xml:space="preserve">.</w:t>
      </w:r>
    </w:p>
    <w:p w:rsidR="00000000" w:rsidDel="00000000" w:rsidP="00000000" w:rsidRDefault="00000000" w:rsidRPr="00000000" w14:paraId="00000167">
      <w:pPr>
        <w:spacing w:before="240" w:lineRule="auto"/>
        <w:jc w:val="both"/>
        <w:rPr/>
      </w:pPr>
      <w:r w:rsidDel="00000000" w:rsidR="00000000" w:rsidRPr="00000000">
        <w:rPr>
          <w:rtl w:val="0"/>
        </w:rPr>
        <w:t xml:space="preserve">Local (Loc.) and continental (Cont.) shared lineages appear with similar frequencies (~30%) across most of the sampled Eng_EMA regions (Supp. Table 2.2 and Supp. Figure 2.5), with local lineages showing consistently higher values. However, 30–40% of the sampled individuals across the various populations carry haplogroups that remain “Unassigned” (Un.). This category includes both lineages that are unique to the populations compared, and thus not shared, and the 38 lineages that are shared among all analysed populations, and which therefore could not be assigned to any single source.</w:t>
      </w:r>
    </w:p>
    <w:p w:rsidR="00000000" w:rsidDel="00000000" w:rsidP="00000000" w:rsidRDefault="00000000" w:rsidRPr="00000000" w14:paraId="00000168">
      <w:pPr>
        <w:spacing w:before="240" w:lineRule="auto"/>
        <w:jc w:val="both"/>
        <w:rPr/>
      </w:pPr>
      <w:r w:rsidDel="00000000" w:rsidR="00000000" w:rsidRPr="00000000">
        <w:rPr>
          <w:rtl w:val="0"/>
        </w:rPr>
        <w:t xml:space="preserve">There are, however, local variations to this pattern. This is particularly evident when we look at England East, for which we have several numerically significant sites. Here, we observe a much higher presence of local lineages at Oakington (50% Loc. </w:t>
      </w:r>
      <w:r w:rsidDel="00000000" w:rsidR="00000000" w:rsidRPr="00000000">
        <w:rPr>
          <w:i w:val="1"/>
          <w:rtl w:val="0"/>
        </w:rPr>
        <w:t xml:space="preserve">vs</w:t>
      </w:r>
      <w:r w:rsidDel="00000000" w:rsidR="00000000" w:rsidRPr="00000000">
        <w:rPr>
          <w:rtl w:val="0"/>
        </w:rPr>
        <w:t xml:space="preserve"> 31% Cont. – 19% Un.) and Sedgeford (41% Loc. </w:t>
      </w:r>
      <w:r w:rsidDel="00000000" w:rsidR="00000000" w:rsidRPr="00000000">
        <w:rPr>
          <w:i w:val="1"/>
          <w:rtl w:val="0"/>
        </w:rPr>
        <w:t xml:space="preserve">vs</w:t>
      </w:r>
      <w:r w:rsidDel="00000000" w:rsidR="00000000" w:rsidRPr="00000000">
        <w:rPr>
          <w:rtl w:val="0"/>
        </w:rPr>
        <w:t xml:space="preserve"> 29% Cont. – 29% Un.), and slightly lower values at RAF Lakenheath (20% Loc. </w:t>
      </w:r>
      <w:r w:rsidDel="00000000" w:rsidR="00000000" w:rsidRPr="00000000">
        <w:rPr>
          <w:i w:val="1"/>
          <w:rtl w:val="0"/>
        </w:rPr>
        <w:t xml:space="preserve">vs</w:t>
      </w:r>
      <w:r w:rsidDel="00000000" w:rsidR="00000000" w:rsidRPr="00000000">
        <w:rPr>
          <w:rtl w:val="0"/>
        </w:rPr>
        <w:t xml:space="preserve"> 13% Cont. – 67% Un.), although 67% of the samples from this site carry “Unassigned” lineages. Hatherdene Close on the other hand shows a completely opposite pattern, with a higher presence of non-local lineages (24% Loc. </w:t>
      </w:r>
      <w:r w:rsidDel="00000000" w:rsidR="00000000" w:rsidRPr="00000000">
        <w:rPr>
          <w:i w:val="1"/>
          <w:rtl w:val="0"/>
        </w:rPr>
        <w:t xml:space="preserve">vs </w:t>
      </w:r>
      <w:r w:rsidDel="00000000" w:rsidR="00000000" w:rsidRPr="00000000">
        <w:rPr>
          <w:rtl w:val="0"/>
        </w:rPr>
        <w:t xml:space="preserve">47% Cont. – 29% Un.). England North also seems to display a higher frequency of putative non-local lineages (27% Loc. </w:t>
      </w:r>
      <w:r w:rsidDel="00000000" w:rsidR="00000000" w:rsidRPr="00000000">
        <w:rPr>
          <w:i w:val="1"/>
          <w:rtl w:val="0"/>
        </w:rPr>
        <w:t xml:space="preserve">vs </w:t>
      </w:r>
      <w:r w:rsidDel="00000000" w:rsidR="00000000" w:rsidRPr="00000000">
        <w:rPr>
          <w:rtl w:val="0"/>
        </w:rPr>
        <w:t xml:space="preserve">35% Cont. – 38% Un.), although this value relies on frequencies observed at a single site, West Heslerton, one of the early Anglo-Saxon cemeteries, where genomic analysis has shown integration of individuals with CNE and WBI ancestry.</w:t>
      </w:r>
    </w:p>
    <w:p w:rsidR="00000000" w:rsidDel="00000000" w:rsidP="00000000" w:rsidRDefault="00000000" w:rsidRPr="00000000" w14:paraId="00000169">
      <w:pPr>
        <w:keepNext w:val="1"/>
        <w:spacing w:after="200" w:line="240" w:lineRule="auto"/>
        <w:jc w:val="both"/>
        <w:rPr>
          <w:i w:val="1"/>
          <w:sz w:val="18"/>
          <w:szCs w:val="18"/>
        </w:rPr>
      </w:pPr>
      <w:r w:rsidDel="00000000" w:rsidR="00000000" w:rsidRPr="00000000">
        <w:rPr>
          <w:i w:val="1"/>
          <w:sz w:val="18"/>
          <w:szCs w:val="18"/>
          <w:rtl w:val="0"/>
        </w:rPr>
        <w:t xml:space="preserve">Supp. Table 2.2. Distribution of individuals carrying shared lineages of Local and Continental medieval origin, respectively, across the Eng_EMA, British and Irish Vikings and Ireland MA groups.</w:t>
      </w:r>
    </w:p>
    <w:tbl>
      <w:tblPr>
        <w:tblStyle w:val="Table1"/>
        <w:tblW w:w="9195.000000000002" w:type="dxa"/>
        <w:jc w:val="left"/>
        <w:tblInd w:w="0.0" w:type="dxa"/>
        <w:tblLayout w:type="fixed"/>
        <w:tblLook w:val="0400"/>
      </w:tblPr>
      <w:tblGrid>
        <w:gridCol w:w="4021"/>
        <w:gridCol w:w="635"/>
        <w:gridCol w:w="797"/>
        <w:gridCol w:w="482"/>
        <w:gridCol w:w="873"/>
        <w:gridCol w:w="595"/>
        <w:gridCol w:w="1197"/>
        <w:gridCol w:w="595"/>
        <w:tblGridChange w:id="0">
          <w:tblGrid>
            <w:gridCol w:w="4021"/>
            <w:gridCol w:w="635"/>
            <w:gridCol w:w="797"/>
            <w:gridCol w:w="482"/>
            <w:gridCol w:w="873"/>
            <w:gridCol w:w="595"/>
            <w:gridCol w:w="1197"/>
            <w:gridCol w:w="595"/>
          </w:tblGrid>
        </w:tblGridChange>
      </w:tblGrid>
      <w:tr>
        <w:trPr>
          <w:cantSplit w:val="0"/>
          <w:trHeight w:val="315" w:hRule="atLeast"/>
          <w:tblHeader w:val="0"/>
        </w:trPr>
        <w:tc>
          <w:tcPr>
            <w:vMerge w:val="restart"/>
            <w:tcBorders>
              <w:top w:color="000000" w:space="0" w:sz="0" w:val="nil"/>
              <w:left w:color="000000" w:space="0" w:sz="0" w:val="nil"/>
              <w:bottom w:color="8ea9db" w:space="0" w:sz="4" w:val="single"/>
              <w:right w:color="000000" w:space="0" w:sz="0" w:val="nil"/>
            </w:tcBorders>
            <w:shd w:fill="auto" w:val="clear"/>
            <w:vAlign w:val="center"/>
          </w:tcPr>
          <w:p w:rsidR="00000000" w:rsidDel="00000000" w:rsidP="00000000" w:rsidRDefault="00000000" w:rsidRPr="00000000" w14:paraId="0000016A">
            <w:pPr>
              <w:spacing w:after="0" w:line="240" w:lineRule="auto"/>
              <w:jc w:val="center"/>
              <w:rPr>
                <w:b w:val="1"/>
                <w:sz w:val="20"/>
                <w:szCs w:val="20"/>
              </w:rPr>
            </w:pPr>
            <w:r w:rsidDel="00000000" w:rsidR="00000000" w:rsidRPr="00000000">
              <w:rPr>
                <w:b w:val="1"/>
                <w:sz w:val="20"/>
                <w:szCs w:val="20"/>
                <w:rtl w:val="0"/>
              </w:rPr>
              <w:t xml:space="preserve">Eng_EMA</w:t>
            </w:r>
          </w:p>
        </w:tc>
        <w:tc>
          <w:tcPr>
            <w:vMerge w:val="restart"/>
            <w:tcBorders>
              <w:top w:color="000000" w:space="0" w:sz="0" w:val="nil"/>
              <w:left w:color="000000" w:space="0" w:sz="0" w:val="nil"/>
              <w:bottom w:color="8ea9db" w:space="0" w:sz="4" w:val="single"/>
              <w:right w:color="000000" w:space="0" w:sz="0" w:val="nil"/>
            </w:tcBorders>
            <w:shd w:fill="auto" w:val="clear"/>
            <w:vAlign w:val="center"/>
          </w:tcPr>
          <w:p w:rsidR="00000000" w:rsidDel="00000000" w:rsidP="00000000" w:rsidRDefault="00000000" w:rsidRPr="00000000" w14:paraId="0000016B">
            <w:pPr>
              <w:spacing w:after="0" w:line="240" w:lineRule="auto"/>
              <w:jc w:val="center"/>
              <w:rPr>
                <w:b w:val="1"/>
                <w:i w:val="1"/>
                <w:sz w:val="20"/>
                <w:szCs w:val="20"/>
              </w:rPr>
            </w:pPr>
            <w:r w:rsidDel="00000000" w:rsidR="00000000" w:rsidRPr="00000000">
              <w:rPr>
                <w:b w:val="1"/>
                <w:i w:val="1"/>
                <w:sz w:val="20"/>
                <w:szCs w:val="20"/>
                <w:rtl w:val="0"/>
              </w:rPr>
              <w:t xml:space="preserve">n</w:t>
            </w:r>
          </w:p>
        </w:tc>
        <w:tc>
          <w:tcPr>
            <w:gridSpan w:val="6"/>
            <w:tcBorders>
              <w:top w:color="000000" w:space="0" w:sz="4" w:val="single"/>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6C">
            <w:pPr>
              <w:spacing w:after="0" w:line="240" w:lineRule="auto"/>
              <w:jc w:val="center"/>
              <w:rPr>
                <w:b w:val="1"/>
                <w:sz w:val="20"/>
                <w:szCs w:val="20"/>
              </w:rPr>
            </w:pPr>
            <w:r w:rsidDel="00000000" w:rsidR="00000000" w:rsidRPr="00000000">
              <w:rPr>
                <w:b w:val="1"/>
                <w:sz w:val="20"/>
                <w:szCs w:val="20"/>
                <w:rtl w:val="0"/>
              </w:rPr>
              <w:t xml:space="preserve">Shared</w:t>
            </w:r>
          </w:p>
        </w:tc>
      </w:tr>
      <w:tr>
        <w:trPr>
          <w:cantSplit w:val="0"/>
          <w:trHeight w:val="315" w:hRule="atLeast"/>
          <w:tblHeader w:val="0"/>
        </w:trPr>
        <w:tc>
          <w:tcPr>
            <w:vMerge w:val="continue"/>
            <w:tcBorders>
              <w:top w:color="000000" w:space="0" w:sz="0" w:val="nil"/>
              <w:left w:color="000000" w:space="0" w:sz="0" w:val="nil"/>
              <w:bottom w:color="8ea9db" w:space="0" w:sz="4" w:val="single"/>
              <w:right w:color="000000" w:space="0" w:sz="0" w:val="nil"/>
            </w:tcBorders>
            <w:shd w:fill="auto" w:val="clear"/>
            <w:vAlign w:val="center"/>
          </w:tcPr>
          <w:p w:rsidR="00000000" w:rsidDel="00000000" w:rsidP="00000000" w:rsidRDefault="00000000" w:rsidRPr="00000000" w14:paraId="000001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0"/>
                <w:szCs w:val="20"/>
              </w:rPr>
            </w:pPr>
            <w:r w:rsidDel="00000000" w:rsidR="00000000" w:rsidRPr="00000000">
              <w:rPr>
                <w:rtl w:val="0"/>
              </w:rPr>
            </w:r>
          </w:p>
        </w:tc>
        <w:tc>
          <w:tcPr>
            <w:vMerge w:val="continue"/>
            <w:tcBorders>
              <w:top w:color="000000" w:space="0" w:sz="0" w:val="nil"/>
              <w:left w:color="000000" w:space="0" w:sz="0" w:val="nil"/>
              <w:bottom w:color="8ea9db" w:space="0" w:sz="4" w:val="single"/>
              <w:right w:color="000000" w:space="0" w:sz="0" w:val="nil"/>
            </w:tcBorders>
            <w:shd w:fill="auto" w:val="clear"/>
            <w:vAlign w:val="center"/>
          </w:tcPr>
          <w:p w:rsidR="00000000" w:rsidDel="00000000" w:rsidP="00000000" w:rsidRDefault="00000000" w:rsidRPr="00000000" w14:paraId="000001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0"/>
                <w:szCs w:val="20"/>
              </w:rPr>
            </w:pPr>
            <w:r w:rsidDel="00000000" w:rsidR="00000000" w:rsidRPr="00000000">
              <w:rPr>
                <w:rtl w:val="0"/>
              </w:rPr>
            </w:r>
          </w:p>
        </w:tc>
        <w:tc>
          <w:tcPr>
            <w:tcBorders>
              <w:top w:color="000000" w:space="0" w:sz="0" w:val="nil"/>
              <w:left w:color="000000" w:space="0" w:sz="0" w:val="nil"/>
              <w:bottom w:color="8ea9db" w:space="0" w:sz="4" w:val="single"/>
              <w:right w:color="000000" w:space="0" w:sz="0" w:val="nil"/>
            </w:tcBorders>
            <w:shd w:fill="ffc000" w:val="clear"/>
            <w:vAlign w:val="center"/>
          </w:tcPr>
          <w:p w:rsidR="00000000" w:rsidDel="00000000" w:rsidP="00000000" w:rsidRDefault="00000000" w:rsidRPr="00000000" w14:paraId="00000174">
            <w:pPr>
              <w:spacing w:after="0" w:line="240" w:lineRule="auto"/>
              <w:jc w:val="center"/>
              <w:rPr>
                <w:b w:val="1"/>
                <w:sz w:val="20"/>
                <w:szCs w:val="20"/>
              </w:rPr>
            </w:pPr>
            <w:r w:rsidDel="00000000" w:rsidR="00000000" w:rsidRPr="00000000">
              <w:rPr>
                <w:b w:val="1"/>
                <w:sz w:val="20"/>
                <w:szCs w:val="20"/>
                <w:rtl w:val="0"/>
              </w:rPr>
              <w:t xml:space="preserve">Brit</w:t>
              <w:br w:type="textWrapping"/>
              <w:t xml:space="preserve">Loc</w:t>
            </w:r>
          </w:p>
        </w:tc>
        <w:tc>
          <w:tcPr>
            <w:tcBorders>
              <w:top w:color="000000" w:space="0" w:sz="0" w:val="nil"/>
              <w:left w:color="000000" w:space="0" w:sz="0" w:val="nil"/>
              <w:bottom w:color="8ea9db" w:space="0" w:sz="4" w:val="single"/>
              <w:right w:color="000000" w:space="0" w:sz="0" w:val="nil"/>
            </w:tcBorders>
            <w:shd w:fill="ffc000" w:val="clear"/>
            <w:vAlign w:val="center"/>
          </w:tcPr>
          <w:p w:rsidR="00000000" w:rsidDel="00000000" w:rsidP="00000000" w:rsidRDefault="00000000" w:rsidRPr="00000000" w14:paraId="00000175">
            <w:pPr>
              <w:spacing w:after="0" w:line="240" w:lineRule="auto"/>
              <w:jc w:val="center"/>
              <w:rPr>
                <w:b w:val="1"/>
                <w:sz w:val="20"/>
                <w:szCs w:val="20"/>
                <w:vertAlign w:val="superscript"/>
              </w:rPr>
            </w:pPr>
            <w:r w:rsidDel="00000000" w:rsidR="00000000" w:rsidRPr="00000000">
              <w:rPr>
                <w:b w:val="1"/>
                <w:sz w:val="20"/>
                <w:szCs w:val="20"/>
                <w:rtl w:val="0"/>
              </w:rPr>
              <w:t xml:space="preserve">%</w:t>
            </w:r>
            <w:r w:rsidDel="00000000" w:rsidR="00000000" w:rsidRPr="00000000">
              <w:rPr>
                <w:b w:val="1"/>
                <w:sz w:val="20"/>
                <w:szCs w:val="20"/>
                <w:vertAlign w:val="superscript"/>
                <w:rtl w:val="0"/>
              </w:rPr>
              <w:t xml:space="preserve">a</w:t>
            </w:r>
          </w:p>
        </w:tc>
        <w:tc>
          <w:tcPr>
            <w:tcBorders>
              <w:top w:color="000000" w:space="0" w:sz="0" w:val="nil"/>
              <w:left w:color="000000" w:space="0" w:sz="0" w:val="nil"/>
              <w:bottom w:color="8ea9db" w:space="0" w:sz="4" w:val="single"/>
              <w:right w:color="000000" w:space="0" w:sz="0" w:val="nil"/>
            </w:tcBorders>
            <w:shd w:fill="4472c4" w:val="clear"/>
            <w:vAlign w:val="center"/>
          </w:tcPr>
          <w:p w:rsidR="00000000" w:rsidDel="00000000" w:rsidP="00000000" w:rsidRDefault="00000000" w:rsidRPr="00000000" w14:paraId="00000176">
            <w:pPr>
              <w:spacing w:after="0" w:line="240" w:lineRule="auto"/>
              <w:jc w:val="center"/>
              <w:rPr>
                <w:b w:val="1"/>
                <w:color w:val="ffffff"/>
                <w:sz w:val="20"/>
                <w:szCs w:val="20"/>
              </w:rPr>
            </w:pPr>
            <w:r w:rsidDel="00000000" w:rsidR="00000000" w:rsidRPr="00000000">
              <w:rPr>
                <w:b w:val="1"/>
                <w:color w:val="ffffff"/>
                <w:sz w:val="20"/>
                <w:szCs w:val="20"/>
                <w:rtl w:val="0"/>
              </w:rPr>
              <w:t xml:space="preserve">Continental </w:t>
            </w:r>
          </w:p>
        </w:tc>
        <w:tc>
          <w:tcPr>
            <w:tcBorders>
              <w:top w:color="000000" w:space="0" w:sz="0" w:val="nil"/>
              <w:left w:color="000000" w:space="0" w:sz="0" w:val="nil"/>
              <w:bottom w:color="8ea9db" w:space="0" w:sz="4" w:val="single"/>
              <w:right w:color="000000" w:space="0" w:sz="0" w:val="nil"/>
            </w:tcBorders>
            <w:shd w:fill="4472c4" w:val="clear"/>
            <w:vAlign w:val="center"/>
          </w:tcPr>
          <w:p w:rsidR="00000000" w:rsidDel="00000000" w:rsidP="00000000" w:rsidRDefault="00000000" w:rsidRPr="00000000" w14:paraId="00000177">
            <w:pPr>
              <w:spacing w:after="0" w:line="240" w:lineRule="auto"/>
              <w:jc w:val="center"/>
              <w:rPr>
                <w:b w:val="1"/>
                <w:color w:val="ffffff"/>
                <w:sz w:val="20"/>
                <w:szCs w:val="20"/>
                <w:vertAlign w:val="superscript"/>
              </w:rPr>
            </w:pPr>
            <w:r w:rsidDel="00000000" w:rsidR="00000000" w:rsidRPr="00000000">
              <w:rPr>
                <w:b w:val="1"/>
                <w:color w:val="ffffff"/>
                <w:sz w:val="20"/>
                <w:szCs w:val="20"/>
                <w:rtl w:val="0"/>
              </w:rPr>
              <w:t xml:space="preserve">%</w:t>
            </w:r>
            <w:r w:rsidDel="00000000" w:rsidR="00000000" w:rsidRPr="00000000">
              <w:rPr>
                <w:b w:val="1"/>
                <w:color w:val="ffffff"/>
                <w:sz w:val="20"/>
                <w:szCs w:val="20"/>
                <w:vertAlign w:val="superscript"/>
                <w:rtl w:val="0"/>
              </w:rPr>
              <w:t xml:space="preserve">a</w:t>
            </w:r>
          </w:p>
        </w:tc>
        <w:tc>
          <w:tcPr>
            <w:tcBorders>
              <w:top w:color="000000" w:space="0" w:sz="0" w:val="nil"/>
              <w:left w:color="000000" w:space="0" w:sz="0" w:val="nil"/>
              <w:bottom w:color="8ea9db" w:space="0" w:sz="4" w:val="single"/>
              <w:right w:color="000000" w:space="0" w:sz="0" w:val="nil"/>
            </w:tcBorders>
            <w:shd w:fill="d9d9d9" w:val="clear"/>
            <w:vAlign w:val="center"/>
          </w:tcPr>
          <w:p w:rsidR="00000000" w:rsidDel="00000000" w:rsidP="00000000" w:rsidRDefault="00000000" w:rsidRPr="00000000" w14:paraId="00000178">
            <w:pPr>
              <w:spacing w:after="0" w:line="240" w:lineRule="auto"/>
              <w:jc w:val="center"/>
              <w:rPr>
                <w:b w:val="1"/>
                <w:sz w:val="20"/>
                <w:szCs w:val="20"/>
              </w:rPr>
            </w:pPr>
            <w:r w:rsidDel="00000000" w:rsidR="00000000" w:rsidRPr="00000000">
              <w:rPr>
                <w:b w:val="1"/>
                <w:sz w:val="20"/>
                <w:szCs w:val="20"/>
                <w:rtl w:val="0"/>
              </w:rPr>
              <w:t xml:space="preserve">Unassigned</w:t>
            </w:r>
          </w:p>
        </w:tc>
        <w:tc>
          <w:tcPr>
            <w:tcBorders>
              <w:top w:color="000000" w:space="0" w:sz="0" w:val="nil"/>
              <w:left w:color="000000" w:space="0" w:sz="0" w:val="nil"/>
              <w:bottom w:color="8ea9db" w:space="0" w:sz="4" w:val="single"/>
              <w:right w:color="000000" w:space="0" w:sz="0" w:val="nil"/>
            </w:tcBorders>
            <w:shd w:fill="d9d9d9" w:val="clear"/>
            <w:vAlign w:val="center"/>
          </w:tcPr>
          <w:p w:rsidR="00000000" w:rsidDel="00000000" w:rsidP="00000000" w:rsidRDefault="00000000" w:rsidRPr="00000000" w14:paraId="00000179">
            <w:pPr>
              <w:spacing w:after="0" w:line="240" w:lineRule="auto"/>
              <w:jc w:val="center"/>
              <w:rPr>
                <w:b w:val="1"/>
                <w:sz w:val="20"/>
                <w:szCs w:val="20"/>
                <w:vertAlign w:val="superscript"/>
              </w:rPr>
            </w:pPr>
            <w:r w:rsidDel="00000000" w:rsidR="00000000" w:rsidRPr="00000000">
              <w:rPr>
                <w:b w:val="1"/>
                <w:sz w:val="20"/>
                <w:szCs w:val="20"/>
                <w:rtl w:val="0"/>
              </w:rPr>
              <w:t xml:space="preserve">%</w:t>
            </w:r>
            <w:r w:rsidDel="00000000" w:rsidR="00000000" w:rsidRPr="00000000">
              <w:rPr>
                <w:b w:val="1"/>
                <w:sz w:val="20"/>
                <w:szCs w:val="20"/>
                <w:vertAlign w:val="superscript"/>
                <w:rtl w:val="0"/>
              </w:rPr>
              <w:t xml:space="preserve">a</w:t>
            </w:r>
          </w:p>
        </w:tc>
      </w:tr>
      <w:tr>
        <w:trPr>
          <w:cantSplit w:val="0"/>
          <w:trHeight w:val="315" w:hRule="atLeast"/>
          <w:tblHeader w:val="0"/>
        </w:trPr>
        <w:tc>
          <w:tcPr>
            <w:tcBorders>
              <w:top w:color="000000" w:space="0" w:sz="0" w:val="nil"/>
              <w:left w:color="000000" w:space="0" w:sz="0" w:val="nil"/>
              <w:bottom w:color="8ea9db" w:space="0" w:sz="4" w:val="single"/>
              <w:right w:color="000000" w:space="0" w:sz="0" w:val="nil"/>
            </w:tcBorders>
            <w:shd w:fill="f2f2f2" w:val="clear"/>
            <w:vAlign w:val="center"/>
          </w:tcPr>
          <w:p w:rsidR="00000000" w:rsidDel="00000000" w:rsidP="00000000" w:rsidRDefault="00000000" w:rsidRPr="00000000" w14:paraId="0000017A">
            <w:pPr>
              <w:spacing w:after="0" w:line="240" w:lineRule="auto"/>
              <w:rPr>
                <w:b w:val="1"/>
                <w:sz w:val="20"/>
                <w:szCs w:val="20"/>
              </w:rPr>
            </w:pPr>
            <w:r w:rsidDel="00000000" w:rsidR="00000000" w:rsidRPr="00000000">
              <w:rPr>
                <w:b w:val="1"/>
                <w:sz w:val="20"/>
                <w:szCs w:val="20"/>
                <w:rtl w:val="0"/>
              </w:rPr>
              <w:t xml:space="preserve">England</w:t>
            </w:r>
          </w:p>
        </w:tc>
        <w:tc>
          <w:tcPr>
            <w:tcBorders>
              <w:top w:color="000000" w:space="0" w:sz="0" w:val="nil"/>
              <w:left w:color="000000" w:space="0" w:sz="0" w:val="nil"/>
              <w:bottom w:color="8ea9db" w:space="0" w:sz="4" w:val="single"/>
              <w:right w:color="000000" w:space="0" w:sz="0" w:val="nil"/>
            </w:tcBorders>
            <w:shd w:fill="f2f2f2" w:val="clear"/>
            <w:vAlign w:val="center"/>
          </w:tcPr>
          <w:p w:rsidR="00000000" w:rsidDel="00000000" w:rsidP="00000000" w:rsidRDefault="00000000" w:rsidRPr="00000000" w14:paraId="0000017B">
            <w:pPr>
              <w:spacing w:after="0" w:line="240" w:lineRule="auto"/>
              <w:jc w:val="right"/>
              <w:rPr>
                <w:b w:val="1"/>
                <w:sz w:val="20"/>
                <w:szCs w:val="20"/>
              </w:rPr>
            </w:pPr>
            <w:r w:rsidDel="00000000" w:rsidR="00000000" w:rsidRPr="00000000">
              <w:rPr>
                <w:b w:val="1"/>
                <w:sz w:val="20"/>
                <w:szCs w:val="20"/>
                <w:rtl w:val="0"/>
              </w:rPr>
              <w:t xml:space="preserve">249</w:t>
            </w:r>
          </w:p>
        </w:tc>
        <w:tc>
          <w:tcPr>
            <w:tcBorders>
              <w:top w:color="000000" w:space="0" w:sz="0" w:val="nil"/>
              <w:left w:color="000000" w:space="0" w:sz="0" w:val="nil"/>
              <w:bottom w:color="8ea9db" w:space="0" w:sz="4" w:val="single"/>
              <w:right w:color="000000" w:space="0" w:sz="0" w:val="nil"/>
            </w:tcBorders>
            <w:shd w:fill="f2f2f2" w:val="clear"/>
            <w:vAlign w:val="center"/>
          </w:tcPr>
          <w:p w:rsidR="00000000" w:rsidDel="00000000" w:rsidP="00000000" w:rsidRDefault="00000000" w:rsidRPr="00000000" w14:paraId="0000017C">
            <w:pPr>
              <w:spacing w:after="0" w:line="240" w:lineRule="auto"/>
              <w:jc w:val="right"/>
              <w:rPr>
                <w:b w:val="1"/>
                <w:sz w:val="20"/>
                <w:szCs w:val="20"/>
              </w:rPr>
            </w:pPr>
            <w:r w:rsidDel="00000000" w:rsidR="00000000" w:rsidRPr="00000000">
              <w:rPr>
                <w:b w:val="1"/>
                <w:sz w:val="20"/>
                <w:szCs w:val="20"/>
                <w:rtl w:val="0"/>
              </w:rPr>
              <w:t xml:space="preserve">90</w:t>
            </w:r>
          </w:p>
        </w:tc>
        <w:tc>
          <w:tcPr>
            <w:tcBorders>
              <w:top w:color="000000" w:space="0" w:sz="0" w:val="nil"/>
              <w:left w:color="000000" w:space="0" w:sz="0" w:val="nil"/>
              <w:bottom w:color="8ea9db" w:space="0" w:sz="4" w:val="single"/>
              <w:right w:color="000000" w:space="0" w:sz="0" w:val="nil"/>
            </w:tcBorders>
            <w:shd w:fill="f2f2f2" w:val="clear"/>
            <w:vAlign w:val="center"/>
          </w:tcPr>
          <w:p w:rsidR="00000000" w:rsidDel="00000000" w:rsidP="00000000" w:rsidRDefault="00000000" w:rsidRPr="00000000" w14:paraId="0000017D">
            <w:pPr>
              <w:spacing w:after="0" w:line="240" w:lineRule="auto"/>
              <w:jc w:val="right"/>
              <w:rPr>
                <w:b w:val="1"/>
                <w:sz w:val="20"/>
                <w:szCs w:val="20"/>
              </w:rPr>
            </w:pPr>
            <w:r w:rsidDel="00000000" w:rsidR="00000000" w:rsidRPr="00000000">
              <w:rPr>
                <w:b w:val="1"/>
                <w:sz w:val="20"/>
                <w:szCs w:val="20"/>
                <w:rtl w:val="0"/>
              </w:rPr>
              <w:t xml:space="preserve">36</w:t>
            </w:r>
          </w:p>
        </w:tc>
        <w:tc>
          <w:tcPr>
            <w:tcBorders>
              <w:top w:color="000000" w:space="0" w:sz="0" w:val="nil"/>
              <w:left w:color="000000" w:space="0" w:sz="0" w:val="nil"/>
              <w:bottom w:color="8ea9db" w:space="0" w:sz="4" w:val="single"/>
              <w:right w:color="000000" w:space="0" w:sz="0" w:val="nil"/>
            </w:tcBorders>
            <w:shd w:fill="f2f2f2" w:val="clear"/>
            <w:vAlign w:val="center"/>
          </w:tcPr>
          <w:p w:rsidR="00000000" w:rsidDel="00000000" w:rsidP="00000000" w:rsidRDefault="00000000" w:rsidRPr="00000000" w14:paraId="0000017E">
            <w:pPr>
              <w:spacing w:after="0" w:line="240" w:lineRule="auto"/>
              <w:jc w:val="right"/>
              <w:rPr>
                <w:b w:val="1"/>
                <w:sz w:val="20"/>
                <w:szCs w:val="20"/>
              </w:rPr>
            </w:pPr>
            <w:r w:rsidDel="00000000" w:rsidR="00000000" w:rsidRPr="00000000">
              <w:rPr>
                <w:b w:val="1"/>
                <w:sz w:val="20"/>
                <w:szCs w:val="20"/>
                <w:rtl w:val="0"/>
              </w:rPr>
              <w:t xml:space="preserve">76</w:t>
            </w:r>
          </w:p>
        </w:tc>
        <w:tc>
          <w:tcPr>
            <w:tcBorders>
              <w:top w:color="000000" w:space="0" w:sz="0" w:val="nil"/>
              <w:left w:color="000000" w:space="0" w:sz="0" w:val="nil"/>
              <w:bottom w:color="8ea9db" w:space="0" w:sz="4" w:val="single"/>
              <w:right w:color="000000" w:space="0" w:sz="0" w:val="nil"/>
            </w:tcBorders>
            <w:shd w:fill="f2f2f2" w:val="clear"/>
            <w:vAlign w:val="center"/>
          </w:tcPr>
          <w:p w:rsidR="00000000" w:rsidDel="00000000" w:rsidP="00000000" w:rsidRDefault="00000000" w:rsidRPr="00000000" w14:paraId="0000017F">
            <w:pPr>
              <w:spacing w:after="0" w:line="240" w:lineRule="auto"/>
              <w:jc w:val="right"/>
              <w:rPr>
                <w:b w:val="1"/>
                <w:sz w:val="20"/>
                <w:szCs w:val="20"/>
              </w:rPr>
            </w:pPr>
            <w:r w:rsidDel="00000000" w:rsidR="00000000" w:rsidRPr="00000000">
              <w:rPr>
                <w:b w:val="1"/>
                <w:sz w:val="20"/>
                <w:szCs w:val="20"/>
                <w:rtl w:val="0"/>
              </w:rPr>
              <w:t xml:space="preserve">31</w:t>
            </w:r>
          </w:p>
        </w:tc>
        <w:tc>
          <w:tcPr>
            <w:tcBorders>
              <w:top w:color="000000" w:space="0" w:sz="0" w:val="nil"/>
              <w:left w:color="000000" w:space="0" w:sz="0" w:val="nil"/>
              <w:bottom w:color="8ea9db" w:space="0" w:sz="4" w:val="single"/>
              <w:right w:color="000000" w:space="0" w:sz="0" w:val="nil"/>
            </w:tcBorders>
            <w:shd w:fill="f2f2f2" w:val="clear"/>
            <w:vAlign w:val="center"/>
          </w:tcPr>
          <w:p w:rsidR="00000000" w:rsidDel="00000000" w:rsidP="00000000" w:rsidRDefault="00000000" w:rsidRPr="00000000" w14:paraId="00000180">
            <w:pPr>
              <w:spacing w:after="0" w:line="240" w:lineRule="auto"/>
              <w:jc w:val="right"/>
              <w:rPr>
                <w:b w:val="1"/>
                <w:sz w:val="20"/>
                <w:szCs w:val="20"/>
              </w:rPr>
            </w:pPr>
            <w:r w:rsidDel="00000000" w:rsidR="00000000" w:rsidRPr="00000000">
              <w:rPr>
                <w:b w:val="1"/>
                <w:sz w:val="20"/>
                <w:szCs w:val="20"/>
                <w:rtl w:val="0"/>
              </w:rPr>
              <w:t xml:space="preserve">83</w:t>
            </w:r>
          </w:p>
        </w:tc>
        <w:tc>
          <w:tcPr>
            <w:tcBorders>
              <w:top w:color="000000" w:space="0" w:sz="0" w:val="nil"/>
              <w:left w:color="000000" w:space="0" w:sz="0" w:val="nil"/>
              <w:bottom w:color="8ea9db" w:space="0" w:sz="4" w:val="single"/>
              <w:right w:color="000000" w:space="0" w:sz="0" w:val="nil"/>
            </w:tcBorders>
            <w:shd w:fill="f2f2f2" w:val="clear"/>
            <w:vAlign w:val="center"/>
          </w:tcPr>
          <w:p w:rsidR="00000000" w:rsidDel="00000000" w:rsidP="00000000" w:rsidRDefault="00000000" w:rsidRPr="00000000" w14:paraId="00000181">
            <w:pPr>
              <w:spacing w:after="0" w:line="240" w:lineRule="auto"/>
              <w:jc w:val="right"/>
              <w:rPr>
                <w:b w:val="1"/>
                <w:sz w:val="20"/>
                <w:szCs w:val="20"/>
              </w:rPr>
            </w:pPr>
            <w:r w:rsidDel="00000000" w:rsidR="00000000" w:rsidRPr="00000000">
              <w:rPr>
                <w:b w:val="1"/>
                <w:sz w:val="20"/>
                <w:szCs w:val="20"/>
                <w:rtl w:val="0"/>
              </w:rPr>
              <w:t xml:space="preserve">33</w:t>
            </w:r>
          </w:p>
        </w:tc>
      </w:tr>
      <w:tr>
        <w:trPr>
          <w:cantSplit w:val="0"/>
          <w:trHeight w:val="315" w:hRule="atLeast"/>
          <w:tblHeader w:val="0"/>
        </w:trPr>
        <w:tc>
          <w:tcPr>
            <w:tcBorders>
              <w:top w:color="000000" w:space="0" w:sz="4" w:val="single"/>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82">
            <w:pPr>
              <w:spacing w:after="0" w:line="240" w:lineRule="auto"/>
              <w:rPr>
                <w:b w:val="1"/>
                <w:sz w:val="20"/>
                <w:szCs w:val="20"/>
              </w:rPr>
            </w:pPr>
            <w:r w:rsidDel="00000000" w:rsidR="00000000" w:rsidRPr="00000000">
              <w:rPr>
                <w:b w:val="1"/>
                <w:sz w:val="20"/>
                <w:szCs w:val="20"/>
                <w:rtl w:val="0"/>
              </w:rPr>
              <w:t xml:space="preserve">England North</w:t>
            </w:r>
          </w:p>
        </w:tc>
        <w:tc>
          <w:tcPr>
            <w:tcBorders>
              <w:top w:color="000000" w:space="0" w:sz="4" w:val="single"/>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83">
            <w:pPr>
              <w:spacing w:after="0" w:line="240" w:lineRule="auto"/>
              <w:jc w:val="right"/>
              <w:rPr>
                <w:b w:val="1"/>
                <w:sz w:val="20"/>
                <w:szCs w:val="20"/>
              </w:rPr>
            </w:pPr>
            <w:r w:rsidDel="00000000" w:rsidR="00000000" w:rsidRPr="00000000">
              <w:rPr>
                <w:b w:val="1"/>
                <w:sz w:val="20"/>
                <w:szCs w:val="20"/>
                <w:rtl w:val="0"/>
              </w:rPr>
              <w:t xml:space="preserve">55</w:t>
            </w:r>
          </w:p>
        </w:tc>
        <w:tc>
          <w:tcPr>
            <w:tcBorders>
              <w:top w:color="000000" w:space="0" w:sz="4" w:val="single"/>
              <w:left w:color="000000" w:space="0" w:sz="0" w:val="nil"/>
              <w:bottom w:color="000000" w:space="0" w:sz="4" w:val="single"/>
              <w:right w:color="000000" w:space="0" w:sz="0" w:val="nil"/>
            </w:tcBorders>
            <w:shd w:fill="fff2cc" w:val="clear"/>
            <w:vAlign w:val="center"/>
          </w:tcPr>
          <w:p w:rsidR="00000000" w:rsidDel="00000000" w:rsidP="00000000" w:rsidRDefault="00000000" w:rsidRPr="00000000" w14:paraId="00000184">
            <w:pPr>
              <w:spacing w:after="0" w:line="240" w:lineRule="auto"/>
              <w:jc w:val="right"/>
              <w:rPr>
                <w:b w:val="1"/>
                <w:sz w:val="20"/>
                <w:szCs w:val="20"/>
              </w:rPr>
            </w:pPr>
            <w:r w:rsidDel="00000000" w:rsidR="00000000" w:rsidRPr="00000000">
              <w:rPr>
                <w:b w:val="1"/>
                <w:sz w:val="20"/>
                <w:szCs w:val="20"/>
                <w:rtl w:val="0"/>
              </w:rPr>
              <w:t xml:space="preserve">15</w:t>
            </w:r>
          </w:p>
        </w:tc>
        <w:tc>
          <w:tcPr>
            <w:tcBorders>
              <w:top w:color="000000" w:space="0" w:sz="4" w:val="single"/>
              <w:left w:color="000000" w:space="0" w:sz="0" w:val="nil"/>
              <w:bottom w:color="000000" w:space="0" w:sz="4" w:val="single"/>
              <w:right w:color="000000" w:space="0" w:sz="0" w:val="nil"/>
            </w:tcBorders>
            <w:shd w:fill="fff2cc" w:val="clear"/>
            <w:vAlign w:val="center"/>
          </w:tcPr>
          <w:p w:rsidR="00000000" w:rsidDel="00000000" w:rsidP="00000000" w:rsidRDefault="00000000" w:rsidRPr="00000000" w14:paraId="00000185">
            <w:pPr>
              <w:spacing w:after="0" w:line="240" w:lineRule="auto"/>
              <w:jc w:val="right"/>
              <w:rPr>
                <w:b w:val="1"/>
                <w:sz w:val="20"/>
                <w:szCs w:val="20"/>
              </w:rPr>
            </w:pPr>
            <w:r w:rsidDel="00000000" w:rsidR="00000000" w:rsidRPr="00000000">
              <w:rPr>
                <w:b w:val="1"/>
                <w:sz w:val="20"/>
                <w:szCs w:val="20"/>
                <w:rtl w:val="0"/>
              </w:rPr>
              <w:t xml:space="preserve">27</w:t>
            </w:r>
          </w:p>
        </w:tc>
        <w:tc>
          <w:tcPr>
            <w:tcBorders>
              <w:top w:color="000000" w:space="0" w:sz="4" w:val="single"/>
              <w:left w:color="000000" w:space="0" w:sz="0" w:val="nil"/>
              <w:bottom w:color="000000" w:space="0" w:sz="4" w:val="single"/>
              <w:right w:color="000000" w:space="0" w:sz="0" w:val="nil"/>
            </w:tcBorders>
            <w:shd w:fill="d9e1f2" w:val="clear"/>
            <w:vAlign w:val="center"/>
          </w:tcPr>
          <w:p w:rsidR="00000000" w:rsidDel="00000000" w:rsidP="00000000" w:rsidRDefault="00000000" w:rsidRPr="00000000" w14:paraId="00000186">
            <w:pPr>
              <w:spacing w:after="0" w:line="240" w:lineRule="auto"/>
              <w:jc w:val="right"/>
              <w:rPr>
                <w:b w:val="1"/>
                <w:sz w:val="20"/>
                <w:szCs w:val="20"/>
              </w:rPr>
            </w:pPr>
            <w:r w:rsidDel="00000000" w:rsidR="00000000" w:rsidRPr="00000000">
              <w:rPr>
                <w:b w:val="1"/>
                <w:sz w:val="20"/>
                <w:szCs w:val="20"/>
                <w:rtl w:val="0"/>
              </w:rPr>
              <w:t xml:space="preserve">19</w:t>
            </w:r>
          </w:p>
        </w:tc>
        <w:tc>
          <w:tcPr>
            <w:tcBorders>
              <w:top w:color="000000" w:space="0" w:sz="4" w:val="single"/>
              <w:left w:color="000000" w:space="0" w:sz="0" w:val="nil"/>
              <w:bottom w:color="000000" w:space="0" w:sz="4" w:val="single"/>
              <w:right w:color="000000" w:space="0" w:sz="0" w:val="nil"/>
            </w:tcBorders>
            <w:shd w:fill="d9e1f2" w:val="clear"/>
            <w:vAlign w:val="center"/>
          </w:tcPr>
          <w:p w:rsidR="00000000" w:rsidDel="00000000" w:rsidP="00000000" w:rsidRDefault="00000000" w:rsidRPr="00000000" w14:paraId="00000187">
            <w:pPr>
              <w:spacing w:after="0" w:line="240" w:lineRule="auto"/>
              <w:jc w:val="right"/>
              <w:rPr>
                <w:b w:val="1"/>
                <w:sz w:val="20"/>
                <w:szCs w:val="20"/>
              </w:rPr>
            </w:pPr>
            <w:r w:rsidDel="00000000" w:rsidR="00000000" w:rsidRPr="00000000">
              <w:rPr>
                <w:b w:val="1"/>
                <w:sz w:val="20"/>
                <w:szCs w:val="20"/>
                <w:rtl w:val="0"/>
              </w:rPr>
              <w:t xml:space="preserve">35</w:t>
            </w:r>
          </w:p>
        </w:tc>
        <w:tc>
          <w:tcPr>
            <w:tcBorders>
              <w:top w:color="000000" w:space="0" w:sz="4" w:val="single"/>
              <w:left w:color="000000" w:space="0" w:sz="0" w:val="nil"/>
              <w:bottom w:color="000000" w:space="0" w:sz="4" w:val="single"/>
              <w:right w:color="000000" w:space="0" w:sz="0" w:val="nil"/>
            </w:tcBorders>
            <w:shd w:fill="d9d9d9" w:val="clear"/>
            <w:vAlign w:val="center"/>
          </w:tcPr>
          <w:p w:rsidR="00000000" w:rsidDel="00000000" w:rsidP="00000000" w:rsidRDefault="00000000" w:rsidRPr="00000000" w14:paraId="00000188">
            <w:pPr>
              <w:spacing w:after="0" w:line="240" w:lineRule="auto"/>
              <w:jc w:val="right"/>
              <w:rPr>
                <w:b w:val="1"/>
                <w:sz w:val="20"/>
                <w:szCs w:val="20"/>
              </w:rPr>
            </w:pPr>
            <w:r w:rsidDel="00000000" w:rsidR="00000000" w:rsidRPr="00000000">
              <w:rPr>
                <w:b w:val="1"/>
                <w:sz w:val="20"/>
                <w:szCs w:val="20"/>
                <w:rtl w:val="0"/>
              </w:rPr>
              <w:t xml:space="preserve">21</w:t>
            </w:r>
          </w:p>
        </w:tc>
        <w:tc>
          <w:tcPr>
            <w:tcBorders>
              <w:top w:color="000000" w:space="0" w:sz="4" w:val="single"/>
              <w:left w:color="000000" w:space="0" w:sz="0" w:val="nil"/>
              <w:bottom w:color="000000" w:space="0" w:sz="4" w:val="single"/>
              <w:right w:color="000000" w:space="0" w:sz="0" w:val="nil"/>
            </w:tcBorders>
            <w:shd w:fill="d9d9d9" w:val="clear"/>
            <w:vAlign w:val="center"/>
          </w:tcPr>
          <w:p w:rsidR="00000000" w:rsidDel="00000000" w:rsidP="00000000" w:rsidRDefault="00000000" w:rsidRPr="00000000" w14:paraId="00000189">
            <w:pPr>
              <w:spacing w:after="0" w:line="240" w:lineRule="auto"/>
              <w:jc w:val="right"/>
              <w:rPr>
                <w:b w:val="1"/>
                <w:sz w:val="20"/>
                <w:szCs w:val="20"/>
              </w:rPr>
            </w:pPr>
            <w:r w:rsidDel="00000000" w:rsidR="00000000" w:rsidRPr="00000000">
              <w:rPr>
                <w:b w:val="1"/>
                <w:sz w:val="20"/>
                <w:szCs w:val="20"/>
                <w:rtl w:val="0"/>
              </w:rPr>
              <w:t xml:space="preserve">38</w:t>
            </w:r>
          </w:p>
        </w:tc>
      </w:tr>
      <w:tr>
        <w:trPr>
          <w:cantSplit w:val="0"/>
          <w:trHeight w:val="31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8A">
            <w:pPr>
              <w:spacing w:after="0" w:line="240" w:lineRule="auto"/>
              <w:rPr>
                <w:sz w:val="20"/>
                <w:szCs w:val="20"/>
              </w:rPr>
            </w:pPr>
            <w:r w:rsidDel="00000000" w:rsidR="00000000" w:rsidRPr="00000000">
              <w:rPr>
                <w:sz w:val="20"/>
                <w:szCs w:val="20"/>
                <w:rtl w:val="0"/>
              </w:rPr>
              <w:t xml:space="preserve">Clapdale, Fox Holes Cave</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8B">
            <w:pPr>
              <w:spacing w:after="0" w:line="240" w:lineRule="auto"/>
              <w:jc w:val="right"/>
              <w:rPr>
                <w:sz w:val="20"/>
                <w:szCs w:val="20"/>
              </w:rPr>
            </w:pPr>
            <w:r w:rsidDel="00000000" w:rsidR="00000000" w:rsidRPr="00000000">
              <w:rPr>
                <w:sz w:val="20"/>
                <w:szCs w:val="20"/>
                <w:rtl w:val="0"/>
              </w:rPr>
              <w:t xml:space="preserve">1</w:t>
            </w:r>
          </w:p>
        </w:tc>
        <w:tc>
          <w:tcPr>
            <w:tcBorders>
              <w:top w:color="000000" w:space="0" w:sz="0" w:val="nil"/>
              <w:left w:color="000000" w:space="0" w:sz="0" w:val="nil"/>
              <w:bottom w:color="000000" w:space="0" w:sz="0" w:val="nil"/>
              <w:right w:color="000000" w:space="0" w:sz="0" w:val="nil"/>
            </w:tcBorders>
            <w:shd w:fill="fff2cc" w:val="clear"/>
            <w:vAlign w:val="center"/>
          </w:tcPr>
          <w:p w:rsidR="00000000" w:rsidDel="00000000" w:rsidP="00000000" w:rsidRDefault="00000000" w:rsidRPr="00000000" w14:paraId="0000018C">
            <w:pPr>
              <w:spacing w:after="0" w:line="240" w:lineRule="auto"/>
              <w:jc w:val="right"/>
              <w:rPr>
                <w:sz w:val="20"/>
                <w:szCs w:val="20"/>
              </w:rPr>
            </w:pPr>
            <w:r w:rsidDel="00000000" w:rsidR="00000000" w:rsidRPr="00000000">
              <w:rPr>
                <w:sz w:val="20"/>
                <w:szCs w:val="20"/>
                <w:rtl w:val="0"/>
              </w:rPr>
              <w:t xml:space="preserve">1</w:t>
            </w:r>
          </w:p>
        </w:tc>
        <w:tc>
          <w:tcPr>
            <w:tcBorders>
              <w:top w:color="000000" w:space="0" w:sz="0" w:val="nil"/>
              <w:left w:color="000000" w:space="0" w:sz="0" w:val="nil"/>
              <w:bottom w:color="000000" w:space="0" w:sz="0" w:val="nil"/>
              <w:right w:color="000000" w:space="0" w:sz="0" w:val="nil"/>
            </w:tcBorders>
            <w:shd w:fill="fff2cc" w:val="clear"/>
            <w:vAlign w:val="center"/>
          </w:tcPr>
          <w:p w:rsidR="00000000" w:rsidDel="00000000" w:rsidP="00000000" w:rsidRDefault="00000000" w:rsidRPr="00000000" w14:paraId="0000018D">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0" w:val="nil"/>
              <w:right w:color="000000" w:space="0" w:sz="0" w:val="nil"/>
            </w:tcBorders>
            <w:shd w:fill="d9e1f2" w:val="clear"/>
            <w:vAlign w:val="center"/>
          </w:tcPr>
          <w:p w:rsidR="00000000" w:rsidDel="00000000" w:rsidP="00000000" w:rsidRDefault="00000000" w:rsidRPr="00000000" w14:paraId="0000018E">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0" w:val="nil"/>
              <w:right w:color="000000" w:space="0" w:sz="0" w:val="nil"/>
            </w:tcBorders>
            <w:shd w:fill="d9e1f2" w:val="clear"/>
            <w:vAlign w:val="center"/>
          </w:tcPr>
          <w:p w:rsidR="00000000" w:rsidDel="00000000" w:rsidP="00000000" w:rsidRDefault="00000000" w:rsidRPr="00000000" w14:paraId="0000018F">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0" w:val="nil"/>
              <w:right w:color="000000" w:space="0" w:sz="0" w:val="nil"/>
            </w:tcBorders>
            <w:shd w:fill="d9d9d9" w:val="clear"/>
            <w:vAlign w:val="center"/>
          </w:tcPr>
          <w:p w:rsidR="00000000" w:rsidDel="00000000" w:rsidP="00000000" w:rsidRDefault="00000000" w:rsidRPr="00000000" w14:paraId="00000190">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0" w:val="nil"/>
              <w:right w:color="000000" w:space="0" w:sz="0" w:val="nil"/>
            </w:tcBorders>
            <w:shd w:fill="d9d9d9" w:val="clear"/>
            <w:vAlign w:val="center"/>
          </w:tcPr>
          <w:p w:rsidR="00000000" w:rsidDel="00000000" w:rsidP="00000000" w:rsidRDefault="00000000" w:rsidRPr="00000000" w14:paraId="00000191">
            <w:pPr>
              <w:spacing w:after="0" w:line="240" w:lineRule="auto"/>
              <w:jc w:val="right"/>
              <w:rPr>
                <w:sz w:val="20"/>
                <w:szCs w:val="20"/>
              </w:rPr>
            </w:pPr>
            <w:r w:rsidDel="00000000" w:rsidR="00000000" w:rsidRPr="00000000">
              <w:rPr>
                <w:sz w:val="20"/>
                <w:szCs w:val="20"/>
                <w:rtl w:val="0"/>
              </w:rPr>
              <w:t xml:space="preserve"> </w:t>
            </w:r>
          </w:p>
        </w:tc>
      </w:tr>
      <w:tr>
        <w:trPr>
          <w:cantSplit w:val="0"/>
          <w:trHeight w:val="31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92">
            <w:pPr>
              <w:spacing w:after="0" w:line="240" w:lineRule="auto"/>
              <w:rPr>
                <w:sz w:val="20"/>
                <w:szCs w:val="20"/>
              </w:rPr>
            </w:pPr>
            <w:r w:rsidDel="00000000" w:rsidR="00000000" w:rsidRPr="00000000">
              <w:rPr>
                <w:sz w:val="20"/>
                <w:szCs w:val="20"/>
                <w:rtl w:val="0"/>
              </w:rPr>
              <w:t xml:space="preserve">Hartlepool, Olive Street</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93">
            <w:pPr>
              <w:spacing w:after="0" w:line="240" w:lineRule="auto"/>
              <w:jc w:val="right"/>
              <w:rPr>
                <w:sz w:val="20"/>
                <w:szCs w:val="20"/>
              </w:rPr>
            </w:pPr>
            <w:r w:rsidDel="00000000" w:rsidR="00000000" w:rsidRPr="00000000">
              <w:rPr>
                <w:sz w:val="20"/>
                <w:szCs w:val="20"/>
                <w:rtl w:val="0"/>
              </w:rPr>
              <w:t xml:space="preserve">1</w:t>
            </w:r>
          </w:p>
        </w:tc>
        <w:tc>
          <w:tcPr>
            <w:tcBorders>
              <w:top w:color="000000" w:space="0" w:sz="0" w:val="nil"/>
              <w:left w:color="000000" w:space="0" w:sz="0" w:val="nil"/>
              <w:bottom w:color="000000" w:space="0" w:sz="0" w:val="nil"/>
              <w:right w:color="000000" w:space="0" w:sz="0" w:val="nil"/>
            </w:tcBorders>
            <w:shd w:fill="fff2cc" w:val="clear"/>
            <w:vAlign w:val="center"/>
          </w:tcPr>
          <w:p w:rsidR="00000000" w:rsidDel="00000000" w:rsidP="00000000" w:rsidRDefault="00000000" w:rsidRPr="00000000" w14:paraId="00000194">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0" w:val="nil"/>
              <w:right w:color="000000" w:space="0" w:sz="0" w:val="nil"/>
            </w:tcBorders>
            <w:shd w:fill="fff2cc" w:val="clear"/>
            <w:vAlign w:val="center"/>
          </w:tcPr>
          <w:p w:rsidR="00000000" w:rsidDel="00000000" w:rsidP="00000000" w:rsidRDefault="00000000" w:rsidRPr="00000000" w14:paraId="00000195">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0" w:val="nil"/>
              <w:right w:color="000000" w:space="0" w:sz="0" w:val="nil"/>
            </w:tcBorders>
            <w:shd w:fill="d9e1f2" w:val="clear"/>
            <w:vAlign w:val="center"/>
          </w:tcPr>
          <w:p w:rsidR="00000000" w:rsidDel="00000000" w:rsidP="00000000" w:rsidRDefault="00000000" w:rsidRPr="00000000" w14:paraId="00000196">
            <w:pPr>
              <w:spacing w:after="0" w:line="240" w:lineRule="auto"/>
              <w:jc w:val="right"/>
              <w:rPr>
                <w:sz w:val="20"/>
                <w:szCs w:val="20"/>
              </w:rPr>
            </w:pPr>
            <w:r w:rsidDel="00000000" w:rsidR="00000000" w:rsidRPr="00000000">
              <w:rPr>
                <w:sz w:val="20"/>
                <w:szCs w:val="20"/>
                <w:rtl w:val="0"/>
              </w:rPr>
              <w:t xml:space="preserve">1</w:t>
            </w:r>
          </w:p>
        </w:tc>
        <w:tc>
          <w:tcPr>
            <w:tcBorders>
              <w:top w:color="000000" w:space="0" w:sz="0" w:val="nil"/>
              <w:left w:color="000000" w:space="0" w:sz="0" w:val="nil"/>
              <w:bottom w:color="000000" w:space="0" w:sz="0" w:val="nil"/>
              <w:right w:color="000000" w:space="0" w:sz="0" w:val="nil"/>
            </w:tcBorders>
            <w:shd w:fill="d9e1f2" w:val="clear"/>
            <w:vAlign w:val="center"/>
          </w:tcPr>
          <w:p w:rsidR="00000000" w:rsidDel="00000000" w:rsidP="00000000" w:rsidRDefault="00000000" w:rsidRPr="00000000" w14:paraId="00000197">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0" w:val="nil"/>
              <w:right w:color="000000" w:space="0" w:sz="0" w:val="nil"/>
            </w:tcBorders>
            <w:shd w:fill="d9d9d9" w:val="clear"/>
            <w:vAlign w:val="center"/>
          </w:tcPr>
          <w:p w:rsidR="00000000" w:rsidDel="00000000" w:rsidP="00000000" w:rsidRDefault="00000000" w:rsidRPr="00000000" w14:paraId="00000198">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0" w:val="nil"/>
              <w:right w:color="000000" w:space="0" w:sz="0" w:val="nil"/>
            </w:tcBorders>
            <w:shd w:fill="d9d9d9" w:val="clear"/>
            <w:vAlign w:val="center"/>
          </w:tcPr>
          <w:p w:rsidR="00000000" w:rsidDel="00000000" w:rsidP="00000000" w:rsidRDefault="00000000" w:rsidRPr="00000000" w14:paraId="00000199">
            <w:pPr>
              <w:spacing w:after="0" w:line="240" w:lineRule="auto"/>
              <w:jc w:val="right"/>
              <w:rPr>
                <w:sz w:val="20"/>
                <w:szCs w:val="20"/>
              </w:rPr>
            </w:pPr>
            <w:r w:rsidDel="00000000" w:rsidR="00000000" w:rsidRPr="00000000">
              <w:rPr>
                <w:sz w:val="20"/>
                <w:szCs w:val="20"/>
                <w:rtl w:val="0"/>
              </w:rPr>
              <w:t xml:space="preserve"> </w:t>
            </w:r>
          </w:p>
        </w:tc>
      </w:tr>
      <w:tr>
        <w:trPr>
          <w:cantSplit w:val="0"/>
          <w:trHeight w:val="31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9A">
            <w:pPr>
              <w:spacing w:after="0" w:line="240" w:lineRule="auto"/>
              <w:rPr>
                <w:sz w:val="20"/>
                <w:szCs w:val="20"/>
              </w:rPr>
            </w:pPr>
            <w:r w:rsidDel="00000000" w:rsidR="00000000" w:rsidRPr="00000000">
              <w:rPr>
                <w:sz w:val="20"/>
                <w:szCs w:val="20"/>
                <w:rtl w:val="0"/>
              </w:rPr>
              <w:t xml:space="preserve">Norton Bishops Mill</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9B">
            <w:pPr>
              <w:spacing w:after="0" w:line="240" w:lineRule="auto"/>
              <w:jc w:val="right"/>
              <w:rPr>
                <w:sz w:val="20"/>
                <w:szCs w:val="20"/>
              </w:rPr>
            </w:pPr>
            <w:r w:rsidDel="00000000" w:rsidR="00000000" w:rsidRPr="00000000">
              <w:rPr>
                <w:sz w:val="20"/>
                <w:szCs w:val="20"/>
                <w:rtl w:val="0"/>
              </w:rPr>
              <w:t xml:space="preserve">5</w:t>
            </w:r>
          </w:p>
        </w:tc>
        <w:tc>
          <w:tcPr>
            <w:tcBorders>
              <w:top w:color="000000" w:space="0" w:sz="0" w:val="nil"/>
              <w:left w:color="000000" w:space="0" w:sz="0" w:val="nil"/>
              <w:bottom w:color="000000" w:space="0" w:sz="0" w:val="nil"/>
              <w:right w:color="000000" w:space="0" w:sz="0" w:val="nil"/>
            </w:tcBorders>
            <w:shd w:fill="fff2cc" w:val="clear"/>
            <w:vAlign w:val="center"/>
          </w:tcPr>
          <w:p w:rsidR="00000000" w:rsidDel="00000000" w:rsidP="00000000" w:rsidRDefault="00000000" w:rsidRPr="00000000" w14:paraId="0000019C">
            <w:pPr>
              <w:spacing w:after="0" w:line="240" w:lineRule="auto"/>
              <w:jc w:val="right"/>
              <w:rPr>
                <w:sz w:val="20"/>
                <w:szCs w:val="20"/>
              </w:rPr>
            </w:pPr>
            <w:r w:rsidDel="00000000" w:rsidR="00000000" w:rsidRPr="00000000">
              <w:rPr>
                <w:sz w:val="20"/>
                <w:szCs w:val="20"/>
                <w:rtl w:val="0"/>
              </w:rPr>
              <w:t xml:space="preserve">2</w:t>
            </w:r>
          </w:p>
        </w:tc>
        <w:tc>
          <w:tcPr>
            <w:tcBorders>
              <w:top w:color="000000" w:space="0" w:sz="0" w:val="nil"/>
              <w:left w:color="000000" w:space="0" w:sz="0" w:val="nil"/>
              <w:bottom w:color="000000" w:space="0" w:sz="0" w:val="nil"/>
              <w:right w:color="000000" w:space="0" w:sz="0" w:val="nil"/>
            </w:tcBorders>
            <w:shd w:fill="fff2cc" w:val="clear"/>
            <w:vAlign w:val="center"/>
          </w:tcPr>
          <w:p w:rsidR="00000000" w:rsidDel="00000000" w:rsidP="00000000" w:rsidRDefault="00000000" w:rsidRPr="00000000" w14:paraId="0000019D">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0" w:val="nil"/>
              <w:right w:color="000000" w:space="0" w:sz="0" w:val="nil"/>
            </w:tcBorders>
            <w:shd w:fill="d9e1f2" w:val="clear"/>
            <w:vAlign w:val="center"/>
          </w:tcPr>
          <w:p w:rsidR="00000000" w:rsidDel="00000000" w:rsidP="00000000" w:rsidRDefault="00000000" w:rsidRPr="00000000" w14:paraId="0000019E">
            <w:pPr>
              <w:spacing w:after="0" w:line="240" w:lineRule="auto"/>
              <w:jc w:val="right"/>
              <w:rPr>
                <w:sz w:val="20"/>
                <w:szCs w:val="20"/>
              </w:rPr>
            </w:pPr>
            <w:r w:rsidDel="00000000" w:rsidR="00000000" w:rsidRPr="00000000">
              <w:rPr>
                <w:sz w:val="20"/>
                <w:szCs w:val="20"/>
                <w:rtl w:val="0"/>
              </w:rPr>
              <w:t xml:space="preserve">2</w:t>
            </w:r>
          </w:p>
        </w:tc>
        <w:tc>
          <w:tcPr>
            <w:tcBorders>
              <w:top w:color="000000" w:space="0" w:sz="0" w:val="nil"/>
              <w:left w:color="000000" w:space="0" w:sz="0" w:val="nil"/>
              <w:bottom w:color="000000" w:space="0" w:sz="0" w:val="nil"/>
              <w:right w:color="000000" w:space="0" w:sz="0" w:val="nil"/>
            </w:tcBorders>
            <w:shd w:fill="d9e1f2" w:val="clear"/>
            <w:vAlign w:val="center"/>
          </w:tcPr>
          <w:p w:rsidR="00000000" w:rsidDel="00000000" w:rsidP="00000000" w:rsidRDefault="00000000" w:rsidRPr="00000000" w14:paraId="0000019F">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0" w:val="nil"/>
              <w:right w:color="000000" w:space="0" w:sz="0" w:val="nil"/>
            </w:tcBorders>
            <w:shd w:fill="d9d9d9" w:val="clear"/>
            <w:vAlign w:val="center"/>
          </w:tcPr>
          <w:p w:rsidR="00000000" w:rsidDel="00000000" w:rsidP="00000000" w:rsidRDefault="00000000" w:rsidRPr="00000000" w14:paraId="000001A0">
            <w:pPr>
              <w:spacing w:after="0" w:line="240" w:lineRule="auto"/>
              <w:jc w:val="right"/>
              <w:rPr>
                <w:sz w:val="20"/>
                <w:szCs w:val="20"/>
              </w:rPr>
            </w:pPr>
            <w:r w:rsidDel="00000000" w:rsidR="00000000" w:rsidRPr="00000000">
              <w:rPr>
                <w:sz w:val="20"/>
                <w:szCs w:val="20"/>
                <w:rtl w:val="0"/>
              </w:rPr>
              <w:t xml:space="preserve">1</w:t>
            </w:r>
          </w:p>
        </w:tc>
        <w:tc>
          <w:tcPr>
            <w:tcBorders>
              <w:top w:color="000000" w:space="0" w:sz="0" w:val="nil"/>
              <w:left w:color="000000" w:space="0" w:sz="0" w:val="nil"/>
              <w:bottom w:color="000000" w:space="0" w:sz="0" w:val="nil"/>
              <w:right w:color="000000" w:space="0" w:sz="0" w:val="nil"/>
            </w:tcBorders>
            <w:shd w:fill="d9d9d9" w:val="clear"/>
            <w:vAlign w:val="center"/>
          </w:tcPr>
          <w:p w:rsidR="00000000" w:rsidDel="00000000" w:rsidP="00000000" w:rsidRDefault="00000000" w:rsidRPr="00000000" w14:paraId="000001A1">
            <w:pPr>
              <w:spacing w:after="0" w:line="240" w:lineRule="auto"/>
              <w:jc w:val="right"/>
              <w:rPr>
                <w:sz w:val="20"/>
                <w:szCs w:val="20"/>
              </w:rPr>
            </w:pPr>
            <w:r w:rsidDel="00000000" w:rsidR="00000000" w:rsidRPr="00000000">
              <w:rPr>
                <w:sz w:val="20"/>
                <w:szCs w:val="20"/>
                <w:rtl w:val="0"/>
              </w:rPr>
              <w:t xml:space="preserve"> </w:t>
            </w:r>
          </w:p>
        </w:tc>
      </w:tr>
      <w:tr>
        <w:trPr>
          <w:cantSplit w:val="0"/>
          <w:trHeight w:val="31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A2">
            <w:pPr>
              <w:spacing w:after="0" w:line="240" w:lineRule="auto"/>
              <w:rPr>
                <w:sz w:val="20"/>
                <w:szCs w:val="20"/>
              </w:rPr>
            </w:pPr>
            <w:r w:rsidDel="00000000" w:rsidR="00000000" w:rsidRPr="00000000">
              <w:rPr>
                <w:sz w:val="20"/>
                <w:szCs w:val="20"/>
                <w:rtl w:val="0"/>
              </w:rPr>
              <w:t xml:space="preserve">Norton East Mill</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A3">
            <w:pPr>
              <w:spacing w:after="0" w:line="240" w:lineRule="auto"/>
              <w:jc w:val="right"/>
              <w:rPr>
                <w:sz w:val="20"/>
                <w:szCs w:val="20"/>
              </w:rPr>
            </w:pPr>
            <w:r w:rsidDel="00000000" w:rsidR="00000000" w:rsidRPr="00000000">
              <w:rPr>
                <w:sz w:val="20"/>
                <w:szCs w:val="20"/>
                <w:rtl w:val="0"/>
              </w:rPr>
              <w:t xml:space="preserve">5</w:t>
            </w:r>
          </w:p>
        </w:tc>
        <w:tc>
          <w:tcPr>
            <w:tcBorders>
              <w:top w:color="000000" w:space="0" w:sz="0" w:val="nil"/>
              <w:left w:color="000000" w:space="0" w:sz="0" w:val="nil"/>
              <w:bottom w:color="000000" w:space="0" w:sz="0" w:val="nil"/>
              <w:right w:color="000000" w:space="0" w:sz="0" w:val="nil"/>
            </w:tcBorders>
            <w:shd w:fill="fff2cc" w:val="clear"/>
            <w:vAlign w:val="center"/>
          </w:tcPr>
          <w:p w:rsidR="00000000" w:rsidDel="00000000" w:rsidP="00000000" w:rsidRDefault="00000000" w:rsidRPr="00000000" w14:paraId="000001A4">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0" w:val="nil"/>
              <w:right w:color="000000" w:space="0" w:sz="0" w:val="nil"/>
            </w:tcBorders>
            <w:shd w:fill="fff2cc" w:val="clear"/>
            <w:vAlign w:val="center"/>
          </w:tcPr>
          <w:p w:rsidR="00000000" w:rsidDel="00000000" w:rsidP="00000000" w:rsidRDefault="00000000" w:rsidRPr="00000000" w14:paraId="000001A5">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0" w:val="nil"/>
              <w:right w:color="000000" w:space="0" w:sz="0" w:val="nil"/>
            </w:tcBorders>
            <w:shd w:fill="d9e1f2" w:val="clear"/>
            <w:vAlign w:val="center"/>
          </w:tcPr>
          <w:p w:rsidR="00000000" w:rsidDel="00000000" w:rsidP="00000000" w:rsidRDefault="00000000" w:rsidRPr="00000000" w14:paraId="000001A6">
            <w:pPr>
              <w:spacing w:after="0" w:line="240" w:lineRule="auto"/>
              <w:jc w:val="right"/>
              <w:rPr>
                <w:sz w:val="20"/>
                <w:szCs w:val="20"/>
              </w:rPr>
            </w:pPr>
            <w:r w:rsidDel="00000000" w:rsidR="00000000" w:rsidRPr="00000000">
              <w:rPr>
                <w:sz w:val="20"/>
                <w:szCs w:val="20"/>
                <w:rtl w:val="0"/>
              </w:rPr>
              <w:t xml:space="preserve">1</w:t>
            </w:r>
          </w:p>
        </w:tc>
        <w:tc>
          <w:tcPr>
            <w:tcBorders>
              <w:top w:color="000000" w:space="0" w:sz="0" w:val="nil"/>
              <w:left w:color="000000" w:space="0" w:sz="0" w:val="nil"/>
              <w:bottom w:color="000000" w:space="0" w:sz="0" w:val="nil"/>
              <w:right w:color="000000" w:space="0" w:sz="0" w:val="nil"/>
            </w:tcBorders>
            <w:shd w:fill="d9e1f2" w:val="clear"/>
            <w:vAlign w:val="center"/>
          </w:tcPr>
          <w:p w:rsidR="00000000" w:rsidDel="00000000" w:rsidP="00000000" w:rsidRDefault="00000000" w:rsidRPr="00000000" w14:paraId="000001A7">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0" w:val="nil"/>
              <w:right w:color="000000" w:space="0" w:sz="0" w:val="nil"/>
            </w:tcBorders>
            <w:shd w:fill="d9d9d9" w:val="clear"/>
            <w:vAlign w:val="center"/>
          </w:tcPr>
          <w:p w:rsidR="00000000" w:rsidDel="00000000" w:rsidP="00000000" w:rsidRDefault="00000000" w:rsidRPr="00000000" w14:paraId="000001A8">
            <w:pPr>
              <w:spacing w:after="0" w:line="240" w:lineRule="auto"/>
              <w:jc w:val="right"/>
              <w:rPr>
                <w:sz w:val="20"/>
                <w:szCs w:val="20"/>
              </w:rPr>
            </w:pPr>
            <w:r w:rsidDel="00000000" w:rsidR="00000000" w:rsidRPr="00000000">
              <w:rPr>
                <w:sz w:val="20"/>
                <w:szCs w:val="20"/>
                <w:rtl w:val="0"/>
              </w:rPr>
              <w:t xml:space="preserve">4</w:t>
            </w:r>
          </w:p>
        </w:tc>
        <w:tc>
          <w:tcPr>
            <w:tcBorders>
              <w:top w:color="000000" w:space="0" w:sz="0" w:val="nil"/>
              <w:left w:color="000000" w:space="0" w:sz="0" w:val="nil"/>
              <w:bottom w:color="000000" w:space="0" w:sz="0" w:val="nil"/>
              <w:right w:color="000000" w:space="0" w:sz="0" w:val="nil"/>
            </w:tcBorders>
            <w:shd w:fill="d9d9d9" w:val="clear"/>
            <w:vAlign w:val="center"/>
          </w:tcPr>
          <w:p w:rsidR="00000000" w:rsidDel="00000000" w:rsidP="00000000" w:rsidRDefault="00000000" w:rsidRPr="00000000" w14:paraId="000001A9">
            <w:pPr>
              <w:spacing w:after="0" w:line="240" w:lineRule="auto"/>
              <w:jc w:val="right"/>
              <w:rPr>
                <w:sz w:val="20"/>
                <w:szCs w:val="20"/>
              </w:rPr>
            </w:pPr>
            <w:r w:rsidDel="00000000" w:rsidR="00000000" w:rsidRPr="00000000">
              <w:rPr>
                <w:sz w:val="20"/>
                <w:szCs w:val="20"/>
                <w:rtl w:val="0"/>
              </w:rPr>
              <w:t xml:space="preserve"> </w:t>
            </w:r>
          </w:p>
        </w:tc>
      </w:tr>
      <w:tr>
        <w:trPr>
          <w:cantSplit w:val="0"/>
          <w:trHeight w:val="31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AA">
            <w:pPr>
              <w:spacing w:after="0" w:line="240" w:lineRule="auto"/>
              <w:rPr>
                <w:sz w:val="20"/>
                <w:szCs w:val="20"/>
              </w:rPr>
            </w:pPr>
            <w:r w:rsidDel="00000000" w:rsidR="00000000" w:rsidRPr="00000000">
              <w:rPr>
                <w:sz w:val="20"/>
                <w:szCs w:val="20"/>
                <w:rtl w:val="0"/>
              </w:rPr>
              <w:t xml:space="preserve">Ribblesdale, Selside Grike</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AB">
            <w:pPr>
              <w:spacing w:after="0" w:line="240" w:lineRule="auto"/>
              <w:jc w:val="right"/>
              <w:rPr>
                <w:sz w:val="20"/>
                <w:szCs w:val="20"/>
              </w:rPr>
            </w:pPr>
            <w:r w:rsidDel="00000000" w:rsidR="00000000" w:rsidRPr="00000000">
              <w:rPr>
                <w:sz w:val="20"/>
                <w:szCs w:val="20"/>
                <w:rtl w:val="0"/>
              </w:rPr>
              <w:t xml:space="preserve">1</w:t>
            </w:r>
          </w:p>
        </w:tc>
        <w:tc>
          <w:tcPr>
            <w:tcBorders>
              <w:top w:color="000000" w:space="0" w:sz="0" w:val="nil"/>
              <w:left w:color="000000" w:space="0" w:sz="0" w:val="nil"/>
              <w:bottom w:color="000000" w:space="0" w:sz="0" w:val="nil"/>
              <w:right w:color="000000" w:space="0" w:sz="0" w:val="nil"/>
            </w:tcBorders>
            <w:shd w:fill="fff2cc" w:val="clear"/>
            <w:vAlign w:val="center"/>
          </w:tcPr>
          <w:p w:rsidR="00000000" w:rsidDel="00000000" w:rsidP="00000000" w:rsidRDefault="00000000" w:rsidRPr="00000000" w14:paraId="000001AC">
            <w:pPr>
              <w:spacing w:after="0" w:line="240" w:lineRule="auto"/>
              <w:jc w:val="right"/>
              <w:rPr>
                <w:sz w:val="20"/>
                <w:szCs w:val="20"/>
              </w:rPr>
            </w:pPr>
            <w:r w:rsidDel="00000000" w:rsidR="00000000" w:rsidRPr="00000000">
              <w:rPr>
                <w:sz w:val="20"/>
                <w:szCs w:val="20"/>
                <w:rtl w:val="0"/>
              </w:rPr>
              <w:t xml:space="preserve">1</w:t>
            </w:r>
          </w:p>
        </w:tc>
        <w:tc>
          <w:tcPr>
            <w:tcBorders>
              <w:top w:color="000000" w:space="0" w:sz="0" w:val="nil"/>
              <w:left w:color="000000" w:space="0" w:sz="0" w:val="nil"/>
              <w:bottom w:color="000000" w:space="0" w:sz="0" w:val="nil"/>
              <w:right w:color="000000" w:space="0" w:sz="0" w:val="nil"/>
            </w:tcBorders>
            <w:shd w:fill="fff2cc" w:val="clear"/>
            <w:vAlign w:val="center"/>
          </w:tcPr>
          <w:p w:rsidR="00000000" w:rsidDel="00000000" w:rsidP="00000000" w:rsidRDefault="00000000" w:rsidRPr="00000000" w14:paraId="000001AD">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0" w:val="nil"/>
              <w:right w:color="000000" w:space="0" w:sz="0" w:val="nil"/>
            </w:tcBorders>
            <w:shd w:fill="d9e1f2" w:val="clear"/>
            <w:vAlign w:val="center"/>
          </w:tcPr>
          <w:p w:rsidR="00000000" w:rsidDel="00000000" w:rsidP="00000000" w:rsidRDefault="00000000" w:rsidRPr="00000000" w14:paraId="000001AE">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0" w:val="nil"/>
              <w:right w:color="000000" w:space="0" w:sz="0" w:val="nil"/>
            </w:tcBorders>
            <w:shd w:fill="d9e1f2" w:val="clear"/>
            <w:vAlign w:val="center"/>
          </w:tcPr>
          <w:p w:rsidR="00000000" w:rsidDel="00000000" w:rsidP="00000000" w:rsidRDefault="00000000" w:rsidRPr="00000000" w14:paraId="000001AF">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0" w:val="nil"/>
              <w:right w:color="000000" w:space="0" w:sz="0" w:val="nil"/>
            </w:tcBorders>
            <w:shd w:fill="d9d9d9" w:val="clear"/>
            <w:vAlign w:val="center"/>
          </w:tcPr>
          <w:p w:rsidR="00000000" w:rsidDel="00000000" w:rsidP="00000000" w:rsidRDefault="00000000" w:rsidRPr="00000000" w14:paraId="000001B0">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0" w:val="nil"/>
              <w:right w:color="000000" w:space="0" w:sz="0" w:val="nil"/>
            </w:tcBorders>
            <w:shd w:fill="d9d9d9" w:val="clear"/>
            <w:vAlign w:val="center"/>
          </w:tcPr>
          <w:p w:rsidR="00000000" w:rsidDel="00000000" w:rsidP="00000000" w:rsidRDefault="00000000" w:rsidRPr="00000000" w14:paraId="000001B1">
            <w:pPr>
              <w:spacing w:after="0" w:line="240" w:lineRule="auto"/>
              <w:jc w:val="right"/>
              <w:rPr>
                <w:sz w:val="20"/>
                <w:szCs w:val="20"/>
              </w:rPr>
            </w:pPr>
            <w:r w:rsidDel="00000000" w:rsidR="00000000" w:rsidRPr="00000000">
              <w:rPr>
                <w:sz w:val="20"/>
                <w:szCs w:val="20"/>
                <w:rtl w:val="0"/>
              </w:rPr>
              <w:t xml:space="preserve"> </w:t>
            </w:r>
          </w:p>
        </w:tc>
      </w:tr>
      <w:tr>
        <w:trPr>
          <w:cantSplit w:val="0"/>
          <w:trHeight w:val="31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B2">
            <w:pPr>
              <w:spacing w:after="0" w:line="240" w:lineRule="auto"/>
              <w:rPr>
                <w:sz w:val="20"/>
                <w:szCs w:val="20"/>
              </w:rPr>
            </w:pPr>
            <w:r w:rsidDel="00000000" w:rsidR="00000000" w:rsidRPr="00000000">
              <w:rPr>
                <w:sz w:val="20"/>
                <w:szCs w:val="20"/>
                <w:rtl w:val="0"/>
              </w:rPr>
              <w:t xml:space="preserve">West Heslerton</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B3">
            <w:pPr>
              <w:spacing w:after="0" w:line="240" w:lineRule="auto"/>
              <w:jc w:val="right"/>
              <w:rPr>
                <w:sz w:val="20"/>
                <w:szCs w:val="20"/>
              </w:rPr>
            </w:pPr>
            <w:r w:rsidDel="00000000" w:rsidR="00000000" w:rsidRPr="00000000">
              <w:rPr>
                <w:sz w:val="20"/>
                <w:szCs w:val="20"/>
                <w:rtl w:val="0"/>
              </w:rPr>
              <w:t xml:space="preserve">42</w:t>
            </w:r>
          </w:p>
        </w:tc>
        <w:tc>
          <w:tcPr>
            <w:tcBorders>
              <w:top w:color="000000" w:space="0" w:sz="0" w:val="nil"/>
              <w:left w:color="000000" w:space="0" w:sz="0" w:val="nil"/>
              <w:bottom w:color="000000" w:space="0" w:sz="0" w:val="nil"/>
              <w:right w:color="000000" w:space="0" w:sz="0" w:val="nil"/>
            </w:tcBorders>
            <w:shd w:fill="fff2cc" w:val="clear"/>
            <w:vAlign w:val="center"/>
          </w:tcPr>
          <w:p w:rsidR="00000000" w:rsidDel="00000000" w:rsidP="00000000" w:rsidRDefault="00000000" w:rsidRPr="00000000" w14:paraId="000001B4">
            <w:pPr>
              <w:spacing w:after="0" w:line="240" w:lineRule="auto"/>
              <w:jc w:val="right"/>
              <w:rPr>
                <w:sz w:val="20"/>
                <w:szCs w:val="20"/>
              </w:rPr>
            </w:pPr>
            <w:r w:rsidDel="00000000" w:rsidR="00000000" w:rsidRPr="00000000">
              <w:rPr>
                <w:sz w:val="20"/>
                <w:szCs w:val="20"/>
                <w:rtl w:val="0"/>
              </w:rPr>
              <w:t xml:space="preserve">11</w:t>
            </w:r>
          </w:p>
        </w:tc>
        <w:tc>
          <w:tcPr>
            <w:tcBorders>
              <w:top w:color="000000" w:space="0" w:sz="0" w:val="nil"/>
              <w:left w:color="000000" w:space="0" w:sz="0" w:val="nil"/>
              <w:bottom w:color="000000" w:space="0" w:sz="0" w:val="nil"/>
              <w:right w:color="000000" w:space="0" w:sz="0" w:val="nil"/>
            </w:tcBorders>
            <w:shd w:fill="fff2cc" w:val="clear"/>
            <w:vAlign w:val="center"/>
          </w:tcPr>
          <w:p w:rsidR="00000000" w:rsidDel="00000000" w:rsidP="00000000" w:rsidRDefault="00000000" w:rsidRPr="00000000" w14:paraId="000001B5">
            <w:pPr>
              <w:spacing w:after="0" w:line="240" w:lineRule="auto"/>
              <w:jc w:val="right"/>
              <w:rPr>
                <w:sz w:val="20"/>
                <w:szCs w:val="20"/>
              </w:rPr>
            </w:pPr>
            <w:r w:rsidDel="00000000" w:rsidR="00000000" w:rsidRPr="00000000">
              <w:rPr>
                <w:sz w:val="20"/>
                <w:szCs w:val="20"/>
                <w:rtl w:val="0"/>
              </w:rPr>
              <w:t xml:space="preserve">26</w:t>
            </w:r>
          </w:p>
        </w:tc>
        <w:tc>
          <w:tcPr>
            <w:tcBorders>
              <w:top w:color="000000" w:space="0" w:sz="0" w:val="nil"/>
              <w:left w:color="000000" w:space="0" w:sz="0" w:val="nil"/>
              <w:bottom w:color="000000" w:space="0" w:sz="0" w:val="nil"/>
              <w:right w:color="000000" w:space="0" w:sz="0" w:val="nil"/>
            </w:tcBorders>
            <w:shd w:fill="d9e1f2" w:val="clear"/>
            <w:vAlign w:val="center"/>
          </w:tcPr>
          <w:p w:rsidR="00000000" w:rsidDel="00000000" w:rsidP="00000000" w:rsidRDefault="00000000" w:rsidRPr="00000000" w14:paraId="000001B6">
            <w:pPr>
              <w:spacing w:after="0" w:line="240" w:lineRule="auto"/>
              <w:jc w:val="right"/>
              <w:rPr>
                <w:sz w:val="20"/>
                <w:szCs w:val="20"/>
              </w:rPr>
            </w:pPr>
            <w:r w:rsidDel="00000000" w:rsidR="00000000" w:rsidRPr="00000000">
              <w:rPr>
                <w:sz w:val="20"/>
                <w:szCs w:val="20"/>
                <w:rtl w:val="0"/>
              </w:rPr>
              <w:t xml:space="preserve">15</w:t>
            </w:r>
          </w:p>
        </w:tc>
        <w:tc>
          <w:tcPr>
            <w:tcBorders>
              <w:top w:color="000000" w:space="0" w:sz="0" w:val="nil"/>
              <w:left w:color="000000" w:space="0" w:sz="0" w:val="nil"/>
              <w:bottom w:color="000000" w:space="0" w:sz="0" w:val="nil"/>
              <w:right w:color="000000" w:space="0" w:sz="0" w:val="nil"/>
            </w:tcBorders>
            <w:shd w:fill="d9e1f2" w:val="clear"/>
            <w:vAlign w:val="center"/>
          </w:tcPr>
          <w:p w:rsidR="00000000" w:rsidDel="00000000" w:rsidP="00000000" w:rsidRDefault="00000000" w:rsidRPr="00000000" w14:paraId="000001B7">
            <w:pPr>
              <w:spacing w:after="0" w:line="240" w:lineRule="auto"/>
              <w:jc w:val="right"/>
              <w:rPr>
                <w:sz w:val="20"/>
                <w:szCs w:val="20"/>
              </w:rPr>
            </w:pPr>
            <w:r w:rsidDel="00000000" w:rsidR="00000000" w:rsidRPr="00000000">
              <w:rPr>
                <w:sz w:val="20"/>
                <w:szCs w:val="20"/>
                <w:rtl w:val="0"/>
              </w:rPr>
              <w:t xml:space="preserve">36</w:t>
            </w:r>
          </w:p>
        </w:tc>
        <w:tc>
          <w:tcPr>
            <w:tcBorders>
              <w:top w:color="000000" w:space="0" w:sz="0" w:val="nil"/>
              <w:left w:color="000000" w:space="0" w:sz="0" w:val="nil"/>
              <w:bottom w:color="000000" w:space="0" w:sz="0" w:val="nil"/>
              <w:right w:color="000000" w:space="0" w:sz="0" w:val="nil"/>
            </w:tcBorders>
            <w:shd w:fill="d9d9d9" w:val="clear"/>
            <w:vAlign w:val="center"/>
          </w:tcPr>
          <w:p w:rsidR="00000000" w:rsidDel="00000000" w:rsidP="00000000" w:rsidRDefault="00000000" w:rsidRPr="00000000" w14:paraId="000001B8">
            <w:pPr>
              <w:spacing w:after="0" w:line="240" w:lineRule="auto"/>
              <w:jc w:val="right"/>
              <w:rPr>
                <w:sz w:val="20"/>
                <w:szCs w:val="20"/>
              </w:rPr>
            </w:pPr>
            <w:r w:rsidDel="00000000" w:rsidR="00000000" w:rsidRPr="00000000">
              <w:rPr>
                <w:sz w:val="20"/>
                <w:szCs w:val="20"/>
                <w:rtl w:val="0"/>
              </w:rPr>
              <w:t xml:space="preserve">16</w:t>
            </w:r>
          </w:p>
        </w:tc>
        <w:tc>
          <w:tcPr>
            <w:tcBorders>
              <w:top w:color="000000" w:space="0" w:sz="0" w:val="nil"/>
              <w:left w:color="000000" w:space="0" w:sz="0" w:val="nil"/>
              <w:bottom w:color="000000" w:space="0" w:sz="0" w:val="nil"/>
              <w:right w:color="000000" w:space="0" w:sz="0" w:val="nil"/>
            </w:tcBorders>
            <w:shd w:fill="d9d9d9" w:val="clear"/>
            <w:vAlign w:val="center"/>
          </w:tcPr>
          <w:p w:rsidR="00000000" w:rsidDel="00000000" w:rsidP="00000000" w:rsidRDefault="00000000" w:rsidRPr="00000000" w14:paraId="000001B9">
            <w:pPr>
              <w:spacing w:after="0" w:line="240" w:lineRule="auto"/>
              <w:jc w:val="right"/>
              <w:rPr>
                <w:sz w:val="20"/>
                <w:szCs w:val="20"/>
              </w:rPr>
            </w:pPr>
            <w:r w:rsidDel="00000000" w:rsidR="00000000" w:rsidRPr="00000000">
              <w:rPr>
                <w:sz w:val="20"/>
                <w:szCs w:val="20"/>
                <w:rtl w:val="0"/>
              </w:rPr>
              <w:t xml:space="preserve">38</w:t>
            </w:r>
          </w:p>
        </w:tc>
      </w:tr>
      <w:tr>
        <w:trPr>
          <w:cantSplit w:val="0"/>
          <w:trHeight w:val="315" w:hRule="atLeast"/>
          <w:tblHeader w:val="0"/>
        </w:trPr>
        <w:tc>
          <w:tcPr>
            <w:tcBorders>
              <w:top w:color="000000" w:space="0" w:sz="4" w:val="single"/>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BA">
            <w:pPr>
              <w:spacing w:after="0" w:line="240" w:lineRule="auto"/>
              <w:rPr>
                <w:b w:val="1"/>
                <w:sz w:val="20"/>
                <w:szCs w:val="20"/>
              </w:rPr>
            </w:pPr>
            <w:r w:rsidDel="00000000" w:rsidR="00000000" w:rsidRPr="00000000">
              <w:rPr>
                <w:b w:val="1"/>
                <w:sz w:val="20"/>
                <w:szCs w:val="20"/>
                <w:rtl w:val="0"/>
              </w:rPr>
              <w:t xml:space="preserve">East Midlands</w:t>
            </w:r>
          </w:p>
        </w:tc>
        <w:tc>
          <w:tcPr>
            <w:tcBorders>
              <w:top w:color="000000" w:space="0" w:sz="4" w:val="single"/>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BB">
            <w:pPr>
              <w:spacing w:after="0" w:line="240" w:lineRule="auto"/>
              <w:jc w:val="right"/>
              <w:rPr>
                <w:b w:val="1"/>
                <w:sz w:val="20"/>
                <w:szCs w:val="20"/>
              </w:rPr>
            </w:pPr>
            <w:r w:rsidDel="00000000" w:rsidR="00000000" w:rsidRPr="00000000">
              <w:rPr>
                <w:b w:val="1"/>
                <w:sz w:val="20"/>
                <w:szCs w:val="20"/>
                <w:rtl w:val="0"/>
              </w:rPr>
              <w:t xml:space="preserve">3</w:t>
            </w:r>
          </w:p>
        </w:tc>
        <w:tc>
          <w:tcPr>
            <w:tcBorders>
              <w:top w:color="000000" w:space="0" w:sz="4" w:val="single"/>
              <w:left w:color="000000" w:space="0" w:sz="0" w:val="nil"/>
              <w:bottom w:color="000000" w:space="0" w:sz="4" w:val="single"/>
              <w:right w:color="000000" w:space="0" w:sz="0" w:val="nil"/>
            </w:tcBorders>
            <w:shd w:fill="fff2cc" w:val="clear"/>
            <w:vAlign w:val="center"/>
          </w:tcPr>
          <w:p w:rsidR="00000000" w:rsidDel="00000000" w:rsidP="00000000" w:rsidRDefault="00000000" w:rsidRPr="00000000" w14:paraId="000001BC">
            <w:pPr>
              <w:spacing w:after="0" w:line="240" w:lineRule="auto"/>
              <w:jc w:val="right"/>
              <w:rPr>
                <w:b w:val="1"/>
                <w:sz w:val="20"/>
                <w:szCs w:val="20"/>
              </w:rPr>
            </w:pPr>
            <w:r w:rsidDel="00000000" w:rsidR="00000000" w:rsidRPr="00000000">
              <w:rPr>
                <w:b w:val="1"/>
                <w:sz w:val="20"/>
                <w:szCs w:val="20"/>
                <w:rtl w:val="0"/>
              </w:rPr>
              <w:t xml:space="preserve">2</w:t>
            </w:r>
          </w:p>
        </w:tc>
        <w:tc>
          <w:tcPr>
            <w:tcBorders>
              <w:top w:color="000000" w:space="0" w:sz="4" w:val="single"/>
              <w:left w:color="000000" w:space="0" w:sz="0" w:val="nil"/>
              <w:bottom w:color="000000" w:space="0" w:sz="4" w:val="single"/>
              <w:right w:color="000000" w:space="0" w:sz="0" w:val="nil"/>
            </w:tcBorders>
            <w:shd w:fill="fff2cc" w:val="clear"/>
            <w:vAlign w:val="center"/>
          </w:tcPr>
          <w:p w:rsidR="00000000" w:rsidDel="00000000" w:rsidP="00000000" w:rsidRDefault="00000000" w:rsidRPr="00000000" w14:paraId="000001BD">
            <w:pPr>
              <w:spacing w:after="0" w:line="240" w:lineRule="auto"/>
              <w:jc w:val="right"/>
              <w:rPr>
                <w:b w:val="1"/>
                <w:sz w:val="20"/>
                <w:szCs w:val="20"/>
              </w:rPr>
            </w:pPr>
            <w:r w:rsidDel="00000000" w:rsidR="00000000" w:rsidRPr="00000000">
              <w:rPr>
                <w:b w:val="1"/>
                <w:sz w:val="20"/>
                <w:szCs w:val="20"/>
                <w:rtl w:val="0"/>
              </w:rPr>
              <w:t xml:space="preserve"> </w:t>
            </w:r>
          </w:p>
        </w:tc>
        <w:tc>
          <w:tcPr>
            <w:tcBorders>
              <w:top w:color="000000" w:space="0" w:sz="4" w:val="single"/>
              <w:left w:color="000000" w:space="0" w:sz="0" w:val="nil"/>
              <w:bottom w:color="000000" w:space="0" w:sz="4" w:val="single"/>
              <w:right w:color="000000" w:space="0" w:sz="0" w:val="nil"/>
            </w:tcBorders>
            <w:shd w:fill="d9e1f2" w:val="clear"/>
            <w:vAlign w:val="center"/>
          </w:tcPr>
          <w:p w:rsidR="00000000" w:rsidDel="00000000" w:rsidP="00000000" w:rsidRDefault="00000000" w:rsidRPr="00000000" w14:paraId="000001BE">
            <w:pPr>
              <w:spacing w:after="0" w:line="240" w:lineRule="auto"/>
              <w:jc w:val="right"/>
              <w:rPr>
                <w:b w:val="1"/>
                <w:sz w:val="20"/>
                <w:szCs w:val="20"/>
              </w:rPr>
            </w:pPr>
            <w:r w:rsidDel="00000000" w:rsidR="00000000" w:rsidRPr="00000000">
              <w:rPr>
                <w:b w:val="1"/>
                <w:sz w:val="20"/>
                <w:szCs w:val="20"/>
                <w:rtl w:val="0"/>
              </w:rPr>
              <w:t xml:space="preserve"> </w:t>
            </w:r>
          </w:p>
        </w:tc>
        <w:tc>
          <w:tcPr>
            <w:tcBorders>
              <w:top w:color="000000" w:space="0" w:sz="4" w:val="single"/>
              <w:left w:color="000000" w:space="0" w:sz="0" w:val="nil"/>
              <w:bottom w:color="000000" w:space="0" w:sz="4" w:val="single"/>
              <w:right w:color="000000" w:space="0" w:sz="0" w:val="nil"/>
            </w:tcBorders>
            <w:shd w:fill="d9e1f2" w:val="clear"/>
            <w:vAlign w:val="center"/>
          </w:tcPr>
          <w:p w:rsidR="00000000" w:rsidDel="00000000" w:rsidP="00000000" w:rsidRDefault="00000000" w:rsidRPr="00000000" w14:paraId="000001BF">
            <w:pPr>
              <w:spacing w:after="0" w:line="240" w:lineRule="auto"/>
              <w:jc w:val="right"/>
              <w:rPr>
                <w:b w:val="1"/>
                <w:sz w:val="20"/>
                <w:szCs w:val="20"/>
              </w:rPr>
            </w:pPr>
            <w:r w:rsidDel="00000000" w:rsidR="00000000" w:rsidRPr="00000000">
              <w:rPr>
                <w:b w:val="1"/>
                <w:sz w:val="20"/>
                <w:szCs w:val="20"/>
                <w:rtl w:val="0"/>
              </w:rPr>
              <w:t xml:space="preserve"> </w:t>
            </w:r>
          </w:p>
        </w:tc>
        <w:tc>
          <w:tcPr>
            <w:tcBorders>
              <w:top w:color="000000" w:space="0" w:sz="4" w:val="single"/>
              <w:left w:color="000000" w:space="0" w:sz="0" w:val="nil"/>
              <w:bottom w:color="000000" w:space="0" w:sz="4" w:val="single"/>
              <w:right w:color="000000" w:space="0" w:sz="0" w:val="nil"/>
            </w:tcBorders>
            <w:shd w:fill="d9d9d9" w:val="clear"/>
            <w:vAlign w:val="center"/>
          </w:tcPr>
          <w:p w:rsidR="00000000" w:rsidDel="00000000" w:rsidP="00000000" w:rsidRDefault="00000000" w:rsidRPr="00000000" w14:paraId="000001C0">
            <w:pPr>
              <w:spacing w:after="0" w:line="240" w:lineRule="auto"/>
              <w:jc w:val="right"/>
              <w:rPr>
                <w:b w:val="1"/>
                <w:sz w:val="20"/>
                <w:szCs w:val="20"/>
              </w:rPr>
            </w:pPr>
            <w:r w:rsidDel="00000000" w:rsidR="00000000" w:rsidRPr="00000000">
              <w:rPr>
                <w:b w:val="1"/>
                <w:sz w:val="20"/>
                <w:szCs w:val="20"/>
                <w:rtl w:val="0"/>
              </w:rPr>
              <w:t xml:space="preserve">1</w:t>
            </w:r>
          </w:p>
        </w:tc>
        <w:tc>
          <w:tcPr>
            <w:tcBorders>
              <w:top w:color="000000" w:space="0" w:sz="4" w:val="single"/>
              <w:left w:color="000000" w:space="0" w:sz="0" w:val="nil"/>
              <w:bottom w:color="000000" w:space="0" w:sz="4" w:val="single"/>
              <w:right w:color="000000" w:space="0" w:sz="0" w:val="nil"/>
            </w:tcBorders>
            <w:shd w:fill="d9d9d9" w:val="clear"/>
            <w:vAlign w:val="center"/>
          </w:tcPr>
          <w:p w:rsidR="00000000" w:rsidDel="00000000" w:rsidP="00000000" w:rsidRDefault="00000000" w:rsidRPr="00000000" w14:paraId="000001C1">
            <w:pPr>
              <w:spacing w:after="0" w:line="240" w:lineRule="auto"/>
              <w:jc w:val="right"/>
              <w:rPr>
                <w:b w:val="1"/>
                <w:sz w:val="20"/>
                <w:szCs w:val="20"/>
              </w:rPr>
            </w:pPr>
            <w:r w:rsidDel="00000000" w:rsidR="00000000" w:rsidRPr="00000000">
              <w:rPr>
                <w:b w:val="1"/>
                <w:sz w:val="20"/>
                <w:szCs w:val="20"/>
                <w:rtl w:val="0"/>
              </w:rPr>
              <w:t xml:space="preserve"> </w:t>
            </w:r>
          </w:p>
        </w:tc>
      </w:tr>
      <w:tr>
        <w:trPr>
          <w:cantSplit w:val="0"/>
          <w:trHeight w:val="31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C2">
            <w:pPr>
              <w:spacing w:after="0" w:line="240" w:lineRule="auto"/>
              <w:rPr>
                <w:sz w:val="20"/>
                <w:szCs w:val="20"/>
              </w:rPr>
            </w:pPr>
            <w:r w:rsidDel="00000000" w:rsidR="00000000" w:rsidRPr="00000000">
              <w:rPr>
                <w:sz w:val="20"/>
                <w:szCs w:val="20"/>
                <w:rtl w:val="0"/>
              </w:rPr>
              <w:t xml:space="preserve">Lincoln, Lincoln Castle</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C3">
            <w:pPr>
              <w:spacing w:after="0" w:line="240" w:lineRule="auto"/>
              <w:jc w:val="right"/>
              <w:rPr>
                <w:sz w:val="20"/>
                <w:szCs w:val="20"/>
              </w:rPr>
            </w:pPr>
            <w:r w:rsidDel="00000000" w:rsidR="00000000" w:rsidRPr="00000000">
              <w:rPr>
                <w:sz w:val="20"/>
                <w:szCs w:val="20"/>
                <w:rtl w:val="0"/>
              </w:rPr>
              <w:t xml:space="preserve">3</w:t>
            </w:r>
          </w:p>
        </w:tc>
        <w:tc>
          <w:tcPr>
            <w:tcBorders>
              <w:top w:color="000000" w:space="0" w:sz="0" w:val="nil"/>
              <w:left w:color="000000" w:space="0" w:sz="0" w:val="nil"/>
              <w:bottom w:color="000000" w:space="0" w:sz="0" w:val="nil"/>
              <w:right w:color="000000" w:space="0" w:sz="0" w:val="nil"/>
            </w:tcBorders>
            <w:shd w:fill="fff2cc" w:val="clear"/>
            <w:vAlign w:val="center"/>
          </w:tcPr>
          <w:p w:rsidR="00000000" w:rsidDel="00000000" w:rsidP="00000000" w:rsidRDefault="00000000" w:rsidRPr="00000000" w14:paraId="000001C4">
            <w:pPr>
              <w:spacing w:after="0" w:line="240" w:lineRule="auto"/>
              <w:jc w:val="right"/>
              <w:rPr>
                <w:sz w:val="20"/>
                <w:szCs w:val="20"/>
              </w:rPr>
            </w:pPr>
            <w:r w:rsidDel="00000000" w:rsidR="00000000" w:rsidRPr="00000000">
              <w:rPr>
                <w:sz w:val="20"/>
                <w:szCs w:val="20"/>
                <w:rtl w:val="0"/>
              </w:rPr>
              <w:t xml:space="preserve">2</w:t>
            </w:r>
          </w:p>
        </w:tc>
        <w:tc>
          <w:tcPr>
            <w:tcBorders>
              <w:top w:color="000000" w:space="0" w:sz="0" w:val="nil"/>
              <w:left w:color="000000" w:space="0" w:sz="0" w:val="nil"/>
              <w:bottom w:color="000000" w:space="0" w:sz="0" w:val="nil"/>
              <w:right w:color="000000" w:space="0" w:sz="0" w:val="nil"/>
            </w:tcBorders>
            <w:shd w:fill="fff2cc" w:val="clear"/>
            <w:vAlign w:val="center"/>
          </w:tcPr>
          <w:p w:rsidR="00000000" w:rsidDel="00000000" w:rsidP="00000000" w:rsidRDefault="00000000" w:rsidRPr="00000000" w14:paraId="000001C5">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0" w:val="nil"/>
              <w:right w:color="000000" w:space="0" w:sz="0" w:val="nil"/>
            </w:tcBorders>
            <w:shd w:fill="d9e1f2" w:val="clear"/>
            <w:vAlign w:val="center"/>
          </w:tcPr>
          <w:p w:rsidR="00000000" w:rsidDel="00000000" w:rsidP="00000000" w:rsidRDefault="00000000" w:rsidRPr="00000000" w14:paraId="000001C6">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0" w:val="nil"/>
              <w:right w:color="000000" w:space="0" w:sz="0" w:val="nil"/>
            </w:tcBorders>
            <w:shd w:fill="d9e1f2" w:val="clear"/>
            <w:vAlign w:val="center"/>
          </w:tcPr>
          <w:p w:rsidR="00000000" w:rsidDel="00000000" w:rsidP="00000000" w:rsidRDefault="00000000" w:rsidRPr="00000000" w14:paraId="000001C7">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0" w:val="nil"/>
              <w:right w:color="000000" w:space="0" w:sz="0" w:val="nil"/>
            </w:tcBorders>
            <w:shd w:fill="d9d9d9" w:val="clear"/>
            <w:vAlign w:val="center"/>
          </w:tcPr>
          <w:p w:rsidR="00000000" w:rsidDel="00000000" w:rsidP="00000000" w:rsidRDefault="00000000" w:rsidRPr="00000000" w14:paraId="000001C8">
            <w:pPr>
              <w:spacing w:after="0" w:line="240" w:lineRule="auto"/>
              <w:jc w:val="right"/>
              <w:rPr>
                <w:sz w:val="20"/>
                <w:szCs w:val="20"/>
              </w:rPr>
            </w:pPr>
            <w:r w:rsidDel="00000000" w:rsidR="00000000" w:rsidRPr="00000000">
              <w:rPr>
                <w:sz w:val="20"/>
                <w:szCs w:val="20"/>
                <w:rtl w:val="0"/>
              </w:rPr>
              <w:t xml:space="preserve">1</w:t>
            </w:r>
          </w:p>
        </w:tc>
        <w:tc>
          <w:tcPr>
            <w:tcBorders>
              <w:top w:color="000000" w:space="0" w:sz="0" w:val="nil"/>
              <w:left w:color="000000" w:space="0" w:sz="0" w:val="nil"/>
              <w:bottom w:color="000000" w:space="0" w:sz="0" w:val="nil"/>
              <w:right w:color="000000" w:space="0" w:sz="0" w:val="nil"/>
            </w:tcBorders>
            <w:shd w:fill="d9d9d9" w:val="clear"/>
            <w:vAlign w:val="center"/>
          </w:tcPr>
          <w:p w:rsidR="00000000" w:rsidDel="00000000" w:rsidP="00000000" w:rsidRDefault="00000000" w:rsidRPr="00000000" w14:paraId="000001C9">
            <w:pPr>
              <w:spacing w:after="0" w:line="240" w:lineRule="auto"/>
              <w:jc w:val="right"/>
              <w:rPr>
                <w:sz w:val="20"/>
                <w:szCs w:val="20"/>
              </w:rPr>
            </w:pPr>
            <w:r w:rsidDel="00000000" w:rsidR="00000000" w:rsidRPr="00000000">
              <w:rPr>
                <w:sz w:val="20"/>
                <w:szCs w:val="20"/>
                <w:rtl w:val="0"/>
              </w:rPr>
              <w:t xml:space="preserve"> </w:t>
            </w:r>
          </w:p>
        </w:tc>
      </w:tr>
      <w:tr>
        <w:trPr>
          <w:cantSplit w:val="0"/>
          <w:trHeight w:val="315" w:hRule="atLeast"/>
          <w:tblHeader w:val="0"/>
        </w:trPr>
        <w:tc>
          <w:tcPr>
            <w:tcBorders>
              <w:top w:color="000000" w:space="0" w:sz="4" w:val="single"/>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CA">
            <w:pPr>
              <w:spacing w:after="0" w:line="240" w:lineRule="auto"/>
              <w:rPr>
                <w:b w:val="1"/>
                <w:sz w:val="20"/>
                <w:szCs w:val="20"/>
              </w:rPr>
            </w:pPr>
            <w:r w:rsidDel="00000000" w:rsidR="00000000" w:rsidRPr="00000000">
              <w:rPr>
                <w:b w:val="1"/>
                <w:sz w:val="20"/>
                <w:szCs w:val="20"/>
                <w:rtl w:val="0"/>
              </w:rPr>
              <w:t xml:space="preserve">England East</w:t>
            </w:r>
          </w:p>
        </w:tc>
        <w:tc>
          <w:tcPr>
            <w:tcBorders>
              <w:top w:color="000000" w:space="0" w:sz="4" w:val="single"/>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CB">
            <w:pPr>
              <w:spacing w:after="0" w:line="240" w:lineRule="auto"/>
              <w:jc w:val="right"/>
              <w:rPr>
                <w:b w:val="1"/>
                <w:sz w:val="20"/>
                <w:szCs w:val="20"/>
              </w:rPr>
            </w:pPr>
            <w:r w:rsidDel="00000000" w:rsidR="00000000" w:rsidRPr="00000000">
              <w:rPr>
                <w:b w:val="1"/>
                <w:sz w:val="20"/>
                <w:szCs w:val="20"/>
                <w:rtl w:val="0"/>
              </w:rPr>
              <w:t xml:space="preserve">84</w:t>
            </w:r>
          </w:p>
        </w:tc>
        <w:tc>
          <w:tcPr>
            <w:tcBorders>
              <w:top w:color="000000" w:space="0" w:sz="4" w:val="single"/>
              <w:left w:color="000000" w:space="0" w:sz="0" w:val="nil"/>
              <w:bottom w:color="000000" w:space="0" w:sz="4" w:val="single"/>
              <w:right w:color="000000" w:space="0" w:sz="0" w:val="nil"/>
            </w:tcBorders>
            <w:shd w:fill="fff2cc" w:val="clear"/>
            <w:vAlign w:val="center"/>
          </w:tcPr>
          <w:p w:rsidR="00000000" w:rsidDel="00000000" w:rsidP="00000000" w:rsidRDefault="00000000" w:rsidRPr="00000000" w14:paraId="000001CC">
            <w:pPr>
              <w:spacing w:after="0" w:line="240" w:lineRule="auto"/>
              <w:jc w:val="right"/>
              <w:rPr>
                <w:b w:val="1"/>
                <w:sz w:val="20"/>
                <w:szCs w:val="20"/>
              </w:rPr>
            </w:pPr>
            <w:r w:rsidDel="00000000" w:rsidR="00000000" w:rsidRPr="00000000">
              <w:rPr>
                <w:b w:val="1"/>
                <w:sz w:val="20"/>
                <w:szCs w:val="20"/>
                <w:rtl w:val="0"/>
              </w:rPr>
              <w:t xml:space="preserve">30</w:t>
            </w:r>
          </w:p>
        </w:tc>
        <w:tc>
          <w:tcPr>
            <w:tcBorders>
              <w:top w:color="000000" w:space="0" w:sz="4" w:val="single"/>
              <w:left w:color="000000" w:space="0" w:sz="0" w:val="nil"/>
              <w:bottom w:color="000000" w:space="0" w:sz="4" w:val="single"/>
              <w:right w:color="000000" w:space="0" w:sz="0" w:val="nil"/>
            </w:tcBorders>
            <w:shd w:fill="fff2cc" w:val="clear"/>
            <w:vAlign w:val="center"/>
          </w:tcPr>
          <w:p w:rsidR="00000000" w:rsidDel="00000000" w:rsidP="00000000" w:rsidRDefault="00000000" w:rsidRPr="00000000" w14:paraId="000001CD">
            <w:pPr>
              <w:spacing w:after="0" w:line="240" w:lineRule="auto"/>
              <w:jc w:val="right"/>
              <w:rPr>
                <w:b w:val="1"/>
                <w:sz w:val="20"/>
                <w:szCs w:val="20"/>
              </w:rPr>
            </w:pPr>
            <w:r w:rsidDel="00000000" w:rsidR="00000000" w:rsidRPr="00000000">
              <w:rPr>
                <w:b w:val="1"/>
                <w:sz w:val="20"/>
                <w:szCs w:val="20"/>
                <w:rtl w:val="0"/>
              </w:rPr>
              <w:t xml:space="preserve">36</w:t>
            </w:r>
          </w:p>
        </w:tc>
        <w:tc>
          <w:tcPr>
            <w:tcBorders>
              <w:top w:color="000000" w:space="0" w:sz="4" w:val="single"/>
              <w:left w:color="000000" w:space="0" w:sz="0" w:val="nil"/>
              <w:bottom w:color="000000" w:space="0" w:sz="4" w:val="single"/>
              <w:right w:color="000000" w:space="0" w:sz="0" w:val="nil"/>
            </w:tcBorders>
            <w:shd w:fill="d9e1f2" w:val="clear"/>
            <w:vAlign w:val="center"/>
          </w:tcPr>
          <w:p w:rsidR="00000000" w:rsidDel="00000000" w:rsidP="00000000" w:rsidRDefault="00000000" w:rsidRPr="00000000" w14:paraId="000001CE">
            <w:pPr>
              <w:spacing w:after="0" w:line="240" w:lineRule="auto"/>
              <w:jc w:val="right"/>
              <w:rPr>
                <w:b w:val="1"/>
                <w:sz w:val="20"/>
                <w:szCs w:val="20"/>
              </w:rPr>
            </w:pPr>
            <w:r w:rsidDel="00000000" w:rsidR="00000000" w:rsidRPr="00000000">
              <w:rPr>
                <w:b w:val="1"/>
                <w:sz w:val="20"/>
                <w:szCs w:val="20"/>
                <w:rtl w:val="0"/>
              </w:rPr>
              <w:t xml:space="preserve">25</w:t>
            </w:r>
          </w:p>
        </w:tc>
        <w:tc>
          <w:tcPr>
            <w:tcBorders>
              <w:top w:color="000000" w:space="0" w:sz="4" w:val="single"/>
              <w:left w:color="000000" w:space="0" w:sz="0" w:val="nil"/>
              <w:bottom w:color="000000" w:space="0" w:sz="4" w:val="single"/>
              <w:right w:color="000000" w:space="0" w:sz="0" w:val="nil"/>
            </w:tcBorders>
            <w:shd w:fill="d9e1f2" w:val="clear"/>
            <w:vAlign w:val="center"/>
          </w:tcPr>
          <w:p w:rsidR="00000000" w:rsidDel="00000000" w:rsidP="00000000" w:rsidRDefault="00000000" w:rsidRPr="00000000" w14:paraId="000001CF">
            <w:pPr>
              <w:spacing w:after="0" w:line="240" w:lineRule="auto"/>
              <w:jc w:val="right"/>
              <w:rPr>
                <w:b w:val="1"/>
                <w:sz w:val="20"/>
                <w:szCs w:val="20"/>
              </w:rPr>
            </w:pPr>
            <w:r w:rsidDel="00000000" w:rsidR="00000000" w:rsidRPr="00000000">
              <w:rPr>
                <w:b w:val="1"/>
                <w:sz w:val="20"/>
                <w:szCs w:val="20"/>
                <w:rtl w:val="0"/>
              </w:rPr>
              <w:t xml:space="preserve">30</w:t>
            </w:r>
          </w:p>
        </w:tc>
        <w:tc>
          <w:tcPr>
            <w:tcBorders>
              <w:top w:color="000000" w:space="0" w:sz="4" w:val="single"/>
              <w:left w:color="000000" w:space="0" w:sz="0" w:val="nil"/>
              <w:bottom w:color="000000" w:space="0" w:sz="4" w:val="single"/>
              <w:right w:color="000000" w:space="0" w:sz="0" w:val="nil"/>
            </w:tcBorders>
            <w:shd w:fill="d9d9d9" w:val="clear"/>
            <w:vAlign w:val="center"/>
          </w:tcPr>
          <w:p w:rsidR="00000000" w:rsidDel="00000000" w:rsidP="00000000" w:rsidRDefault="00000000" w:rsidRPr="00000000" w14:paraId="000001D0">
            <w:pPr>
              <w:spacing w:after="0" w:line="240" w:lineRule="auto"/>
              <w:jc w:val="right"/>
              <w:rPr>
                <w:b w:val="1"/>
                <w:sz w:val="20"/>
                <w:szCs w:val="20"/>
              </w:rPr>
            </w:pPr>
            <w:r w:rsidDel="00000000" w:rsidR="00000000" w:rsidRPr="00000000">
              <w:rPr>
                <w:b w:val="1"/>
                <w:sz w:val="20"/>
                <w:szCs w:val="20"/>
                <w:rtl w:val="0"/>
              </w:rPr>
              <w:t xml:space="preserve">29</w:t>
            </w:r>
          </w:p>
        </w:tc>
        <w:tc>
          <w:tcPr>
            <w:tcBorders>
              <w:top w:color="000000" w:space="0" w:sz="4" w:val="single"/>
              <w:left w:color="000000" w:space="0" w:sz="0" w:val="nil"/>
              <w:bottom w:color="000000" w:space="0" w:sz="4" w:val="single"/>
              <w:right w:color="000000" w:space="0" w:sz="0" w:val="nil"/>
            </w:tcBorders>
            <w:shd w:fill="d9d9d9" w:val="clear"/>
            <w:vAlign w:val="center"/>
          </w:tcPr>
          <w:p w:rsidR="00000000" w:rsidDel="00000000" w:rsidP="00000000" w:rsidRDefault="00000000" w:rsidRPr="00000000" w14:paraId="000001D1">
            <w:pPr>
              <w:spacing w:after="0" w:line="240" w:lineRule="auto"/>
              <w:jc w:val="right"/>
              <w:rPr>
                <w:b w:val="1"/>
                <w:sz w:val="20"/>
                <w:szCs w:val="20"/>
              </w:rPr>
            </w:pPr>
            <w:r w:rsidDel="00000000" w:rsidR="00000000" w:rsidRPr="00000000">
              <w:rPr>
                <w:b w:val="1"/>
                <w:sz w:val="20"/>
                <w:szCs w:val="20"/>
                <w:rtl w:val="0"/>
              </w:rPr>
              <w:t xml:space="preserve">35</w:t>
            </w:r>
          </w:p>
        </w:tc>
      </w:tr>
      <w:tr>
        <w:trPr>
          <w:cantSplit w:val="0"/>
          <w:trHeight w:val="31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D2">
            <w:pPr>
              <w:spacing w:after="0" w:line="240" w:lineRule="auto"/>
              <w:rPr>
                <w:sz w:val="20"/>
                <w:szCs w:val="20"/>
              </w:rPr>
            </w:pPr>
            <w:r w:rsidDel="00000000" w:rsidR="00000000" w:rsidRPr="00000000">
              <w:rPr>
                <w:sz w:val="20"/>
                <w:szCs w:val="20"/>
                <w:rtl w:val="0"/>
              </w:rPr>
              <w:t xml:space="preserve">Ely</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D3">
            <w:pPr>
              <w:spacing w:after="0" w:line="240" w:lineRule="auto"/>
              <w:jc w:val="right"/>
              <w:rPr>
                <w:sz w:val="20"/>
                <w:szCs w:val="20"/>
              </w:rPr>
            </w:pPr>
            <w:r w:rsidDel="00000000" w:rsidR="00000000" w:rsidRPr="00000000">
              <w:rPr>
                <w:sz w:val="20"/>
                <w:szCs w:val="20"/>
                <w:rtl w:val="0"/>
              </w:rPr>
              <w:t xml:space="preserve">5</w:t>
            </w:r>
          </w:p>
        </w:tc>
        <w:tc>
          <w:tcPr>
            <w:tcBorders>
              <w:top w:color="000000" w:space="0" w:sz="0" w:val="nil"/>
              <w:left w:color="000000" w:space="0" w:sz="0" w:val="nil"/>
              <w:bottom w:color="000000" w:space="0" w:sz="0" w:val="nil"/>
              <w:right w:color="000000" w:space="0" w:sz="0" w:val="nil"/>
            </w:tcBorders>
            <w:shd w:fill="fff2cc" w:val="clear"/>
            <w:vAlign w:val="center"/>
          </w:tcPr>
          <w:p w:rsidR="00000000" w:rsidDel="00000000" w:rsidP="00000000" w:rsidRDefault="00000000" w:rsidRPr="00000000" w14:paraId="000001D4">
            <w:pPr>
              <w:spacing w:after="0" w:line="240" w:lineRule="auto"/>
              <w:jc w:val="right"/>
              <w:rPr>
                <w:sz w:val="20"/>
                <w:szCs w:val="20"/>
              </w:rPr>
            </w:pPr>
            <w:r w:rsidDel="00000000" w:rsidR="00000000" w:rsidRPr="00000000">
              <w:rPr>
                <w:sz w:val="20"/>
                <w:szCs w:val="20"/>
                <w:rtl w:val="0"/>
              </w:rPr>
              <w:t xml:space="preserve">2</w:t>
            </w:r>
          </w:p>
        </w:tc>
        <w:tc>
          <w:tcPr>
            <w:tcBorders>
              <w:top w:color="000000" w:space="0" w:sz="0" w:val="nil"/>
              <w:left w:color="000000" w:space="0" w:sz="0" w:val="nil"/>
              <w:bottom w:color="000000" w:space="0" w:sz="0" w:val="nil"/>
              <w:right w:color="000000" w:space="0" w:sz="0" w:val="nil"/>
            </w:tcBorders>
            <w:shd w:fill="fff2cc" w:val="clear"/>
            <w:vAlign w:val="center"/>
          </w:tcPr>
          <w:p w:rsidR="00000000" w:rsidDel="00000000" w:rsidP="00000000" w:rsidRDefault="00000000" w:rsidRPr="00000000" w14:paraId="000001D5">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0" w:val="nil"/>
              <w:right w:color="000000" w:space="0" w:sz="0" w:val="nil"/>
            </w:tcBorders>
            <w:shd w:fill="d9e1f2" w:val="clear"/>
            <w:vAlign w:val="center"/>
          </w:tcPr>
          <w:p w:rsidR="00000000" w:rsidDel="00000000" w:rsidP="00000000" w:rsidRDefault="00000000" w:rsidRPr="00000000" w14:paraId="000001D6">
            <w:pPr>
              <w:spacing w:after="0" w:line="240" w:lineRule="auto"/>
              <w:jc w:val="right"/>
              <w:rPr>
                <w:sz w:val="20"/>
                <w:szCs w:val="20"/>
              </w:rPr>
            </w:pPr>
            <w:r w:rsidDel="00000000" w:rsidR="00000000" w:rsidRPr="00000000">
              <w:rPr>
                <w:sz w:val="20"/>
                <w:szCs w:val="20"/>
                <w:rtl w:val="0"/>
              </w:rPr>
              <w:t xml:space="preserve">1</w:t>
            </w:r>
          </w:p>
        </w:tc>
        <w:tc>
          <w:tcPr>
            <w:tcBorders>
              <w:top w:color="000000" w:space="0" w:sz="0" w:val="nil"/>
              <w:left w:color="000000" w:space="0" w:sz="0" w:val="nil"/>
              <w:bottom w:color="000000" w:space="0" w:sz="0" w:val="nil"/>
              <w:right w:color="000000" w:space="0" w:sz="0" w:val="nil"/>
            </w:tcBorders>
            <w:shd w:fill="d9e1f2" w:val="clear"/>
            <w:vAlign w:val="center"/>
          </w:tcPr>
          <w:p w:rsidR="00000000" w:rsidDel="00000000" w:rsidP="00000000" w:rsidRDefault="00000000" w:rsidRPr="00000000" w14:paraId="000001D7">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0" w:val="nil"/>
              <w:right w:color="000000" w:space="0" w:sz="0" w:val="nil"/>
            </w:tcBorders>
            <w:shd w:fill="d9d9d9" w:val="clear"/>
            <w:vAlign w:val="center"/>
          </w:tcPr>
          <w:p w:rsidR="00000000" w:rsidDel="00000000" w:rsidP="00000000" w:rsidRDefault="00000000" w:rsidRPr="00000000" w14:paraId="000001D8">
            <w:pPr>
              <w:spacing w:after="0" w:line="240" w:lineRule="auto"/>
              <w:jc w:val="right"/>
              <w:rPr>
                <w:sz w:val="20"/>
                <w:szCs w:val="20"/>
              </w:rPr>
            </w:pPr>
            <w:r w:rsidDel="00000000" w:rsidR="00000000" w:rsidRPr="00000000">
              <w:rPr>
                <w:sz w:val="20"/>
                <w:szCs w:val="20"/>
                <w:rtl w:val="0"/>
              </w:rPr>
              <w:t xml:space="preserve">2</w:t>
            </w:r>
          </w:p>
        </w:tc>
        <w:tc>
          <w:tcPr>
            <w:tcBorders>
              <w:top w:color="000000" w:space="0" w:sz="0" w:val="nil"/>
              <w:left w:color="000000" w:space="0" w:sz="0" w:val="nil"/>
              <w:bottom w:color="000000" w:space="0" w:sz="0" w:val="nil"/>
              <w:right w:color="000000" w:space="0" w:sz="0" w:val="nil"/>
            </w:tcBorders>
            <w:shd w:fill="d9d9d9" w:val="clear"/>
            <w:vAlign w:val="center"/>
          </w:tcPr>
          <w:p w:rsidR="00000000" w:rsidDel="00000000" w:rsidP="00000000" w:rsidRDefault="00000000" w:rsidRPr="00000000" w14:paraId="000001D9">
            <w:pPr>
              <w:spacing w:after="0" w:line="240" w:lineRule="auto"/>
              <w:jc w:val="right"/>
              <w:rPr>
                <w:sz w:val="20"/>
                <w:szCs w:val="20"/>
              </w:rPr>
            </w:pPr>
            <w:r w:rsidDel="00000000" w:rsidR="00000000" w:rsidRPr="00000000">
              <w:rPr>
                <w:sz w:val="20"/>
                <w:szCs w:val="20"/>
                <w:rtl w:val="0"/>
              </w:rPr>
              <w:t xml:space="preserve"> </w:t>
            </w:r>
          </w:p>
        </w:tc>
      </w:tr>
      <w:tr>
        <w:trPr>
          <w:cantSplit w:val="0"/>
          <w:trHeight w:val="31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DA">
            <w:pPr>
              <w:spacing w:after="0" w:line="240" w:lineRule="auto"/>
              <w:rPr>
                <w:sz w:val="20"/>
                <w:szCs w:val="20"/>
              </w:rPr>
            </w:pPr>
            <w:r w:rsidDel="00000000" w:rsidR="00000000" w:rsidRPr="00000000">
              <w:rPr>
                <w:sz w:val="20"/>
                <w:szCs w:val="20"/>
                <w:rtl w:val="0"/>
              </w:rPr>
              <w:t xml:space="preserve">Hatherdene Close</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DB">
            <w:pPr>
              <w:spacing w:after="0" w:line="240" w:lineRule="auto"/>
              <w:jc w:val="right"/>
              <w:rPr>
                <w:sz w:val="20"/>
                <w:szCs w:val="20"/>
              </w:rPr>
            </w:pPr>
            <w:r w:rsidDel="00000000" w:rsidR="00000000" w:rsidRPr="00000000">
              <w:rPr>
                <w:sz w:val="20"/>
                <w:szCs w:val="20"/>
                <w:rtl w:val="0"/>
              </w:rPr>
              <w:t xml:space="preserve">17</w:t>
            </w:r>
          </w:p>
        </w:tc>
        <w:tc>
          <w:tcPr>
            <w:tcBorders>
              <w:top w:color="000000" w:space="0" w:sz="0" w:val="nil"/>
              <w:left w:color="000000" w:space="0" w:sz="0" w:val="nil"/>
              <w:bottom w:color="000000" w:space="0" w:sz="0" w:val="nil"/>
              <w:right w:color="000000" w:space="0" w:sz="0" w:val="nil"/>
            </w:tcBorders>
            <w:shd w:fill="fff2cc" w:val="clear"/>
            <w:vAlign w:val="center"/>
          </w:tcPr>
          <w:p w:rsidR="00000000" w:rsidDel="00000000" w:rsidP="00000000" w:rsidRDefault="00000000" w:rsidRPr="00000000" w14:paraId="000001DC">
            <w:pPr>
              <w:spacing w:after="0" w:line="240" w:lineRule="auto"/>
              <w:jc w:val="right"/>
              <w:rPr>
                <w:sz w:val="20"/>
                <w:szCs w:val="20"/>
              </w:rPr>
            </w:pPr>
            <w:r w:rsidDel="00000000" w:rsidR="00000000" w:rsidRPr="00000000">
              <w:rPr>
                <w:sz w:val="20"/>
                <w:szCs w:val="20"/>
                <w:rtl w:val="0"/>
              </w:rPr>
              <w:t xml:space="preserve">4</w:t>
            </w:r>
          </w:p>
        </w:tc>
        <w:tc>
          <w:tcPr>
            <w:tcBorders>
              <w:top w:color="000000" w:space="0" w:sz="0" w:val="nil"/>
              <w:left w:color="000000" w:space="0" w:sz="0" w:val="nil"/>
              <w:bottom w:color="000000" w:space="0" w:sz="0" w:val="nil"/>
              <w:right w:color="000000" w:space="0" w:sz="0" w:val="nil"/>
            </w:tcBorders>
            <w:shd w:fill="fff2cc" w:val="clear"/>
            <w:vAlign w:val="center"/>
          </w:tcPr>
          <w:p w:rsidR="00000000" w:rsidDel="00000000" w:rsidP="00000000" w:rsidRDefault="00000000" w:rsidRPr="00000000" w14:paraId="000001DD">
            <w:pPr>
              <w:spacing w:after="0" w:line="240" w:lineRule="auto"/>
              <w:jc w:val="right"/>
              <w:rPr>
                <w:sz w:val="20"/>
                <w:szCs w:val="20"/>
              </w:rPr>
            </w:pPr>
            <w:r w:rsidDel="00000000" w:rsidR="00000000" w:rsidRPr="00000000">
              <w:rPr>
                <w:sz w:val="20"/>
                <w:szCs w:val="20"/>
                <w:rtl w:val="0"/>
              </w:rPr>
              <w:t xml:space="preserve">24</w:t>
            </w:r>
          </w:p>
        </w:tc>
        <w:tc>
          <w:tcPr>
            <w:tcBorders>
              <w:top w:color="000000" w:space="0" w:sz="0" w:val="nil"/>
              <w:left w:color="000000" w:space="0" w:sz="0" w:val="nil"/>
              <w:bottom w:color="000000" w:space="0" w:sz="0" w:val="nil"/>
              <w:right w:color="000000" w:space="0" w:sz="0" w:val="nil"/>
            </w:tcBorders>
            <w:shd w:fill="d9e1f2" w:val="clear"/>
            <w:vAlign w:val="center"/>
          </w:tcPr>
          <w:p w:rsidR="00000000" w:rsidDel="00000000" w:rsidP="00000000" w:rsidRDefault="00000000" w:rsidRPr="00000000" w14:paraId="000001DE">
            <w:pPr>
              <w:spacing w:after="0" w:line="240" w:lineRule="auto"/>
              <w:jc w:val="right"/>
              <w:rPr>
                <w:sz w:val="20"/>
                <w:szCs w:val="20"/>
              </w:rPr>
            </w:pPr>
            <w:r w:rsidDel="00000000" w:rsidR="00000000" w:rsidRPr="00000000">
              <w:rPr>
                <w:sz w:val="20"/>
                <w:szCs w:val="20"/>
                <w:rtl w:val="0"/>
              </w:rPr>
              <w:t xml:space="preserve">8</w:t>
            </w:r>
          </w:p>
        </w:tc>
        <w:tc>
          <w:tcPr>
            <w:tcBorders>
              <w:top w:color="000000" w:space="0" w:sz="0" w:val="nil"/>
              <w:left w:color="000000" w:space="0" w:sz="0" w:val="nil"/>
              <w:bottom w:color="000000" w:space="0" w:sz="0" w:val="nil"/>
              <w:right w:color="000000" w:space="0" w:sz="0" w:val="nil"/>
            </w:tcBorders>
            <w:shd w:fill="d9e1f2" w:val="clear"/>
            <w:vAlign w:val="center"/>
          </w:tcPr>
          <w:p w:rsidR="00000000" w:rsidDel="00000000" w:rsidP="00000000" w:rsidRDefault="00000000" w:rsidRPr="00000000" w14:paraId="000001DF">
            <w:pPr>
              <w:spacing w:after="0" w:line="240" w:lineRule="auto"/>
              <w:jc w:val="right"/>
              <w:rPr>
                <w:sz w:val="20"/>
                <w:szCs w:val="20"/>
              </w:rPr>
            </w:pPr>
            <w:r w:rsidDel="00000000" w:rsidR="00000000" w:rsidRPr="00000000">
              <w:rPr>
                <w:sz w:val="20"/>
                <w:szCs w:val="20"/>
                <w:rtl w:val="0"/>
              </w:rPr>
              <w:t xml:space="preserve">47</w:t>
            </w:r>
          </w:p>
        </w:tc>
        <w:tc>
          <w:tcPr>
            <w:tcBorders>
              <w:top w:color="000000" w:space="0" w:sz="0" w:val="nil"/>
              <w:left w:color="000000" w:space="0" w:sz="0" w:val="nil"/>
              <w:bottom w:color="000000" w:space="0" w:sz="0" w:val="nil"/>
              <w:right w:color="000000" w:space="0" w:sz="0" w:val="nil"/>
            </w:tcBorders>
            <w:shd w:fill="d9d9d9" w:val="clear"/>
            <w:vAlign w:val="center"/>
          </w:tcPr>
          <w:p w:rsidR="00000000" w:rsidDel="00000000" w:rsidP="00000000" w:rsidRDefault="00000000" w:rsidRPr="00000000" w14:paraId="000001E0">
            <w:pPr>
              <w:spacing w:after="0" w:line="240" w:lineRule="auto"/>
              <w:jc w:val="right"/>
              <w:rPr>
                <w:sz w:val="20"/>
                <w:szCs w:val="20"/>
              </w:rPr>
            </w:pPr>
            <w:r w:rsidDel="00000000" w:rsidR="00000000" w:rsidRPr="00000000">
              <w:rPr>
                <w:sz w:val="20"/>
                <w:szCs w:val="20"/>
                <w:rtl w:val="0"/>
              </w:rPr>
              <w:t xml:space="preserve">5</w:t>
            </w:r>
          </w:p>
        </w:tc>
        <w:tc>
          <w:tcPr>
            <w:tcBorders>
              <w:top w:color="000000" w:space="0" w:sz="0" w:val="nil"/>
              <w:left w:color="000000" w:space="0" w:sz="0" w:val="nil"/>
              <w:bottom w:color="000000" w:space="0" w:sz="0" w:val="nil"/>
              <w:right w:color="000000" w:space="0" w:sz="0" w:val="nil"/>
            </w:tcBorders>
            <w:shd w:fill="d9d9d9" w:val="clear"/>
            <w:vAlign w:val="center"/>
          </w:tcPr>
          <w:p w:rsidR="00000000" w:rsidDel="00000000" w:rsidP="00000000" w:rsidRDefault="00000000" w:rsidRPr="00000000" w14:paraId="000001E1">
            <w:pPr>
              <w:spacing w:after="0" w:line="240" w:lineRule="auto"/>
              <w:jc w:val="right"/>
              <w:rPr>
                <w:sz w:val="20"/>
                <w:szCs w:val="20"/>
              </w:rPr>
            </w:pPr>
            <w:r w:rsidDel="00000000" w:rsidR="00000000" w:rsidRPr="00000000">
              <w:rPr>
                <w:sz w:val="20"/>
                <w:szCs w:val="20"/>
                <w:rtl w:val="0"/>
              </w:rPr>
              <w:t xml:space="preserve">29</w:t>
            </w:r>
          </w:p>
        </w:tc>
      </w:tr>
      <w:tr>
        <w:trPr>
          <w:cantSplit w:val="0"/>
          <w:trHeight w:val="31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E2">
            <w:pPr>
              <w:spacing w:after="0" w:line="240" w:lineRule="auto"/>
              <w:rPr>
                <w:sz w:val="20"/>
                <w:szCs w:val="20"/>
              </w:rPr>
            </w:pPr>
            <w:r w:rsidDel="00000000" w:rsidR="00000000" w:rsidRPr="00000000">
              <w:rPr>
                <w:sz w:val="20"/>
                <w:szCs w:val="20"/>
                <w:rtl w:val="0"/>
              </w:rPr>
              <w:t xml:space="preserve">Hinxton</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E3">
            <w:pPr>
              <w:spacing w:after="0" w:line="240" w:lineRule="auto"/>
              <w:jc w:val="right"/>
              <w:rPr>
                <w:sz w:val="20"/>
                <w:szCs w:val="20"/>
              </w:rPr>
            </w:pPr>
            <w:r w:rsidDel="00000000" w:rsidR="00000000" w:rsidRPr="00000000">
              <w:rPr>
                <w:sz w:val="20"/>
                <w:szCs w:val="20"/>
                <w:rtl w:val="0"/>
              </w:rPr>
              <w:t xml:space="preserve">3</w:t>
            </w:r>
          </w:p>
        </w:tc>
        <w:tc>
          <w:tcPr>
            <w:tcBorders>
              <w:top w:color="000000" w:space="0" w:sz="0" w:val="nil"/>
              <w:left w:color="000000" w:space="0" w:sz="0" w:val="nil"/>
              <w:bottom w:color="000000" w:space="0" w:sz="0" w:val="nil"/>
              <w:right w:color="000000" w:space="0" w:sz="0" w:val="nil"/>
            </w:tcBorders>
            <w:shd w:fill="fff2cc" w:val="clear"/>
            <w:vAlign w:val="center"/>
          </w:tcPr>
          <w:p w:rsidR="00000000" w:rsidDel="00000000" w:rsidP="00000000" w:rsidRDefault="00000000" w:rsidRPr="00000000" w14:paraId="000001E4">
            <w:pPr>
              <w:spacing w:after="0" w:line="240" w:lineRule="auto"/>
              <w:jc w:val="right"/>
              <w:rPr>
                <w:sz w:val="20"/>
                <w:szCs w:val="20"/>
              </w:rPr>
            </w:pPr>
            <w:r w:rsidDel="00000000" w:rsidR="00000000" w:rsidRPr="00000000">
              <w:rPr>
                <w:sz w:val="20"/>
                <w:szCs w:val="20"/>
                <w:rtl w:val="0"/>
              </w:rPr>
              <w:t xml:space="preserve">1</w:t>
            </w:r>
          </w:p>
        </w:tc>
        <w:tc>
          <w:tcPr>
            <w:tcBorders>
              <w:top w:color="000000" w:space="0" w:sz="0" w:val="nil"/>
              <w:left w:color="000000" w:space="0" w:sz="0" w:val="nil"/>
              <w:bottom w:color="000000" w:space="0" w:sz="0" w:val="nil"/>
              <w:right w:color="000000" w:space="0" w:sz="0" w:val="nil"/>
            </w:tcBorders>
            <w:shd w:fill="fff2cc" w:val="clear"/>
            <w:vAlign w:val="center"/>
          </w:tcPr>
          <w:p w:rsidR="00000000" w:rsidDel="00000000" w:rsidP="00000000" w:rsidRDefault="00000000" w:rsidRPr="00000000" w14:paraId="000001E5">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0" w:val="nil"/>
              <w:right w:color="000000" w:space="0" w:sz="0" w:val="nil"/>
            </w:tcBorders>
            <w:shd w:fill="d9e1f2" w:val="clear"/>
            <w:vAlign w:val="center"/>
          </w:tcPr>
          <w:p w:rsidR="00000000" w:rsidDel="00000000" w:rsidP="00000000" w:rsidRDefault="00000000" w:rsidRPr="00000000" w14:paraId="000001E6">
            <w:pPr>
              <w:spacing w:after="0" w:line="240" w:lineRule="auto"/>
              <w:jc w:val="right"/>
              <w:rPr>
                <w:sz w:val="20"/>
                <w:szCs w:val="20"/>
              </w:rPr>
            </w:pPr>
            <w:r w:rsidDel="00000000" w:rsidR="00000000" w:rsidRPr="00000000">
              <w:rPr>
                <w:sz w:val="20"/>
                <w:szCs w:val="20"/>
                <w:rtl w:val="0"/>
              </w:rPr>
              <w:t xml:space="preserve">1</w:t>
            </w:r>
          </w:p>
        </w:tc>
        <w:tc>
          <w:tcPr>
            <w:tcBorders>
              <w:top w:color="000000" w:space="0" w:sz="0" w:val="nil"/>
              <w:left w:color="000000" w:space="0" w:sz="0" w:val="nil"/>
              <w:bottom w:color="000000" w:space="0" w:sz="0" w:val="nil"/>
              <w:right w:color="000000" w:space="0" w:sz="0" w:val="nil"/>
            </w:tcBorders>
            <w:shd w:fill="d9e1f2" w:val="clear"/>
            <w:vAlign w:val="center"/>
          </w:tcPr>
          <w:p w:rsidR="00000000" w:rsidDel="00000000" w:rsidP="00000000" w:rsidRDefault="00000000" w:rsidRPr="00000000" w14:paraId="000001E7">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0" w:val="nil"/>
              <w:right w:color="000000" w:space="0" w:sz="0" w:val="nil"/>
            </w:tcBorders>
            <w:shd w:fill="d9d9d9" w:val="clear"/>
            <w:vAlign w:val="center"/>
          </w:tcPr>
          <w:p w:rsidR="00000000" w:rsidDel="00000000" w:rsidP="00000000" w:rsidRDefault="00000000" w:rsidRPr="00000000" w14:paraId="000001E8">
            <w:pPr>
              <w:spacing w:after="0" w:line="240" w:lineRule="auto"/>
              <w:jc w:val="right"/>
              <w:rPr>
                <w:sz w:val="20"/>
                <w:szCs w:val="20"/>
              </w:rPr>
            </w:pPr>
            <w:r w:rsidDel="00000000" w:rsidR="00000000" w:rsidRPr="00000000">
              <w:rPr>
                <w:sz w:val="20"/>
                <w:szCs w:val="20"/>
                <w:rtl w:val="0"/>
              </w:rPr>
              <w:t xml:space="preserve">1</w:t>
            </w:r>
          </w:p>
        </w:tc>
        <w:tc>
          <w:tcPr>
            <w:tcBorders>
              <w:top w:color="000000" w:space="0" w:sz="0" w:val="nil"/>
              <w:left w:color="000000" w:space="0" w:sz="0" w:val="nil"/>
              <w:bottom w:color="000000" w:space="0" w:sz="0" w:val="nil"/>
              <w:right w:color="000000" w:space="0" w:sz="0" w:val="nil"/>
            </w:tcBorders>
            <w:shd w:fill="d9d9d9" w:val="clear"/>
            <w:vAlign w:val="center"/>
          </w:tcPr>
          <w:p w:rsidR="00000000" w:rsidDel="00000000" w:rsidP="00000000" w:rsidRDefault="00000000" w:rsidRPr="00000000" w14:paraId="000001E9">
            <w:pPr>
              <w:spacing w:after="0" w:line="240" w:lineRule="auto"/>
              <w:jc w:val="right"/>
              <w:rPr>
                <w:sz w:val="20"/>
                <w:szCs w:val="20"/>
              </w:rPr>
            </w:pPr>
            <w:r w:rsidDel="00000000" w:rsidR="00000000" w:rsidRPr="00000000">
              <w:rPr>
                <w:sz w:val="20"/>
                <w:szCs w:val="20"/>
                <w:rtl w:val="0"/>
              </w:rPr>
              <w:t xml:space="preserve"> </w:t>
            </w:r>
          </w:p>
        </w:tc>
      </w:tr>
      <w:tr>
        <w:trPr>
          <w:cantSplit w:val="0"/>
          <w:trHeight w:val="31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EA">
            <w:pPr>
              <w:spacing w:after="0" w:line="240" w:lineRule="auto"/>
              <w:rPr>
                <w:sz w:val="20"/>
                <w:szCs w:val="20"/>
              </w:rPr>
            </w:pPr>
            <w:r w:rsidDel="00000000" w:rsidR="00000000" w:rsidRPr="00000000">
              <w:rPr>
                <w:sz w:val="20"/>
                <w:szCs w:val="20"/>
                <w:rtl w:val="0"/>
              </w:rPr>
              <w:t xml:space="preserve">Linton</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EB">
            <w:pPr>
              <w:spacing w:after="0" w:line="240" w:lineRule="auto"/>
              <w:jc w:val="right"/>
              <w:rPr>
                <w:sz w:val="20"/>
                <w:szCs w:val="20"/>
              </w:rPr>
            </w:pPr>
            <w:r w:rsidDel="00000000" w:rsidR="00000000" w:rsidRPr="00000000">
              <w:rPr>
                <w:sz w:val="20"/>
                <w:szCs w:val="20"/>
                <w:rtl w:val="0"/>
              </w:rPr>
              <w:t xml:space="preserve">1</w:t>
            </w:r>
          </w:p>
        </w:tc>
        <w:tc>
          <w:tcPr>
            <w:tcBorders>
              <w:top w:color="000000" w:space="0" w:sz="0" w:val="nil"/>
              <w:left w:color="000000" w:space="0" w:sz="0" w:val="nil"/>
              <w:bottom w:color="000000" w:space="0" w:sz="0" w:val="nil"/>
              <w:right w:color="000000" w:space="0" w:sz="0" w:val="nil"/>
            </w:tcBorders>
            <w:shd w:fill="fff2cc" w:val="clear"/>
            <w:vAlign w:val="center"/>
          </w:tcPr>
          <w:p w:rsidR="00000000" w:rsidDel="00000000" w:rsidP="00000000" w:rsidRDefault="00000000" w:rsidRPr="00000000" w14:paraId="000001EC">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0" w:val="nil"/>
              <w:right w:color="000000" w:space="0" w:sz="0" w:val="nil"/>
            </w:tcBorders>
            <w:shd w:fill="fff2cc" w:val="clear"/>
            <w:vAlign w:val="center"/>
          </w:tcPr>
          <w:p w:rsidR="00000000" w:rsidDel="00000000" w:rsidP="00000000" w:rsidRDefault="00000000" w:rsidRPr="00000000" w14:paraId="000001ED">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0" w:val="nil"/>
              <w:right w:color="000000" w:space="0" w:sz="0" w:val="nil"/>
            </w:tcBorders>
            <w:shd w:fill="d9e1f2" w:val="clear"/>
            <w:vAlign w:val="center"/>
          </w:tcPr>
          <w:p w:rsidR="00000000" w:rsidDel="00000000" w:rsidP="00000000" w:rsidRDefault="00000000" w:rsidRPr="00000000" w14:paraId="000001EE">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0" w:val="nil"/>
              <w:right w:color="000000" w:space="0" w:sz="0" w:val="nil"/>
            </w:tcBorders>
            <w:shd w:fill="d9e1f2" w:val="clear"/>
            <w:vAlign w:val="center"/>
          </w:tcPr>
          <w:p w:rsidR="00000000" w:rsidDel="00000000" w:rsidP="00000000" w:rsidRDefault="00000000" w:rsidRPr="00000000" w14:paraId="000001EF">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0" w:val="nil"/>
              <w:right w:color="000000" w:space="0" w:sz="0" w:val="nil"/>
            </w:tcBorders>
            <w:shd w:fill="d9d9d9" w:val="clear"/>
            <w:vAlign w:val="center"/>
          </w:tcPr>
          <w:p w:rsidR="00000000" w:rsidDel="00000000" w:rsidP="00000000" w:rsidRDefault="00000000" w:rsidRPr="00000000" w14:paraId="000001F0">
            <w:pPr>
              <w:spacing w:after="0" w:line="240" w:lineRule="auto"/>
              <w:jc w:val="right"/>
              <w:rPr>
                <w:sz w:val="20"/>
                <w:szCs w:val="20"/>
              </w:rPr>
            </w:pPr>
            <w:r w:rsidDel="00000000" w:rsidR="00000000" w:rsidRPr="00000000">
              <w:rPr>
                <w:sz w:val="20"/>
                <w:szCs w:val="20"/>
                <w:rtl w:val="0"/>
              </w:rPr>
              <w:t xml:space="preserve">1</w:t>
            </w:r>
          </w:p>
        </w:tc>
        <w:tc>
          <w:tcPr>
            <w:tcBorders>
              <w:top w:color="000000" w:space="0" w:sz="0" w:val="nil"/>
              <w:left w:color="000000" w:space="0" w:sz="0" w:val="nil"/>
              <w:bottom w:color="000000" w:space="0" w:sz="0" w:val="nil"/>
              <w:right w:color="000000" w:space="0" w:sz="0" w:val="nil"/>
            </w:tcBorders>
            <w:shd w:fill="d9d9d9" w:val="clear"/>
            <w:vAlign w:val="center"/>
          </w:tcPr>
          <w:p w:rsidR="00000000" w:rsidDel="00000000" w:rsidP="00000000" w:rsidRDefault="00000000" w:rsidRPr="00000000" w14:paraId="000001F1">
            <w:pPr>
              <w:spacing w:after="0" w:line="240" w:lineRule="auto"/>
              <w:jc w:val="right"/>
              <w:rPr>
                <w:sz w:val="20"/>
                <w:szCs w:val="20"/>
              </w:rPr>
            </w:pPr>
            <w:r w:rsidDel="00000000" w:rsidR="00000000" w:rsidRPr="00000000">
              <w:rPr>
                <w:sz w:val="20"/>
                <w:szCs w:val="20"/>
                <w:rtl w:val="0"/>
              </w:rPr>
              <w:t xml:space="preserve"> </w:t>
            </w:r>
          </w:p>
        </w:tc>
      </w:tr>
      <w:tr>
        <w:trPr>
          <w:cantSplit w:val="0"/>
          <w:trHeight w:val="31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F2">
            <w:pPr>
              <w:spacing w:after="0" w:line="240" w:lineRule="auto"/>
              <w:rPr>
                <w:sz w:val="20"/>
                <w:szCs w:val="20"/>
              </w:rPr>
            </w:pPr>
            <w:r w:rsidDel="00000000" w:rsidR="00000000" w:rsidRPr="00000000">
              <w:rPr>
                <w:sz w:val="20"/>
                <w:szCs w:val="20"/>
                <w:rtl w:val="0"/>
              </w:rPr>
              <w:t xml:space="preserve">Oakington</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F3">
            <w:pPr>
              <w:spacing w:after="0" w:line="240" w:lineRule="auto"/>
              <w:jc w:val="right"/>
              <w:rPr>
                <w:sz w:val="20"/>
                <w:szCs w:val="20"/>
              </w:rPr>
            </w:pPr>
            <w:r w:rsidDel="00000000" w:rsidR="00000000" w:rsidRPr="00000000">
              <w:rPr>
                <w:sz w:val="20"/>
                <w:szCs w:val="20"/>
                <w:rtl w:val="0"/>
              </w:rPr>
              <w:t xml:space="preserve">26</w:t>
            </w:r>
          </w:p>
        </w:tc>
        <w:tc>
          <w:tcPr>
            <w:tcBorders>
              <w:top w:color="000000" w:space="0" w:sz="0" w:val="nil"/>
              <w:left w:color="000000" w:space="0" w:sz="0" w:val="nil"/>
              <w:bottom w:color="000000" w:space="0" w:sz="0" w:val="nil"/>
              <w:right w:color="000000" w:space="0" w:sz="0" w:val="nil"/>
            </w:tcBorders>
            <w:shd w:fill="fff2cc" w:val="clear"/>
            <w:vAlign w:val="center"/>
          </w:tcPr>
          <w:p w:rsidR="00000000" w:rsidDel="00000000" w:rsidP="00000000" w:rsidRDefault="00000000" w:rsidRPr="00000000" w14:paraId="000001F4">
            <w:pPr>
              <w:spacing w:after="0" w:line="240" w:lineRule="auto"/>
              <w:jc w:val="right"/>
              <w:rPr>
                <w:sz w:val="20"/>
                <w:szCs w:val="20"/>
              </w:rPr>
            </w:pPr>
            <w:r w:rsidDel="00000000" w:rsidR="00000000" w:rsidRPr="00000000">
              <w:rPr>
                <w:sz w:val="20"/>
                <w:szCs w:val="20"/>
                <w:rtl w:val="0"/>
              </w:rPr>
              <w:t xml:space="preserve">13</w:t>
            </w:r>
          </w:p>
        </w:tc>
        <w:tc>
          <w:tcPr>
            <w:tcBorders>
              <w:top w:color="000000" w:space="0" w:sz="0" w:val="nil"/>
              <w:left w:color="000000" w:space="0" w:sz="0" w:val="nil"/>
              <w:bottom w:color="000000" w:space="0" w:sz="0" w:val="nil"/>
              <w:right w:color="000000" w:space="0" w:sz="0" w:val="nil"/>
            </w:tcBorders>
            <w:shd w:fill="fff2cc" w:val="clear"/>
            <w:vAlign w:val="center"/>
          </w:tcPr>
          <w:p w:rsidR="00000000" w:rsidDel="00000000" w:rsidP="00000000" w:rsidRDefault="00000000" w:rsidRPr="00000000" w14:paraId="000001F5">
            <w:pPr>
              <w:spacing w:after="0" w:line="240" w:lineRule="auto"/>
              <w:jc w:val="right"/>
              <w:rPr>
                <w:sz w:val="20"/>
                <w:szCs w:val="20"/>
              </w:rPr>
            </w:pPr>
            <w:r w:rsidDel="00000000" w:rsidR="00000000" w:rsidRPr="00000000">
              <w:rPr>
                <w:sz w:val="20"/>
                <w:szCs w:val="20"/>
                <w:rtl w:val="0"/>
              </w:rPr>
              <w:t xml:space="preserve">50</w:t>
            </w:r>
          </w:p>
        </w:tc>
        <w:tc>
          <w:tcPr>
            <w:tcBorders>
              <w:top w:color="000000" w:space="0" w:sz="0" w:val="nil"/>
              <w:left w:color="000000" w:space="0" w:sz="0" w:val="nil"/>
              <w:bottom w:color="000000" w:space="0" w:sz="0" w:val="nil"/>
              <w:right w:color="000000" w:space="0" w:sz="0" w:val="nil"/>
            </w:tcBorders>
            <w:shd w:fill="d9e1f2" w:val="clear"/>
            <w:vAlign w:val="center"/>
          </w:tcPr>
          <w:p w:rsidR="00000000" w:rsidDel="00000000" w:rsidP="00000000" w:rsidRDefault="00000000" w:rsidRPr="00000000" w14:paraId="000001F6">
            <w:pPr>
              <w:spacing w:after="0" w:line="240" w:lineRule="auto"/>
              <w:jc w:val="right"/>
              <w:rPr>
                <w:sz w:val="20"/>
                <w:szCs w:val="20"/>
              </w:rPr>
            </w:pPr>
            <w:r w:rsidDel="00000000" w:rsidR="00000000" w:rsidRPr="00000000">
              <w:rPr>
                <w:sz w:val="20"/>
                <w:szCs w:val="20"/>
                <w:rtl w:val="0"/>
              </w:rPr>
              <w:t xml:space="preserve">8</w:t>
            </w:r>
          </w:p>
        </w:tc>
        <w:tc>
          <w:tcPr>
            <w:tcBorders>
              <w:top w:color="000000" w:space="0" w:sz="0" w:val="nil"/>
              <w:left w:color="000000" w:space="0" w:sz="0" w:val="nil"/>
              <w:bottom w:color="000000" w:space="0" w:sz="0" w:val="nil"/>
              <w:right w:color="000000" w:space="0" w:sz="0" w:val="nil"/>
            </w:tcBorders>
            <w:shd w:fill="d9e1f2" w:val="clear"/>
            <w:vAlign w:val="center"/>
          </w:tcPr>
          <w:p w:rsidR="00000000" w:rsidDel="00000000" w:rsidP="00000000" w:rsidRDefault="00000000" w:rsidRPr="00000000" w14:paraId="000001F7">
            <w:pPr>
              <w:spacing w:after="0" w:line="240" w:lineRule="auto"/>
              <w:jc w:val="right"/>
              <w:rPr>
                <w:sz w:val="20"/>
                <w:szCs w:val="20"/>
              </w:rPr>
            </w:pPr>
            <w:r w:rsidDel="00000000" w:rsidR="00000000" w:rsidRPr="00000000">
              <w:rPr>
                <w:sz w:val="20"/>
                <w:szCs w:val="20"/>
                <w:rtl w:val="0"/>
              </w:rPr>
              <w:t xml:space="preserve">31</w:t>
            </w:r>
          </w:p>
        </w:tc>
        <w:tc>
          <w:tcPr>
            <w:tcBorders>
              <w:top w:color="000000" w:space="0" w:sz="0" w:val="nil"/>
              <w:left w:color="000000" w:space="0" w:sz="0" w:val="nil"/>
              <w:bottom w:color="000000" w:space="0" w:sz="0" w:val="nil"/>
              <w:right w:color="000000" w:space="0" w:sz="0" w:val="nil"/>
            </w:tcBorders>
            <w:shd w:fill="d9d9d9" w:val="clear"/>
            <w:vAlign w:val="center"/>
          </w:tcPr>
          <w:p w:rsidR="00000000" w:rsidDel="00000000" w:rsidP="00000000" w:rsidRDefault="00000000" w:rsidRPr="00000000" w14:paraId="000001F8">
            <w:pPr>
              <w:spacing w:after="0" w:line="240" w:lineRule="auto"/>
              <w:jc w:val="right"/>
              <w:rPr>
                <w:sz w:val="20"/>
                <w:szCs w:val="20"/>
              </w:rPr>
            </w:pPr>
            <w:r w:rsidDel="00000000" w:rsidR="00000000" w:rsidRPr="00000000">
              <w:rPr>
                <w:sz w:val="20"/>
                <w:szCs w:val="20"/>
                <w:rtl w:val="0"/>
              </w:rPr>
              <w:t xml:space="preserve">5</w:t>
            </w:r>
          </w:p>
        </w:tc>
        <w:tc>
          <w:tcPr>
            <w:tcBorders>
              <w:top w:color="000000" w:space="0" w:sz="0" w:val="nil"/>
              <w:left w:color="000000" w:space="0" w:sz="0" w:val="nil"/>
              <w:bottom w:color="000000" w:space="0" w:sz="0" w:val="nil"/>
              <w:right w:color="000000" w:space="0" w:sz="0" w:val="nil"/>
            </w:tcBorders>
            <w:shd w:fill="d9d9d9" w:val="clear"/>
            <w:vAlign w:val="center"/>
          </w:tcPr>
          <w:p w:rsidR="00000000" w:rsidDel="00000000" w:rsidP="00000000" w:rsidRDefault="00000000" w:rsidRPr="00000000" w14:paraId="000001F9">
            <w:pPr>
              <w:spacing w:after="0" w:line="240" w:lineRule="auto"/>
              <w:jc w:val="right"/>
              <w:rPr>
                <w:sz w:val="20"/>
                <w:szCs w:val="20"/>
              </w:rPr>
            </w:pPr>
            <w:r w:rsidDel="00000000" w:rsidR="00000000" w:rsidRPr="00000000">
              <w:rPr>
                <w:sz w:val="20"/>
                <w:szCs w:val="20"/>
                <w:rtl w:val="0"/>
              </w:rPr>
              <w:t xml:space="preserve">19</w:t>
            </w:r>
          </w:p>
        </w:tc>
      </w:tr>
      <w:tr>
        <w:trPr>
          <w:cantSplit w:val="0"/>
          <w:trHeight w:val="31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FA">
            <w:pPr>
              <w:spacing w:after="0" w:line="240" w:lineRule="auto"/>
              <w:rPr>
                <w:sz w:val="20"/>
                <w:szCs w:val="20"/>
              </w:rPr>
            </w:pPr>
            <w:r w:rsidDel="00000000" w:rsidR="00000000" w:rsidRPr="00000000">
              <w:rPr>
                <w:sz w:val="20"/>
                <w:szCs w:val="20"/>
                <w:rtl w:val="0"/>
              </w:rPr>
              <w:t xml:space="preserve">RAF Lakenheath</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FB">
            <w:pPr>
              <w:spacing w:after="0" w:line="240" w:lineRule="auto"/>
              <w:jc w:val="right"/>
              <w:rPr>
                <w:sz w:val="20"/>
                <w:szCs w:val="20"/>
              </w:rPr>
            </w:pPr>
            <w:r w:rsidDel="00000000" w:rsidR="00000000" w:rsidRPr="00000000">
              <w:rPr>
                <w:sz w:val="20"/>
                <w:szCs w:val="20"/>
                <w:rtl w:val="0"/>
              </w:rPr>
              <w:t xml:space="preserve">15</w:t>
            </w:r>
          </w:p>
        </w:tc>
        <w:tc>
          <w:tcPr>
            <w:tcBorders>
              <w:top w:color="000000" w:space="0" w:sz="0" w:val="nil"/>
              <w:left w:color="000000" w:space="0" w:sz="0" w:val="nil"/>
              <w:bottom w:color="000000" w:space="0" w:sz="0" w:val="nil"/>
              <w:right w:color="000000" w:space="0" w:sz="0" w:val="nil"/>
            </w:tcBorders>
            <w:shd w:fill="fff2cc" w:val="clear"/>
            <w:vAlign w:val="center"/>
          </w:tcPr>
          <w:p w:rsidR="00000000" w:rsidDel="00000000" w:rsidP="00000000" w:rsidRDefault="00000000" w:rsidRPr="00000000" w14:paraId="000001FC">
            <w:pPr>
              <w:spacing w:after="0" w:line="240" w:lineRule="auto"/>
              <w:jc w:val="right"/>
              <w:rPr>
                <w:sz w:val="20"/>
                <w:szCs w:val="20"/>
              </w:rPr>
            </w:pPr>
            <w:r w:rsidDel="00000000" w:rsidR="00000000" w:rsidRPr="00000000">
              <w:rPr>
                <w:sz w:val="20"/>
                <w:szCs w:val="20"/>
                <w:rtl w:val="0"/>
              </w:rPr>
              <w:t xml:space="preserve">3</w:t>
            </w:r>
          </w:p>
        </w:tc>
        <w:tc>
          <w:tcPr>
            <w:tcBorders>
              <w:top w:color="000000" w:space="0" w:sz="0" w:val="nil"/>
              <w:left w:color="000000" w:space="0" w:sz="0" w:val="nil"/>
              <w:bottom w:color="000000" w:space="0" w:sz="0" w:val="nil"/>
              <w:right w:color="000000" w:space="0" w:sz="0" w:val="nil"/>
            </w:tcBorders>
            <w:shd w:fill="fff2cc" w:val="clear"/>
            <w:vAlign w:val="center"/>
          </w:tcPr>
          <w:p w:rsidR="00000000" w:rsidDel="00000000" w:rsidP="00000000" w:rsidRDefault="00000000" w:rsidRPr="00000000" w14:paraId="000001FD">
            <w:pPr>
              <w:spacing w:after="0" w:line="240" w:lineRule="auto"/>
              <w:jc w:val="right"/>
              <w:rPr>
                <w:sz w:val="20"/>
                <w:szCs w:val="20"/>
              </w:rPr>
            </w:pPr>
            <w:r w:rsidDel="00000000" w:rsidR="00000000" w:rsidRPr="00000000">
              <w:rPr>
                <w:sz w:val="20"/>
                <w:szCs w:val="20"/>
                <w:rtl w:val="0"/>
              </w:rPr>
              <w:t xml:space="preserve">20</w:t>
            </w:r>
          </w:p>
        </w:tc>
        <w:tc>
          <w:tcPr>
            <w:tcBorders>
              <w:top w:color="000000" w:space="0" w:sz="0" w:val="nil"/>
              <w:left w:color="000000" w:space="0" w:sz="0" w:val="nil"/>
              <w:bottom w:color="000000" w:space="0" w:sz="0" w:val="nil"/>
              <w:right w:color="000000" w:space="0" w:sz="0" w:val="nil"/>
            </w:tcBorders>
            <w:shd w:fill="d9e1f2" w:val="clear"/>
            <w:vAlign w:val="center"/>
          </w:tcPr>
          <w:p w:rsidR="00000000" w:rsidDel="00000000" w:rsidP="00000000" w:rsidRDefault="00000000" w:rsidRPr="00000000" w14:paraId="000001FE">
            <w:pPr>
              <w:spacing w:after="0" w:line="240" w:lineRule="auto"/>
              <w:jc w:val="right"/>
              <w:rPr>
                <w:sz w:val="20"/>
                <w:szCs w:val="20"/>
              </w:rPr>
            </w:pPr>
            <w:r w:rsidDel="00000000" w:rsidR="00000000" w:rsidRPr="00000000">
              <w:rPr>
                <w:sz w:val="20"/>
                <w:szCs w:val="20"/>
                <w:rtl w:val="0"/>
              </w:rPr>
              <w:t xml:space="preserve">2</w:t>
            </w:r>
          </w:p>
        </w:tc>
        <w:tc>
          <w:tcPr>
            <w:tcBorders>
              <w:top w:color="000000" w:space="0" w:sz="0" w:val="nil"/>
              <w:left w:color="000000" w:space="0" w:sz="0" w:val="nil"/>
              <w:bottom w:color="000000" w:space="0" w:sz="0" w:val="nil"/>
              <w:right w:color="000000" w:space="0" w:sz="0" w:val="nil"/>
            </w:tcBorders>
            <w:shd w:fill="d9e1f2" w:val="clear"/>
            <w:vAlign w:val="center"/>
          </w:tcPr>
          <w:p w:rsidR="00000000" w:rsidDel="00000000" w:rsidP="00000000" w:rsidRDefault="00000000" w:rsidRPr="00000000" w14:paraId="000001FF">
            <w:pPr>
              <w:spacing w:after="0" w:line="240" w:lineRule="auto"/>
              <w:jc w:val="right"/>
              <w:rPr>
                <w:sz w:val="20"/>
                <w:szCs w:val="20"/>
              </w:rPr>
            </w:pPr>
            <w:r w:rsidDel="00000000" w:rsidR="00000000" w:rsidRPr="00000000">
              <w:rPr>
                <w:sz w:val="20"/>
                <w:szCs w:val="20"/>
                <w:rtl w:val="0"/>
              </w:rPr>
              <w:t xml:space="preserve">13</w:t>
            </w:r>
          </w:p>
        </w:tc>
        <w:tc>
          <w:tcPr>
            <w:tcBorders>
              <w:top w:color="000000" w:space="0" w:sz="0" w:val="nil"/>
              <w:left w:color="000000" w:space="0" w:sz="0" w:val="nil"/>
              <w:bottom w:color="000000" w:space="0" w:sz="0" w:val="nil"/>
              <w:right w:color="000000" w:space="0" w:sz="0" w:val="nil"/>
            </w:tcBorders>
            <w:shd w:fill="d9d9d9" w:val="clear"/>
            <w:vAlign w:val="center"/>
          </w:tcPr>
          <w:p w:rsidR="00000000" w:rsidDel="00000000" w:rsidP="00000000" w:rsidRDefault="00000000" w:rsidRPr="00000000" w14:paraId="00000200">
            <w:pPr>
              <w:spacing w:after="0" w:line="240" w:lineRule="auto"/>
              <w:jc w:val="right"/>
              <w:rPr>
                <w:sz w:val="20"/>
                <w:szCs w:val="20"/>
              </w:rPr>
            </w:pPr>
            <w:r w:rsidDel="00000000" w:rsidR="00000000" w:rsidRPr="00000000">
              <w:rPr>
                <w:sz w:val="20"/>
                <w:szCs w:val="20"/>
                <w:rtl w:val="0"/>
              </w:rPr>
              <w:t xml:space="preserve">10</w:t>
            </w:r>
          </w:p>
        </w:tc>
        <w:tc>
          <w:tcPr>
            <w:tcBorders>
              <w:top w:color="000000" w:space="0" w:sz="0" w:val="nil"/>
              <w:left w:color="000000" w:space="0" w:sz="0" w:val="nil"/>
              <w:bottom w:color="000000" w:space="0" w:sz="0" w:val="nil"/>
              <w:right w:color="000000" w:space="0" w:sz="0" w:val="nil"/>
            </w:tcBorders>
            <w:shd w:fill="d9d9d9" w:val="clear"/>
            <w:vAlign w:val="center"/>
          </w:tcPr>
          <w:p w:rsidR="00000000" w:rsidDel="00000000" w:rsidP="00000000" w:rsidRDefault="00000000" w:rsidRPr="00000000" w14:paraId="00000201">
            <w:pPr>
              <w:spacing w:after="0" w:line="240" w:lineRule="auto"/>
              <w:jc w:val="right"/>
              <w:rPr>
                <w:sz w:val="20"/>
                <w:szCs w:val="20"/>
              </w:rPr>
            </w:pPr>
            <w:r w:rsidDel="00000000" w:rsidR="00000000" w:rsidRPr="00000000">
              <w:rPr>
                <w:sz w:val="20"/>
                <w:szCs w:val="20"/>
                <w:rtl w:val="0"/>
              </w:rPr>
              <w:t xml:space="preserve">67</w:t>
            </w:r>
          </w:p>
        </w:tc>
      </w:tr>
      <w:tr>
        <w:trPr>
          <w:cantSplit w:val="0"/>
          <w:trHeight w:val="31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202">
            <w:pPr>
              <w:spacing w:after="0" w:line="240" w:lineRule="auto"/>
              <w:rPr>
                <w:sz w:val="20"/>
                <w:szCs w:val="20"/>
              </w:rPr>
            </w:pPr>
            <w:r w:rsidDel="00000000" w:rsidR="00000000" w:rsidRPr="00000000">
              <w:rPr>
                <w:sz w:val="20"/>
                <w:szCs w:val="20"/>
                <w:rtl w:val="0"/>
              </w:rPr>
              <w:t xml:space="preserve">Sedgeford</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203">
            <w:pPr>
              <w:spacing w:after="0" w:line="240" w:lineRule="auto"/>
              <w:jc w:val="right"/>
              <w:rPr>
                <w:sz w:val="20"/>
                <w:szCs w:val="20"/>
              </w:rPr>
            </w:pPr>
            <w:r w:rsidDel="00000000" w:rsidR="00000000" w:rsidRPr="00000000">
              <w:rPr>
                <w:sz w:val="20"/>
                <w:szCs w:val="20"/>
                <w:rtl w:val="0"/>
              </w:rPr>
              <w:t xml:space="preserve">17</w:t>
            </w:r>
          </w:p>
        </w:tc>
        <w:tc>
          <w:tcPr>
            <w:tcBorders>
              <w:top w:color="000000" w:space="0" w:sz="0" w:val="nil"/>
              <w:left w:color="000000" w:space="0" w:sz="0" w:val="nil"/>
              <w:bottom w:color="000000" w:space="0" w:sz="0" w:val="nil"/>
              <w:right w:color="000000" w:space="0" w:sz="0" w:val="nil"/>
            </w:tcBorders>
            <w:shd w:fill="fff2cc" w:val="clear"/>
            <w:vAlign w:val="center"/>
          </w:tcPr>
          <w:p w:rsidR="00000000" w:rsidDel="00000000" w:rsidP="00000000" w:rsidRDefault="00000000" w:rsidRPr="00000000" w14:paraId="00000204">
            <w:pPr>
              <w:spacing w:after="0" w:line="240" w:lineRule="auto"/>
              <w:jc w:val="right"/>
              <w:rPr>
                <w:sz w:val="20"/>
                <w:szCs w:val="20"/>
              </w:rPr>
            </w:pPr>
            <w:r w:rsidDel="00000000" w:rsidR="00000000" w:rsidRPr="00000000">
              <w:rPr>
                <w:sz w:val="20"/>
                <w:szCs w:val="20"/>
                <w:rtl w:val="0"/>
              </w:rPr>
              <w:t xml:space="preserve">7</w:t>
            </w:r>
          </w:p>
        </w:tc>
        <w:tc>
          <w:tcPr>
            <w:tcBorders>
              <w:top w:color="000000" w:space="0" w:sz="0" w:val="nil"/>
              <w:left w:color="000000" w:space="0" w:sz="0" w:val="nil"/>
              <w:bottom w:color="000000" w:space="0" w:sz="0" w:val="nil"/>
              <w:right w:color="000000" w:space="0" w:sz="0" w:val="nil"/>
            </w:tcBorders>
            <w:shd w:fill="fff2cc" w:val="clear"/>
            <w:vAlign w:val="center"/>
          </w:tcPr>
          <w:p w:rsidR="00000000" w:rsidDel="00000000" w:rsidP="00000000" w:rsidRDefault="00000000" w:rsidRPr="00000000" w14:paraId="00000205">
            <w:pPr>
              <w:spacing w:after="0" w:line="240" w:lineRule="auto"/>
              <w:jc w:val="right"/>
              <w:rPr>
                <w:sz w:val="20"/>
                <w:szCs w:val="20"/>
              </w:rPr>
            </w:pPr>
            <w:r w:rsidDel="00000000" w:rsidR="00000000" w:rsidRPr="00000000">
              <w:rPr>
                <w:sz w:val="20"/>
                <w:szCs w:val="20"/>
                <w:rtl w:val="0"/>
              </w:rPr>
              <w:t xml:space="preserve">41</w:t>
            </w:r>
          </w:p>
        </w:tc>
        <w:tc>
          <w:tcPr>
            <w:tcBorders>
              <w:top w:color="000000" w:space="0" w:sz="0" w:val="nil"/>
              <w:left w:color="000000" w:space="0" w:sz="0" w:val="nil"/>
              <w:bottom w:color="000000" w:space="0" w:sz="0" w:val="nil"/>
              <w:right w:color="000000" w:space="0" w:sz="0" w:val="nil"/>
            </w:tcBorders>
            <w:shd w:fill="d9e1f2" w:val="clear"/>
            <w:vAlign w:val="center"/>
          </w:tcPr>
          <w:p w:rsidR="00000000" w:rsidDel="00000000" w:rsidP="00000000" w:rsidRDefault="00000000" w:rsidRPr="00000000" w14:paraId="00000206">
            <w:pPr>
              <w:spacing w:after="0" w:line="240" w:lineRule="auto"/>
              <w:jc w:val="right"/>
              <w:rPr>
                <w:sz w:val="20"/>
                <w:szCs w:val="20"/>
              </w:rPr>
            </w:pPr>
            <w:r w:rsidDel="00000000" w:rsidR="00000000" w:rsidRPr="00000000">
              <w:rPr>
                <w:sz w:val="20"/>
                <w:szCs w:val="20"/>
                <w:rtl w:val="0"/>
              </w:rPr>
              <w:t xml:space="preserve">5</w:t>
            </w:r>
          </w:p>
        </w:tc>
        <w:tc>
          <w:tcPr>
            <w:tcBorders>
              <w:top w:color="000000" w:space="0" w:sz="0" w:val="nil"/>
              <w:left w:color="000000" w:space="0" w:sz="0" w:val="nil"/>
              <w:bottom w:color="000000" w:space="0" w:sz="0" w:val="nil"/>
              <w:right w:color="000000" w:space="0" w:sz="0" w:val="nil"/>
            </w:tcBorders>
            <w:shd w:fill="d9e1f2" w:val="clear"/>
            <w:vAlign w:val="center"/>
          </w:tcPr>
          <w:p w:rsidR="00000000" w:rsidDel="00000000" w:rsidP="00000000" w:rsidRDefault="00000000" w:rsidRPr="00000000" w14:paraId="00000207">
            <w:pPr>
              <w:spacing w:after="0" w:line="240" w:lineRule="auto"/>
              <w:jc w:val="right"/>
              <w:rPr>
                <w:sz w:val="20"/>
                <w:szCs w:val="20"/>
              </w:rPr>
            </w:pPr>
            <w:r w:rsidDel="00000000" w:rsidR="00000000" w:rsidRPr="00000000">
              <w:rPr>
                <w:sz w:val="20"/>
                <w:szCs w:val="20"/>
                <w:rtl w:val="0"/>
              </w:rPr>
              <w:t xml:space="preserve">29</w:t>
            </w:r>
          </w:p>
        </w:tc>
        <w:tc>
          <w:tcPr>
            <w:tcBorders>
              <w:top w:color="000000" w:space="0" w:sz="0" w:val="nil"/>
              <w:left w:color="000000" w:space="0" w:sz="0" w:val="nil"/>
              <w:bottom w:color="000000" w:space="0" w:sz="0" w:val="nil"/>
              <w:right w:color="000000" w:space="0" w:sz="0" w:val="nil"/>
            </w:tcBorders>
            <w:shd w:fill="d9d9d9" w:val="clear"/>
            <w:vAlign w:val="center"/>
          </w:tcPr>
          <w:p w:rsidR="00000000" w:rsidDel="00000000" w:rsidP="00000000" w:rsidRDefault="00000000" w:rsidRPr="00000000" w14:paraId="00000208">
            <w:pPr>
              <w:spacing w:after="0" w:line="240" w:lineRule="auto"/>
              <w:jc w:val="right"/>
              <w:rPr>
                <w:sz w:val="20"/>
                <w:szCs w:val="20"/>
              </w:rPr>
            </w:pPr>
            <w:r w:rsidDel="00000000" w:rsidR="00000000" w:rsidRPr="00000000">
              <w:rPr>
                <w:sz w:val="20"/>
                <w:szCs w:val="20"/>
                <w:rtl w:val="0"/>
              </w:rPr>
              <w:t xml:space="preserve">5</w:t>
            </w:r>
          </w:p>
        </w:tc>
        <w:tc>
          <w:tcPr>
            <w:tcBorders>
              <w:top w:color="000000" w:space="0" w:sz="0" w:val="nil"/>
              <w:left w:color="000000" w:space="0" w:sz="0" w:val="nil"/>
              <w:bottom w:color="000000" w:space="0" w:sz="0" w:val="nil"/>
              <w:right w:color="000000" w:space="0" w:sz="0" w:val="nil"/>
            </w:tcBorders>
            <w:shd w:fill="d9d9d9" w:val="clear"/>
            <w:vAlign w:val="center"/>
          </w:tcPr>
          <w:p w:rsidR="00000000" w:rsidDel="00000000" w:rsidP="00000000" w:rsidRDefault="00000000" w:rsidRPr="00000000" w14:paraId="00000209">
            <w:pPr>
              <w:spacing w:after="0" w:line="240" w:lineRule="auto"/>
              <w:jc w:val="right"/>
              <w:rPr>
                <w:sz w:val="20"/>
                <w:szCs w:val="20"/>
              </w:rPr>
            </w:pPr>
            <w:r w:rsidDel="00000000" w:rsidR="00000000" w:rsidRPr="00000000">
              <w:rPr>
                <w:sz w:val="20"/>
                <w:szCs w:val="20"/>
                <w:rtl w:val="0"/>
              </w:rPr>
              <w:t xml:space="preserve">29</w:t>
            </w:r>
          </w:p>
        </w:tc>
      </w:tr>
      <w:tr>
        <w:trPr>
          <w:cantSplit w:val="0"/>
          <w:trHeight w:val="315" w:hRule="atLeast"/>
          <w:tblHeader w:val="0"/>
        </w:trPr>
        <w:tc>
          <w:tcPr>
            <w:tcBorders>
              <w:top w:color="000000" w:space="0" w:sz="4" w:val="single"/>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20A">
            <w:pPr>
              <w:spacing w:after="0" w:line="240" w:lineRule="auto"/>
              <w:rPr>
                <w:b w:val="1"/>
                <w:sz w:val="20"/>
                <w:szCs w:val="20"/>
              </w:rPr>
            </w:pPr>
            <w:r w:rsidDel="00000000" w:rsidR="00000000" w:rsidRPr="00000000">
              <w:rPr>
                <w:b w:val="1"/>
                <w:sz w:val="20"/>
                <w:szCs w:val="20"/>
                <w:rtl w:val="0"/>
              </w:rPr>
              <w:t xml:space="preserve">England Southeast</w:t>
            </w:r>
          </w:p>
        </w:tc>
        <w:tc>
          <w:tcPr>
            <w:tcBorders>
              <w:top w:color="000000" w:space="0" w:sz="4" w:val="single"/>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20B">
            <w:pPr>
              <w:spacing w:after="0" w:line="240" w:lineRule="auto"/>
              <w:jc w:val="right"/>
              <w:rPr>
                <w:b w:val="1"/>
                <w:sz w:val="20"/>
                <w:szCs w:val="20"/>
              </w:rPr>
            </w:pPr>
            <w:r w:rsidDel="00000000" w:rsidR="00000000" w:rsidRPr="00000000">
              <w:rPr>
                <w:b w:val="1"/>
                <w:sz w:val="20"/>
                <w:szCs w:val="20"/>
                <w:rtl w:val="0"/>
              </w:rPr>
              <w:t xml:space="preserve">92</w:t>
            </w:r>
          </w:p>
        </w:tc>
        <w:tc>
          <w:tcPr>
            <w:tcBorders>
              <w:top w:color="000000" w:space="0" w:sz="4" w:val="single"/>
              <w:left w:color="000000" w:space="0" w:sz="0" w:val="nil"/>
              <w:bottom w:color="000000" w:space="0" w:sz="4" w:val="single"/>
              <w:right w:color="000000" w:space="0" w:sz="0" w:val="nil"/>
            </w:tcBorders>
            <w:shd w:fill="fff2cc" w:val="clear"/>
            <w:vAlign w:val="center"/>
          </w:tcPr>
          <w:p w:rsidR="00000000" w:rsidDel="00000000" w:rsidP="00000000" w:rsidRDefault="00000000" w:rsidRPr="00000000" w14:paraId="0000020C">
            <w:pPr>
              <w:spacing w:after="0" w:line="240" w:lineRule="auto"/>
              <w:jc w:val="right"/>
              <w:rPr>
                <w:b w:val="1"/>
                <w:sz w:val="20"/>
                <w:szCs w:val="20"/>
              </w:rPr>
            </w:pPr>
            <w:r w:rsidDel="00000000" w:rsidR="00000000" w:rsidRPr="00000000">
              <w:rPr>
                <w:b w:val="1"/>
                <w:sz w:val="20"/>
                <w:szCs w:val="20"/>
                <w:rtl w:val="0"/>
              </w:rPr>
              <w:t xml:space="preserve">32</w:t>
            </w:r>
          </w:p>
        </w:tc>
        <w:tc>
          <w:tcPr>
            <w:tcBorders>
              <w:top w:color="000000" w:space="0" w:sz="4" w:val="single"/>
              <w:left w:color="000000" w:space="0" w:sz="0" w:val="nil"/>
              <w:bottom w:color="000000" w:space="0" w:sz="4" w:val="single"/>
              <w:right w:color="000000" w:space="0" w:sz="0" w:val="nil"/>
            </w:tcBorders>
            <w:shd w:fill="fff2cc" w:val="clear"/>
            <w:vAlign w:val="center"/>
          </w:tcPr>
          <w:p w:rsidR="00000000" w:rsidDel="00000000" w:rsidP="00000000" w:rsidRDefault="00000000" w:rsidRPr="00000000" w14:paraId="0000020D">
            <w:pPr>
              <w:spacing w:after="0" w:line="240" w:lineRule="auto"/>
              <w:jc w:val="right"/>
              <w:rPr>
                <w:b w:val="1"/>
                <w:sz w:val="20"/>
                <w:szCs w:val="20"/>
              </w:rPr>
            </w:pPr>
            <w:r w:rsidDel="00000000" w:rsidR="00000000" w:rsidRPr="00000000">
              <w:rPr>
                <w:b w:val="1"/>
                <w:sz w:val="20"/>
                <w:szCs w:val="20"/>
                <w:rtl w:val="0"/>
              </w:rPr>
              <w:t xml:space="preserve">35</w:t>
            </w:r>
          </w:p>
        </w:tc>
        <w:tc>
          <w:tcPr>
            <w:tcBorders>
              <w:top w:color="000000" w:space="0" w:sz="4" w:val="single"/>
              <w:left w:color="000000" w:space="0" w:sz="0" w:val="nil"/>
              <w:bottom w:color="000000" w:space="0" w:sz="4" w:val="single"/>
              <w:right w:color="000000" w:space="0" w:sz="0" w:val="nil"/>
            </w:tcBorders>
            <w:shd w:fill="d9e1f2" w:val="clear"/>
            <w:vAlign w:val="center"/>
          </w:tcPr>
          <w:p w:rsidR="00000000" w:rsidDel="00000000" w:rsidP="00000000" w:rsidRDefault="00000000" w:rsidRPr="00000000" w14:paraId="0000020E">
            <w:pPr>
              <w:spacing w:after="0" w:line="240" w:lineRule="auto"/>
              <w:jc w:val="right"/>
              <w:rPr>
                <w:b w:val="1"/>
                <w:sz w:val="20"/>
                <w:szCs w:val="20"/>
              </w:rPr>
            </w:pPr>
            <w:r w:rsidDel="00000000" w:rsidR="00000000" w:rsidRPr="00000000">
              <w:rPr>
                <w:b w:val="1"/>
                <w:sz w:val="20"/>
                <w:szCs w:val="20"/>
                <w:rtl w:val="0"/>
              </w:rPr>
              <w:t xml:space="preserve">30</w:t>
            </w:r>
          </w:p>
        </w:tc>
        <w:tc>
          <w:tcPr>
            <w:tcBorders>
              <w:top w:color="000000" w:space="0" w:sz="4" w:val="single"/>
              <w:left w:color="000000" w:space="0" w:sz="0" w:val="nil"/>
              <w:bottom w:color="000000" w:space="0" w:sz="4" w:val="single"/>
              <w:right w:color="000000" w:space="0" w:sz="0" w:val="nil"/>
            </w:tcBorders>
            <w:shd w:fill="d9e1f2" w:val="clear"/>
            <w:vAlign w:val="center"/>
          </w:tcPr>
          <w:p w:rsidR="00000000" w:rsidDel="00000000" w:rsidP="00000000" w:rsidRDefault="00000000" w:rsidRPr="00000000" w14:paraId="0000020F">
            <w:pPr>
              <w:spacing w:after="0" w:line="240" w:lineRule="auto"/>
              <w:jc w:val="right"/>
              <w:rPr>
                <w:b w:val="1"/>
                <w:sz w:val="20"/>
                <w:szCs w:val="20"/>
              </w:rPr>
            </w:pPr>
            <w:r w:rsidDel="00000000" w:rsidR="00000000" w:rsidRPr="00000000">
              <w:rPr>
                <w:b w:val="1"/>
                <w:sz w:val="20"/>
                <w:szCs w:val="20"/>
                <w:rtl w:val="0"/>
              </w:rPr>
              <w:t xml:space="preserve">33</w:t>
            </w:r>
          </w:p>
        </w:tc>
        <w:tc>
          <w:tcPr>
            <w:tcBorders>
              <w:top w:color="000000" w:space="0" w:sz="4" w:val="single"/>
              <w:left w:color="000000" w:space="0" w:sz="0" w:val="nil"/>
              <w:bottom w:color="000000" w:space="0" w:sz="4" w:val="single"/>
              <w:right w:color="000000" w:space="0" w:sz="0" w:val="nil"/>
            </w:tcBorders>
            <w:shd w:fill="d9d9d9" w:val="clear"/>
            <w:vAlign w:val="center"/>
          </w:tcPr>
          <w:p w:rsidR="00000000" w:rsidDel="00000000" w:rsidP="00000000" w:rsidRDefault="00000000" w:rsidRPr="00000000" w14:paraId="00000210">
            <w:pPr>
              <w:spacing w:after="0" w:line="240" w:lineRule="auto"/>
              <w:jc w:val="right"/>
              <w:rPr>
                <w:b w:val="1"/>
                <w:sz w:val="20"/>
                <w:szCs w:val="20"/>
              </w:rPr>
            </w:pPr>
            <w:r w:rsidDel="00000000" w:rsidR="00000000" w:rsidRPr="00000000">
              <w:rPr>
                <w:b w:val="1"/>
                <w:sz w:val="20"/>
                <w:szCs w:val="20"/>
                <w:rtl w:val="0"/>
              </w:rPr>
              <w:t xml:space="preserve">30</w:t>
            </w:r>
          </w:p>
        </w:tc>
        <w:tc>
          <w:tcPr>
            <w:tcBorders>
              <w:top w:color="000000" w:space="0" w:sz="4" w:val="single"/>
              <w:left w:color="000000" w:space="0" w:sz="0" w:val="nil"/>
              <w:bottom w:color="000000" w:space="0" w:sz="4" w:val="single"/>
              <w:right w:color="000000" w:space="0" w:sz="0" w:val="nil"/>
            </w:tcBorders>
            <w:shd w:fill="d9d9d9" w:val="clear"/>
            <w:vAlign w:val="center"/>
          </w:tcPr>
          <w:p w:rsidR="00000000" w:rsidDel="00000000" w:rsidP="00000000" w:rsidRDefault="00000000" w:rsidRPr="00000000" w14:paraId="00000211">
            <w:pPr>
              <w:spacing w:after="0" w:line="240" w:lineRule="auto"/>
              <w:jc w:val="right"/>
              <w:rPr>
                <w:b w:val="1"/>
                <w:sz w:val="20"/>
                <w:szCs w:val="20"/>
              </w:rPr>
            </w:pPr>
            <w:r w:rsidDel="00000000" w:rsidR="00000000" w:rsidRPr="00000000">
              <w:rPr>
                <w:b w:val="1"/>
                <w:sz w:val="20"/>
                <w:szCs w:val="20"/>
                <w:rtl w:val="0"/>
              </w:rPr>
              <w:t xml:space="preserve">33</w:t>
            </w:r>
          </w:p>
        </w:tc>
      </w:tr>
      <w:tr>
        <w:trPr>
          <w:cantSplit w:val="0"/>
          <w:trHeight w:val="31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212">
            <w:pPr>
              <w:spacing w:after="0" w:line="240" w:lineRule="auto"/>
              <w:rPr>
                <w:sz w:val="20"/>
                <w:szCs w:val="20"/>
              </w:rPr>
            </w:pPr>
            <w:r w:rsidDel="00000000" w:rsidR="00000000" w:rsidRPr="00000000">
              <w:rPr>
                <w:sz w:val="20"/>
                <w:szCs w:val="20"/>
                <w:rtl w:val="0"/>
              </w:rPr>
              <w:t xml:space="preserve">Apple Down, West Chichester</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213">
            <w:pPr>
              <w:spacing w:after="0" w:line="240" w:lineRule="auto"/>
              <w:jc w:val="right"/>
              <w:rPr>
                <w:sz w:val="20"/>
                <w:szCs w:val="20"/>
              </w:rPr>
            </w:pPr>
            <w:r w:rsidDel="00000000" w:rsidR="00000000" w:rsidRPr="00000000">
              <w:rPr>
                <w:sz w:val="20"/>
                <w:szCs w:val="20"/>
                <w:rtl w:val="0"/>
              </w:rPr>
              <w:t xml:space="preserve">9</w:t>
            </w:r>
          </w:p>
        </w:tc>
        <w:tc>
          <w:tcPr>
            <w:tcBorders>
              <w:top w:color="000000" w:space="0" w:sz="0" w:val="nil"/>
              <w:left w:color="000000" w:space="0" w:sz="0" w:val="nil"/>
              <w:bottom w:color="000000" w:space="0" w:sz="0" w:val="nil"/>
              <w:right w:color="000000" w:space="0" w:sz="0" w:val="nil"/>
            </w:tcBorders>
            <w:shd w:fill="fff2cc" w:val="clear"/>
            <w:vAlign w:val="center"/>
          </w:tcPr>
          <w:p w:rsidR="00000000" w:rsidDel="00000000" w:rsidP="00000000" w:rsidRDefault="00000000" w:rsidRPr="00000000" w14:paraId="00000214">
            <w:pPr>
              <w:spacing w:after="0" w:line="240" w:lineRule="auto"/>
              <w:jc w:val="right"/>
              <w:rPr>
                <w:sz w:val="20"/>
                <w:szCs w:val="20"/>
              </w:rPr>
            </w:pPr>
            <w:r w:rsidDel="00000000" w:rsidR="00000000" w:rsidRPr="00000000">
              <w:rPr>
                <w:sz w:val="20"/>
                <w:szCs w:val="20"/>
                <w:rtl w:val="0"/>
              </w:rPr>
              <w:t xml:space="preserve">4</w:t>
            </w:r>
          </w:p>
        </w:tc>
        <w:tc>
          <w:tcPr>
            <w:tcBorders>
              <w:top w:color="000000" w:space="0" w:sz="0" w:val="nil"/>
              <w:left w:color="000000" w:space="0" w:sz="0" w:val="nil"/>
              <w:bottom w:color="000000" w:space="0" w:sz="0" w:val="nil"/>
              <w:right w:color="000000" w:space="0" w:sz="0" w:val="nil"/>
            </w:tcBorders>
            <w:shd w:fill="fff2cc" w:val="clear"/>
            <w:vAlign w:val="center"/>
          </w:tcPr>
          <w:p w:rsidR="00000000" w:rsidDel="00000000" w:rsidP="00000000" w:rsidRDefault="00000000" w:rsidRPr="00000000" w14:paraId="00000215">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0" w:val="nil"/>
              <w:right w:color="000000" w:space="0" w:sz="0" w:val="nil"/>
            </w:tcBorders>
            <w:shd w:fill="d9e1f2" w:val="clear"/>
            <w:vAlign w:val="center"/>
          </w:tcPr>
          <w:p w:rsidR="00000000" w:rsidDel="00000000" w:rsidP="00000000" w:rsidRDefault="00000000" w:rsidRPr="00000000" w14:paraId="00000216">
            <w:pPr>
              <w:spacing w:after="0" w:line="240" w:lineRule="auto"/>
              <w:jc w:val="right"/>
              <w:rPr>
                <w:sz w:val="20"/>
                <w:szCs w:val="20"/>
              </w:rPr>
            </w:pPr>
            <w:r w:rsidDel="00000000" w:rsidR="00000000" w:rsidRPr="00000000">
              <w:rPr>
                <w:sz w:val="20"/>
                <w:szCs w:val="20"/>
                <w:rtl w:val="0"/>
              </w:rPr>
              <w:t xml:space="preserve">3</w:t>
            </w:r>
          </w:p>
        </w:tc>
        <w:tc>
          <w:tcPr>
            <w:tcBorders>
              <w:top w:color="000000" w:space="0" w:sz="0" w:val="nil"/>
              <w:left w:color="000000" w:space="0" w:sz="0" w:val="nil"/>
              <w:bottom w:color="000000" w:space="0" w:sz="0" w:val="nil"/>
              <w:right w:color="000000" w:space="0" w:sz="0" w:val="nil"/>
            </w:tcBorders>
            <w:shd w:fill="d9e1f2" w:val="clear"/>
            <w:vAlign w:val="center"/>
          </w:tcPr>
          <w:p w:rsidR="00000000" w:rsidDel="00000000" w:rsidP="00000000" w:rsidRDefault="00000000" w:rsidRPr="00000000" w14:paraId="00000217">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0" w:val="nil"/>
              <w:right w:color="000000" w:space="0" w:sz="0" w:val="nil"/>
            </w:tcBorders>
            <w:shd w:fill="d9d9d9" w:val="clear"/>
            <w:vAlign w:val="center"/>
          </w:tcPr>
          <w:p w:rsidR="00000000" w:rsidDel="00000000" w:rsidP="00000000" w:rsidRDefault="00000000" w:rsidRPr="00000000" w14:paraId="00000218">
            <w:pPr>
              <w:spacing w:after="0" w:line="240" w:lineRule="auto"/>
              <w:jc w:val="right"/>
              <w:rPr>
                <w:sz w:val="20"/>
                <w:szCs w:val="20"/>
              </w:rPr>
            </w:pPr>
            <w:r w:rsidDel="00000000" w:rsidR="00000000" w:rsidRPr="00000000">
              <w:rPr>
                <w:sz w:val="20"/>
                <w:szCs w:val="20"/>
                <w:rtl w:val="0"/>
              </w:rPr>
              <w:t xml:space="preserve">2</w:t>
            </w:r>
          </w:p>
        </w:tc>
        <w:tc>
          <w:tcPr>
            <w:tcBorders>
              <w:top w:color="000000" w:space="0" w:sz="0" w:val="nil"/>
              <w:left w:color="000000" w:space="0" w:sz="0" w:val="nil"/>
              <w:bottom w:color="000000" w:space="0" w:sz="0" w:val="nil"/>
              <w:right w:color="000000" w:space="0" w:sz="0" w:val="nil"/>
            </w:tcBorders>
            <w:shd w:fill="d9d9d9" w:val="clear"/>
            <w:vAlign w:val="center"/>
          </w:tcPr>
          <w:p w:rsidR="00000000" w:rsidDel="00000000" w:rsidP="00000000" w:rsidRDefault="00000000" w:rsidRPr="00000000" w14:paraId="00000219">
            <w:pPr>
              <w:spacing w:after="0" w:line="240" w:lineRule="auto"/>
              <w:jc w:val="right"/>
              <w:rPr>
                <w:sz w:val="20"/>
                <w:szCs w:val="20"/>
              </w:rPr>
            </w:pPr>
            <w:r w:rsidDel="00000000" w:rsidR="00000000" w:rsidRPr="00000000">
              <w:rPr>
                <w:sz w:val="20"/>
                <w:szCs w:val="20"/>
                <w:rtl w:val="0"/>
              </w:rPr>
              <w:t xml:space="preserve"> </w:t>
            </w:r>
          </w:p>
        </w:tc>
      </w:tr>
      <w:tr>
        <w:trPr>
          <w:cantSplit w:val="0"/>
          <w:trHeight w:val="31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21A">
            <w:pPr>
              <w:spacing w:after="0" w:line="240" w:lineRule="auto"/>
              <w:rPr>
                <w:sz w:val="20"/>
                <w:szCs w:val="20"/>
              </w:rPr>
            </w:pPr>
            <w:r w:rsidDel="00000000" w:rsidR="00000000" w:rsidRPr="00000000">
              <w:rPr>
                <w:sz w:val="20"/>
                <w:szCs w:val="20"/>
                <w:rtl w:val="0"/>
              </w:rPr>
              <w:t xml:space="preserve">Dover Buckland</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21B">
            <w:pPr>
              <w:spacing w:after="0" w:line="240" w:lineRule="auto"/>
              <w:jc w:val="right"/>
              <w:rPr>
                <w:sz w:val="20"/>
                <w:szCs w:val="20"/>
              </w:rPr>
            </w:pPr>
            <w:r w:rsidDel="00000000" w:rsidR="00000000" w:rsidRPr="00000000">
              <w:rPr>
                <w:sz w:val="20"/>
                <w:szCs w:val="20"/>
                <w:rtl w:val="0"/>
              </w:rPr>
              <w:t xml:space="preserve">56</w:t>
            </w:r>
          </w:p>
        </w:tc>
        <w:tc>
          <w:tcPr>
            <w:tcBorders>
              <w:top w:color="000000" w:space="0" w:sz="0" w:val="nil"/>
              <w:left w:color="000000" w:space="0" w:sz="0" w:val="nil"/>
              <w:bottom w:color="000000" w:space="0" w:sz="0" w:val="nil"/>
              <w:right w:color="000000" w:space="0" w:sz="0" w:val="nil"/>
            </w:tcBorders>
            <w:shd w:fill="fff2cc" w:val="clear"/>
            <w:vAlign w:val="center"/>
          </w:tcPr>
          <w:p w:rsidR="00000000" w:rsidDel="00000000" w:rsidP="00000000" w:rsidRDefault="00000000" w:rsidRPr="00000000" w14:paraId="0000021C">
            <w:pPr>
              <w:spacing w:after="0" w:line="240" w:lineRule="auto"/>
              <w:jc w:val="right"/>
              <w:rPr>
                <w:sz w:val="20"/>
                <w:szCs w:val="20"/>
              </w:rPr>
            </w:pPr>
            <w:r w:rsidDel="00000000" w:rsidR="00000000" w:rsidRPr="00000000">
              <w:rPr>
                <w:sz w:val="20"/>
                <w:szCs w:val="20"/>
                <w:rtl w:val="0"/>
              </w:rPr>
              <w:t xml:space="preserve">19</w:t>
            </w:r>
          </w:p>
        </w:tc>
        <w:tc>
          <w:tcPr>
            <w:tcBorders>
              <w:top w:color="000000" w:space="0" w:sz="0" w:val="nil"/>
              <w:left w:color="000000" w:space="0" w:sz="0" w:val="nil"/>
              <w:bottom w:color="000000" w:space="0" w:sz="0" w:val="nil"/>
              <w:right w:color="000000" w:space="0" w:sz="0" w:val="nil"/>
            </w:tcBorders>
            <w:shd w:fill="fff2cc" w:val="clear"/>
            <w:vAlign w:val="center"/>
          </w:tcPr>
          <w:p w:rsidR="00000000" w:rsidDel="00000000" w:rsidP="00000000" w:rsidRDefault="00000000" w:rsidRPr="00000000" w14:paraId="0000021D">
            <w:pPr>
              <w:spacing w:after="0" w:line="240" w:lineRule="auto"/>
              <w:jc w:val="right"/>
              <w:rPr>
                <w:sz w:val="20"/>
                <w:szCs w:val="20"/>
              </w:rPr>
            </w:pPr>
            <w:r w:rsidDel="00000000" w:rsidR="00000000" w:rsidRPr="00000000">
              <w:rPr>
                <w:sz w:val="20"/>
                <w:szCs w:val="20"/>
                <w:rtl w:val="0"/>
              </w:rPr>
              <w:t xml:space="preserve">34</w:t>
            </w:r>
          </w:p>
        </w:tc>
        <w:tc>
          <w:tcPr>
            <w:tcBorders>
              <w:top w:color="000000" w:space="0" w:sz="0" w:val="nil"/>
              <w:left w:color="000000" w:space="0" w:sz="0" w:val="nil"/>
              <w:bottom w:color="000000" w:space="0" w:sz="0" w:val="nil"/>
              <w:right w:color="000000" w:space="0" w:sz="0" w:val="nil"/>
            </w:tcBorders>
            <w:shd w:fill="d9e1f2" w:val="clear"/>
            <w:vAlign w:val="center"/>
          </w:tcPr>
          <w:p w:rsidR="00000000" w:rsidDel="00000000" w:rsidP="00000000" w:rsidRDefault="00000000" w:rsidRPr="00000000" w14:paraId="0000021E">
            <w:pPr>
              <w:spacing w:after="0" w:line="240" w:lineRule="auto"/>
              <w:jc w:val="right"/>
              <w:rPr>
                <w:sz w:val="20"/>
                <w:szCs w:val="20"/>
              </w:rPr>
            </w:pPr>
            <w:r w:rsidDel="00000000" w:rsidR="00000000" w:rsidRPr="00000000">
              <w:rPr>
                <w:sz w:val="20"/>
                <w:szCs w:val="20"/>
                <w:rtl w:val="0"/>
              </w:rPr>
              <w:t xml:space="preserve">17</w:t>
            </w:r>
          </w:p>
        </w:tc>
        <w:tc>
          <w:tcPr>
            <w:tcBorders>
              <w:top w:color="000000" w:space="0" w:sz="0" w:val="nil"/>
              <w:left w:color="000000" w:space="0" w:sz="0" w:val="nil"/>
              <w:bottom w:color="000000" w:space="0" w:sz="0" w:val="nil"/>
              <w:right w:color="000000" w:space="0" w:sz="0" w:val="nil"/>
            </w:tcBorders>
            <w:shd w:fill="d9e1f2" w:val="clear"/>
            <w:vAlign w:val="center"/>
          </w:tcPr>
          <w:p w:rsidR="00000000" w:rsidDel="00000000" w:rsidP="00000000" w:rsidRDefault="00000000" w:rsidRPr="00000000" w14:paraId="0000021F">
            <w:pPr>
              <w:spacing w:after="0" w:line="240" w:lineRule="auto"/>
              <w:jc w:val="right"/>
              <w:rPr>
                <w:sz w:val="20"/>
                <w:szCs w:val="20"/>
              </w:rPr>
            </w:pPr>
            <w:r w:rsidDel="00000000" w:rsidR="00000000" w:rsidRPr="00000000">
              <w:rPr>
                <w:sz w:val="20"/>
                <w:szCs w:val="20"/>
                <w:rtl w:val="0"/>
              </w:rPr>
              <w:t xml:space="preserve">30</w:t>
            </w:r>
          </w:p>
        </w:tc>
        <w:tc>
          <w:tcPr>
            <w:tcBorders>
              <w:top w:color="000000" w:space="0" w:sz="0" w:val="nil"/>
              <w:left w:color="000000" w:space="0" w:sz="0" w:val="nil"/>
              <w:bottom w:color="000000" w:space="0" w:sz="0" w:val="nil"/>
              <w:right w:color="000000" w:space="0" w:sz="0" w:val="nil"/>
            </w:tcBorders>
            <w:shd w:fill="d9d9d9" w:val="clear"/>
            <w:vAlign w:val="center"/>
          </w:tcPr>
          <w:p w:rsidR="00000000" w:rsidDel="00000000" w:rsidP="00000000" w:rsidRDefault="00000000" w:rsidRPr="00000000" w14:paraId="00000220">
            <w:pPr>
              <w:spacing w:after="0" w:line="240" w:lineRule="auto"/>
              <w:jc w:val="right"/>
              <w:rPr>
                <w:sz w:val="20"/>
                <w:szCs w:val="20"/>
              </w:rPr>
            </w:pPr>
            <w:r w:rsidDel="00000000" w:rsidR="00000000" w:rsidRPr="00000000">
              <w:rPr>
                <w:sz w:val="20"/>
                <w:szCs w:val="20"/>
                <w:rtl w:val="0"/>
              </w:rPr>
              <w:t xml:space="preserve">20</w:t>
            </w:r>
          </w:p>
        </w:tc>
        <w:tc>
          <w:tcPr>
            <w:tcBorders>
              <w:top w:color="000000" w:space="0" w:sz="0" w:val="nil"/>
              <w:left w:color="000000" w:space="0" w:sz="0" w:val="nil"/>
              <w:bottom w:color="000000" w:space="0" w:sz="0" w:val="nil"/>
              <w:right w:color="000000" w:space="0" w:sz="0" w:val="nil"/>
            </w:tcBorders>
            <w:shd w:fill="d9d9d9" w:val="clear"/>
            <w:vAlign w:val="center"/>
          </w:tcPr>
          <w:p w:rsidR="00000000" w:rsidDel="00000000" w:rsidP="00000000" w:rsidRDefault="00000000" w:rsidRPr="00000000" w14:paraId="00000221">
            <w:pPr>
              <w:spacing w:after="0" w:line="240" w:lineRule="auto"/>
              <w:jc w:val="right"/>
              <w:rPr>
                <w:sz w:val="20"/>
                <w:szCs w:val="20"/>
              </w:rPr>
            </w:pPr>
            <w:r w:rsidDel="00000000" w:rsidR="00000000" w:rsidRPr="00000000">
              <w:rPr>
                <w:sz w:val="20"/>
                <w:szCs w:val="20"/>
                <w:rtl w:val="0"/>
              </w:rPr>
              <w:t xml:space="preserve">36</w:t>
            </w:r>
          </w:p>
        </w:tc>
      </w:tr>
      <w:tr>
        <w:trPr>
          <w:cantSplit w:val="0"/>
          <w:trHeight w:val="31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222">
            <w:pPr>
              <w:spacing w:after="0" w:line="240" w:lineRule="auto"/>
              <w:rPr>
                <w:sz w:val="20"/>
                <w:szCs w:val="20"/>
              </w:rPr>
            </w:pPr>
            <w:r w:rsidDel="00000000" w:rsidR="00000000" w:rsidRPr="00000000">
              <w:rPr>
                <w:sz w:val="20"/>
                <w:szCs w:val="20"/>
                <w:rtl w:val="0"/>
              </w:rPr>
              <w:t xml:space="preserve">Eastry Updown</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223">
            <w:pPr>
              <w:spacing w:after="0" w:line="240" w:lineRule="auto"/>
              <w:jc w:val="right"/>
              <w:rPr>
                <w:sz w:val="20"/>
                <w:szCs w:val="20"/>
              </w:rPr>
            </w:pPr>
            <w:r w:rsidDel="00000000" w:rsidR="00000000" w:rsidRPr="00000000">
              <w:rPr>
                <w:sz w:val="20"/>
                <w:szCs w:val="20"/>
                <w:rtl w:val="0"/>
              </w:rPr>
              <w:t xml:space="preserve">5</w:t>
            </w:r>
          </w:p>
        </w:tc>
        <w:tc>
          <w:tcPr>
            <w:tcBorders>
              <w:top w:color="000000" w:space="0" w:sz="0" w:val="nil"/>
              <w:left w:color="000000" w:space="0" w:sz="0" w:val="nil"/>
              <w:bottom w:color="000000" w:space="0" w:sz="0" w:val="nil"/>
              <w:right w:color="000000" w:space="0" w:sz="0" w:val="nil"/>
            </w:tcBorders>
            <w:shd w:fill="fff2cc" w:val="clear"/>
            <w:vAlign w:val="center"/>
          </w:tcPr>
          <w:p w:rsidR="00000000" w:rsidDel="00000000" w:rsidP="00000000" w:rsidRDefault="00000000" w:rsidRPr="00000000" w14:paraId="00000224">
            <w:pPr>
              <w:spacing w:after="0" w:line="240" w:lineRule="auto"/>
              <w:jc w:val="right"/>
              <w:rPr>
                <w:sz w:val="20"/>
                <w:szCs w:val="20"/>
              </w:rPr>
            </w:pPr>
            <w:r w:rsidDel="00000000" w:rsidR="00000000" w:rsidRPr="00000000">
              <w:rPr>
                <w:sz w:val="20"/>
                <w:szCs w:val="20"/>
                <w:rtl w:val="0"/>
              </w:rPr>
              <w:t xml:space="preserve">3</w:t>
            </w:r>
          </w:p>
        </w:tc>
        <w:tc>
          <w:tcPr>
            <w:tcBorders>
              <w:top w:color="000000" w:space="0" w:sz="0" w:val="nil"/>
              <w:left w:color="000000" w:space="0" w:sz="0" w:val="nil"/>
              <w:bottom w:color="000000" w:space="0" w:sz="0" w:val="nil"/>
              <w:right w:color="000000" w:space="0" w:sz="0" w:val="nil"/>
            </w:tcBorders>
            <w:shd w:fill="fff2cc" w:val="clear"/>
            <w:vAlign w:val="center"/>
          </w:tcPr>
          <w:p w:rsidR="00000000" w:rsidDel="00000000" w:rsidP="00000000" w:rsidRDefault="00000000" w:rsidRPr="00000000" w14:paraId="00000225">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0" w:val="nil"/>
              <w:right w:color="000000" w:space="0" w:sz="0" w:val="nil"/>
            </w:tcBorders>
            <w:shd w:fill="d9e1f2" w:val="clear"/>
            <w:vAlign w:val="center"/>
          </w:tcPr>
          <w:p w:rsidR="00000000" w:rsidDel="00000000" w:rsidP="00000000" w:rsidRDefault="00000000" w:rsidRPr="00000000" w14:paraId="00000226">
            <w:pPr>
              <w:spacing w:after="0" w:line="240" w:lineRule="auto"/>
              <w:jc w:val="right"/>
              <w:rPr>
                <w:sz w:val="20"/>
                <w:szCs w:val="20"/>
              </w:rPr>
            </w:pPr>
            <w:r w:rsidDel="00000000" w:rsidR="00000000" w:rsidRPr="00000000">
              <w:rPr>
                <w:sz w:val="20"/>
                <w:szCs w:val="20"/>
                <w:rtl w:val="0"/>
              </w:rPr>
              <w:t xml:space="preserve">2</w:t>
            </w:r>
          </w:p>
        </w:tc>
        <w:tc>
          <w:tcPr>
            <w:tcBorders>
              <w:top w:color="000000" w:space="0" w:sz="0" w:val="nil"/>
              <w:left w:color="000000" w:space="0" w:sz="0" w:val="nil"/>
              <w:bottom w:color="000000" w:space="0" w:sz="0" w:val="nil"/>
              <w:right w:color="000000" w:space="0" w:sz="0" w:val="nil"/>
            </w:tcBorders>
            <w:shd w:fill="d9e1f2" w:val="clear"/>
            <w:vAlign w:val="center"/>
          </w:tcPr>
          <w:p w:rsidR="00000000" w:rsidDel="00000000" w:rsidP="00000000" w:rsidRDefault="00000000" w:rsidRPr="00000000" w14:paraId="00000227">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0" w:val="nil"/>
              <w:right w:color="000000" w:space="0" w:sz="0" w:val="nil"/>
            </w:tcBorders>
            <w:shd w:fill="d9d9d9" w:val="clear"/>
            <w:vAlign w:val="center"/>
          </w:tcPr>
          <w:p w:rsidR="00000000" w:rsidDel="00000000" w:rsidP="00000000" w:rsidRDefault="00000000" w:rsidRPr="00000000" w14:paraId="00000228">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0" w:val="nil"/>
              <w:right w:color="000000" w:space="0" w:sz="0" w:val="nil"/>
            </w:tcBorders>
            <w:shd w:fill="d9d9d9" w:val="clear"/>
            <w:vAlign w:val="center"/>
          </w:tcPr>
          <w:p w:rsidR="00000000" w:rsidDel="00000000" w:rsidP="00000000" w:rsidRDefault="00000000" w:rsidRPr="00000000" w14:paraId="00000229">
            <w:pPr>
              <w:spacing w:after="0" w:line="240" w:lineRule="auto"/>
              <w:jc w:val="right"/>
              <w:rPr>
                <w:sz w:val="20"/>
                <w:szCs w:val="20"/>
              </w:rPr>
            </w:pPr>
            <w:r w:rsidDel="00000000" w:rsidR="00000000" w:rsidRPr="00000000">
              <w:rPr>
                <w:sz w:val="20"/>
                <w:szCs w:val="20"/>
                <w:rtl w:val="0"/>
              </w:rPr>
              <w:t xml:space="preserve"> </w:t>
            </w:r>
          </w:p>
        </w:tc>
      </w:tr>
      <w:tr>
        <w:trPr>
          <w:cantSplit w:val="0"/>
          <w:trHeight w:val="31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22A">
            <w:pPr>
              <w:spacing w:after="0" w:line="240" w:lineRule="auto"/>
              <w:rPr>
                <w:sz w:val="20"/>
                <w:szCs w:val="20"/>
              </w:rPr>
            </w:pPr>
            <w:r w:rsidDel="00000000" w:rsidR="00000000" w:rsidRPr="00000000">
              <w:rPr>
                <w:sz w:val="20"/>
                <w:szCs w:val="20"/>
                <w:rtl w:val="0"/>
              </w:rPr>
              <w:t xml:space="preserve">Polhill</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22B">
            <w:pPr>
              <w:spacing w:after="0" w:line="240" w:lineRule="auto"/>
              <w:jc w:val="right"/>
              <w:rPr>
                <w:sz w:val="20"/>
                <w:szCs w:val="20"/>
              </w:rPr>
            </w:pPr>
            <w:r w:rsidDel="00000000" w:rsidR="00000000" w:rsidRPr="00000000">
              <w:rPr>
                <w:sz w:val="20"/>
                <w:szCs w:val="20"/>
                <w:rtl w:val="0"/>
              </w:rPr>
              <w:t xml:space="preserve">9</w:t>
            </w:r>
          </w:p>
        </w:tc>
        <w:tc>
          <w:tcPr>
            <w:tcBorders>
              <w:top w:color="000000" w:space="0" w:sz="0" w:val="nil"/>
              <w:left w:color="000000" w:space="0" w:sz="0" w:val="nil"/>
              <w:bottom w:color="000000" w:space="0" w:sz="0" w:val="nil"/>
              <w:right w:color="000000" w:space="0" w:sz="0" w:val="nil"/>
            </w:tcBorders>
            <w:shd w:fill="fff2cc" w:val="clear"/>
            <w:vAlign w:val="center"/>
          </w:tcPr>
          <w:p w:rsidR="00000000" w:rsidDel="00000000" w:rsidP="00000000" w:rsidRDefault="00000000" w:rsidRPr="00000000" w14:paraId="0000022C">
            <w:pPr>
              <w:spacing w:after="0" w:line="240" w:lineRule="auto"/>
              <w:jc w:val="right"/>
              <w:rPr>
                <w:sz w:val="20"/>
                <w:szCs w:val="20"/>
              </w:rPr>
            </w:pPr>
            <w:r w:rsidDel="00000000" w:rsidR="00000000" w:rsidRPr="00000000">
              <w:rPr>
                <w:sz w:val="20"/>
                <w:szCs w:val="20"/>
                <w:rtl w:val="0"/>
              </w:rPr>
              <w:t xml:space="preserve">2</w:t>
            </w:r>
          </w:p>
        </w:tc>
        <w:tc>
          <w:tcPr>
            <w:tcBorders>
              <w:top w:color="000000" w:space="0" w:sz="0" w:val="nil"/>
              <w:left w:color="000000" w:space="0" w:sz="0" w:val="nil"/>
              <w:bottom w:color="000000" w:space="0" w:sz="0" w:val="nil"/>
              <w:right w:color="000000" w:space="0" w:sz="0" w:val="nil"/>
            </w:tcBorders>
            <w:shd w:fill="fff2cc" w:val="clear"/>
            <w:vAlign w:val="center"/>
          </w:tcPr>
          <w:p w:rsidR="00000000" w:rsidDel="00000000" w:rsidP="00000000" w:rsidRDefault="00000000" w:rsidRPr="00000000" w14:paraId="0000022D">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0" w:val="nil"/>
              <w:right w:color="000000" w:space="0" w:sz="0" w:val="nil"/>
            </w:tcBorders>
            <w:shd w:fill="d9e1f2" w:val="clear"/>
            <w:vAlign w:val="center"/>
          </w:tcPr>
          <w:p w:rsidR="00000000" w:rsidDel="00000000" w:rsidP="00000000" w:rsidRDefault="00000000" w:rsidRPr="00000000" w14:paraId="0000022E">
            <w:pPr>
              <w:spacing w:after="0" w:line="240" w:lineRule="auto"/>
              <w:jc w:val="right"/>
              <w:rPr>
                <w:sz w:val="20"/>
                <w:szCs w:val="20"/>
              </w:rPr>
            </w:pPr>
            <w:r w:rsidDel="00000000" w:rsidR="00000000" w:rsidRPr="00000000">
              <w:rPr>
                <w:sz w:val="20"/>
                <w:szCs w:val="20"/>
                <w:rtl w:val="0"/>
              </w:rPr>
              <w:t xml:space="preserve">5</w:t>
            </w:r>
          </w:p>
        </w:tc>
        <w:tc>
          <w:tcPr>
            <w:tcBorders>
              <w:top w:color="000000" w:space="0" w:sz="0" w:val="nil"/>
              <w:left w:color="000000" w:space="0" w:sz="0" w:val="nil"/>
              <w:bottom w:color="000000" w:space="0" w:sz="0" w:val="nil"/>
              <w:right w:color="000000" w:space="0" w:sz="0" w:val="nil"/>
            </w:tcBorders>
            <w:shd w:fill="d9e1f2" w:val="clear"/>
            <w:vAlign w:val="center"/>
          </w:tcPr>
          <w:p w:rsidR="00000000" w:rsidDel="00000000" w:rsidP="00000000" w:rsidRDefault="00000000" w:rsidRPr="00000000" w14:paraId="0000022F">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0" w:val="nil"/>
              <w:right w:color="000000" w:space="0" w:sz="0" w:val="nil"/>
            </w:tcBorders>
            <w:shd w:fill="d9d9d9" w:val="clear"/>
            <w:vAlign w:val="center"/>
          </w:tcPr>
          <w:p w:rsidR="00000000" w:rsidDel="00000000" w:rsidP="00000000" w:rsidRDefault="00000000" w:rsidRPr="00000000" w14:paraId="00000230">
            <w:pPr>
              <w:spacing w:after="0" w:line="240" w:lineRule="auto"/>
              <w:jc w:val="right"/>
              <w:rPr>
                <w:sz w:val="20"/>
                <w:szCs w:val="20"/>
              </w:rPr>
            </w:pPr>
            <w:r w:rsidDel="00000000" w:rsidR="00000000" w:rsidRPr="00000000">
              <w:rPr>
                <w:sz w:val="20"/>
                <w:szCs w:val="20"/>
                <w:rtl w:val="0"/>
              </w:rPr>
              <w:t xml:space="preserve">2</w:t>
            </w:r>
          </w:p>
        </w:tc>
        <w:tc>
          <w:tcPr>
            <w:tcBorders>
              <w:top w:color="000000" w:space="0" w:sz="0" w:val="nil"/>
              <w:left w:color="000000" w:space="0" w:sz="0" w:val="nil"/>
              <w:bottom w:color="000000" w:space="0" w:sz="0" w:val="nil"/>
              <w:right w:color="000000" w:space="0" w:sz="0" w:val="nil"/>
            </w:tcBorders>
            <w:shd w:fill="d9d9d9" w:val="clear"/>
            <w:vAlign w:val="center"/>
          </w:tcPr>
          <w:p w:rsidR="00000000" w:rsidDel="00000000" w:rsidP="00000000" w:rsidRDefault="00000000" w:rsidRPr="00000000" w14:paraId="00000231">
            <w:pPr>
              <w:spacing w:after="0" w:line="240" w:lineRule="auto"/>
              <w:jc w:val="right"/>
              <w:rPr>
                <w:sz w:val="20"/>
                <w:szCs w:val="20"/>
              </w:rPr>
            </w:pPr>
            <w:r w:rsidDel="00000000" w:rsidR="00000000" w:rsidRPr="00000000">
              <w:rPr>
                <w:sz w:val="20"/>
                <w:szCs w:val="20"/>
                <w:rtl w:val="0"/>
              </w:rPr>
              <w:t xml:space="preserve"> </w:t>
            </w:r>
          </w:p>
        </w:tc>
      </w:tr>
      <w:tr>
        <w:trPr>
          <w:cantSplit w:val="0"/>
          <w:trHeight w:val="31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232">
            <w:pPr>
              <w:spacing w:after="0" w:line="240" w:lineRule="auto"/>
              <w:rPr>
                <w:sz w:val="20"/>
                <w:szCs w:val="20"/>
              </w:rPr>
            </w:pPr>
            <w:r w:rsidDel="00000000" w:rsidR="00000000" w:rsidRPr="00000000">
              <w:rPr>
                <w:sz w:val="20"/>
                <w:szCs w:val="20"/>
                <w:rtl w:val="0"/>
              </w:rPr>
              <w:t xml:space="preserve">Rookery Hill, Bishopstone</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233">
            <w:pPr>
              <w:spacing w:after="0" w:line="240" w:lineRule="auto"/>
              <w:jc w:val="right"/>
              <w:rPr>
                <w:sz w:val="20"/>
                <w:szCs w:val="20"/>
              </w:rPr>
            </w:pPr>
            <w:r w:rsidDel="00000000" w:rsidR="00000000" w:rsidRPr="00000000">
              <w:rPr>
                <w:sz w:val="20"/>
                <w:szCs w:val="20"/>
                <w:rtl w:val="0"/>
              </w:rPr>
              <w:t xml:space="preserve">9</w:t>
            </w:r>
          </w:p>
        </w:tc>
        <w:tc>
          <w:tcPr>
            <w:tcBorders>
              <w:top w:color="000000" w:space="0" w:sz="0" w:val="nil"/>
              <w:left w:color="000000" w:space="0" w:sz="0" w:val="nil"/>
              <w:bottom w:color="000000" w:space="0" w:sz="0" w:val="nil"/>
              <w:right w:color="000000" w:space="0" w:sz="0" w:val="nil"/>
            </w:tcBorders>
            <w:shd w:fill="fff2cc" w:val="clear"/>
            <w:vAlign w:val="center"/>
          </w:tcPr>
          <w:p w:rsidR="00000000" w:rsidDel="00000000" w:rsidP="00000000" w:rsidRDefault="00000000" w:rsidRPr="00000000" w14:paraId="00000234">
            <w:pPr>
              <w:spacing w:after="0" w:line="240" w:lineRule="auto"/>
              <w:jc w:val="right"/>
              <w:rPr>
                <w:sz w:val="20"/>
                <w:szCs w:val="20"/>
              </w:rPr>
            </w:pPr>
            <w:r w:rsidDel="00000000" w:rsidR="00000000" w:rsidRPr="00000000">
              <w:rPr>
                <w:sz w:val="20"/>
                <w:szCs w:val="20"/>
                <w:rtl w:val="0"/>
              </w:rPr>
              <w:t xml:space="preserve">2</w:t>
            </w:r>
          </w:p>
        </w:tc>
        <w:tc>
          <w:tcPr>
            <w:tcBorders>
              <w:top w:color="000000" w:space="0" w:sz="0" w:val="nil"/>
              <w:left w:color="000000" w:space="0" w:sz="0" w:val="nil"/>
              <w:bottom w:color="000000" w:space="0" w:sz="0" w:val="nil"/>
              <w:right w:color="000000" w:space="0" w:sz="0" w:val="nil"/>
            </w:tcBorders>
            <w:shd w:fill="fff2cc" w:val="clear"/>
            <w:vAlign w:val="center"/>
          </w:tcPr>
          <w:p w:rsidR="00000000" w:rsidDel="00000000" w:rsidP="00000000" w:rsidRDefault="00000000" w:rsidRPr="00000000" w14:paraId="00000235">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0" w:val="nil"/>
              <w:right w:color="000000" w:space="0" w:sz="0" w:val="nil"/>
            </w:tcBorders>
            <w:shd w:fill="d9e1f2" w:val="clear"/>
            <w:vAlign w:val="center"/>
          </w:tcPr>
          <w:p w:rsidR="00000000" w:rsidDel="00000000" w:rsidP="00000000" w:rsidRDefault="00000000" w:rsidRPr="00000000" w14:paraId="00000236">
            <w:pPr>
              <w:spacing w:after="0" w:line="240" w:lineRule="auto"/>
              <w:jc w:val="right"/>
              <w:rPr>
                <w:sz w:val="20"/>
                <w:szCs w:val="20"/>
              </w:rPr>
            </w:pPr>
            <w:r w:rsidDel="00000000" w:rsidR="00000000" w:rsidRPr="00000000">
              <w:rPr>
                <w:sz w:val="20"/>
                <w:szCs w:val="20"/>
                <w:rtl w:val="0"/>
              </w:rPr>
              <w:t xml:space="preserve">3</w:t>
            </w:r>
          </w:p>
        </w:tc>
        <w:tc>
          <w:tcPr>
            <w:tcBorders>
              <w:top w:color="000000" w:space="0" w:sz="0" w:val="nil"/>
              <w:left w:color="000000" w:space="0" w:sz="0" w:val="nil"/>
              <w:bottom w:color="000000" w:space="0" w:sz="0" w:val="nil"/>
              <w:right w:color="000000" w:space="0" w:sz="0" w:val="nil"/>
            </w:tcBorders>
            <w:shd w:fill="d9e1f2" w:val="clear"/>
            <w:vAlign w:val="center"/>
          </w:tcPr>
          <w:p w:rsidR="00000000" w:rsidDel="00000000" w:rsidP="00000000" w:rsidRDefault="00000000" w:rsidRPr="00000000" w14:paraId="00000237">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0" w:val="nil"/>
              <w:right w:color="000000" w:space="0" w:sz="0" w:val="nil"/>
            </w:tcBorders>
            <w:shd w:fill="d9d9d9" w:val="clear"/>
            <w:vAlign w:val="center"/>
          </w:tcPr>
          <w:p w:rsidR="00000000" w:rsidDel="00000000" w:rsidP="00000000" w:rsidRDefault="00000000" w:rsidRPr="00000000" w14:paraId="00000238">
            <w:pPr>
              <w:spacing w:after="0" w:line="240" w:lineRule="auto"/>
              <w:jc w:val="right"/>
              <w:rPr>
                <w:sz w:val="20"/>
                <w:szCs w:val="20"/>
              </w:rPr>
            </w:pPr>
            <w:r w:rsidDel="00000000" w:rsidR="00000000" w:rsidRPr="00000000">
              <w:rPr>
                <w:sz w:val="20"/>
                <w:szCs w:val="20"/>
                <w:rtl w:val="0"/>
              </w:rPr>
              <w:t xml:space="preserve">4</w:t>
            </w:r>
          </w:p>
        </w:tc>
        <w:tc>
          <w:tcPr>
            <w:tcBorders>
              <w:top w:color="000000" w:space="0" w:sz="0" w:val="nil"/>
              <w:left w:color="000000" w:space="0" w:sz="0" w:val="nil"/>
              <w:bottom w:color="000000" w:space="0" w:sz="0" w:val="nil"/>
              <w:right w:color="000000" w:space="0" w:sz="0" w:val="nil"/>
            </w:tcBorders>
            <w:shd w:fill="d9d9d9" w:val="clear"/>
            <w:vAlign w:val="center"/>
          </w:tcPr>
          <w:p w:rsidR="00000000" w:rsidDel="00000000" w:rsidP="00000000" w:rsidRDefault="00000000" w:rsidRPr="00000000" w14:paraId="00000239">
            <w:pPr>
              <w:spacing w:after="0" w:line="240" w:lineRule="auto"/>
              <w:jc w:val="right"/>
              <w:rPr>
                <w:sz w:val="20"/>
                <w:szCs w:val="20"/>
              </w:rPr>
            </w:pPr>
            <w:r w:rsidDel="00000000" w:rsidR="00000000" w:rsidRPr="00000000">
              <w:rPr>
                <w:sz w:val="20"/>
                <w:szCs w:val="20"/>
                <w:rtl w:val="0"/>
              </w:rPr>
              <w:t xml:space="preserve"> </w:t>
            </w:r>
          </w:p>
        </w:tc>
      </w:tr>
      <w:tr>
        <w:trPr>
          <w:cantSplit w:val="0"/>
          <w:trHeight w:val="31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23A">
            <w:pPr>
              <w:spacing w:after="0" w:line="240" w:lineRule="auto"/>
              <w:rPr>
                <w:sz w:val="20"/>
                <w:szCs w:val="20"/>
              </w:rPr>
            </w:pPr>
            <w:r w:rsidDel="00000000" w:rsidR="00000000" w:rsidRPr="00000000">
              <w:rPr>
                <w:sz w:val="20"/>
                <w:szCs w:val="20"/>
                <w:rtl w:val="0"/>
              </w:rPr>
              <w:t xml:space="preserve">Wolverton, Radcliffe School </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23B">
            <w:pPr>
              <w:spacing w:after="0" w:line="240" w:lineRule="auto"/>
              <w:jc w:val="right"/>
              <w:rPr>
                <w:sz w:val="20"/>
                <w:szCs w:val="20"/>
              </w:rPr>
            </w:pPr>
            <w:r w:rsidDel="00000000" w:rsidR="00000000" w:rsidRPr="00000000">
              <w:rPr>
                <w:sz w:val="20"/>
                <w:szCs w:val="20"/>
                <w:rtl w:val="0"/>
              </w:rPr>
              <w:t xml:space="preserve">4</w:t>
            </w:r>
          </w:p>
        </w:tc>
        <w:tc>
          <w:tcPr>
            <w:tcBorders>
              <w:top w:color="000000" w:space="0" w:sz="0" w:val="nil"/>
              <w:left w:color="000000" w:space="0" w:sz="0" w:val="nil"/>
              <w:bottom w:color="000000" w:space="0" w:sz="0" w:val="nil"/>
              <w:right w:color="000000" w:space="0" w:sz="0" w:val="nil"/>
            </w:tcBorders>
            <w:shd w:fill="fff2cc" w:val="clear"/>
            <w:vAlign w:val="center"/>
          </w:tcPr>
          <w:p w:rsidR="00000000" w:rsidDel="00000000" w:rsidP="00000000" w:rsidRDefault="00000000" w:rsidRPr="00000000" w14:paraId="0000023C">
            <w:pPr>
              <w:spacing w:after="0" w:line="240" w:lineRule="auto"/>
              <w:jc w:val="right"/>
              <w:rPr>
                <w:sz w:val="20"/>
                <w:szCs w:val="20"/>
              </w:rPr>
            </w:pPr>
            <w:r w:rsidDel="00000000" w:rsidR="00000000" w:rsidRPr="00000000">
              <w:rPr>
                <w:sz w:val="20"/>
                <w:szCs w:val="20"/>
                <w:rtl w:val="0"/>
              </w:rPr>
              <w:t xml:space="preserve">2</w:t>
            </w:r>
          </w:p>
        </w:tc>
        <w:tc>
          <w:tcPr>
            <w:tcBorders>
              <w:top w:color="000000" w:space="0" w:sz="0" w:val="nil"/>
              <w:left w:color="000000" w:space="0" w:sz="0" w:val="nil"/>
              <w:bottom w:color="000000" w:space="0" w:sz="0" w:val="nil"/>
              <w:right w:color="000000" w:space="0" w:sz="0" w:val="nil"/>
            </w:tcBorders>
            <w:shd w:fill="fff2cc" w:val="clear"/>
            <w:vAlign w:val="center"/>
          </w:tcPr>
          <w:p w:rsidR="00000000" w:rsidDel="00000000" w:rsidP="00000000" w:rsidRDefault="00000000" w:rsidRPr="00000000" w14:paraId="0000023D">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0" w:val="nil"/>
              <w:right w:color="000000" w:space="0" w:sz="0" w:val="nil"/>
            </w:tcBorders>
            <w:shd w:fill="d9e1f2" w:val="clear"/>
            <w:vAlign w:val="center"/>
          </w:tcPr>
          <w:p w:rsidR="00000000" w:rsidDel="00000000" w:rsidP="00000000" w:rsidRDefault="00000000" w:rsidRPr="00000000" w14:paraId="0000023E">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0" w:val="nil"/>
              <w:right w:color="000000" w:space="0" w:sz="0" w:val="nil"/>
            </w:tcBorders>
            <w:shd w:fill="d9e1f2" w:val="clear"/>
            <w:vAlign w:val="center"/>
          </w:tcPr>
          <w:p w:rsidR="00000000" w:rsidDel="00000000" w:rsidP="00000000" w:rsidRDefault="00000000" w:rsidRPr="00000000" w14:paraId="0000023F">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0" w:val="nil"/>
              <w:right w:color="000000" w:space="0" w:sz="0" w:val="nil"/>
            </w:tcBorders>
            <w:shd w:fill="d9d9d9" w:val="clear"/>
            <w:vAlign w:val="center"/>
          </w:tcPr>
          <w:p w:rsidR="00000000" w:rsidDel="00000000" w:rsidP="00000000" w:rsidRDefault="00000000" w:rsidRPr="00000000" w14:paraId="00000240">
            <w:pPr>
              <w:spacing w:after="0" w:line="240" w:lineRule="auto"/>
              <w:jc w:val="right"/>
              <w:rPr>
                <w:sz w:val="20"/>
                <w:szCs w:val="20"/>
              </w:rPr>
            </w:pPr>
            <w:r w:rsidDel="00000000" w:rsidR="00000000" w:rsidRPr="00000000">
              <w:rPr>
                <w:sz w:val="20"/>
                <w:szCs w:val="20"/>
                <w:rtl w:val="0"/>
              </w:rPr>
              <w:t xml:space="preserve">2</w:t>
            </w:r>
          </w:p>
        </w:tc>
        <w:tc>
          <w:tcPr>
            <w:tcBorders>
              <w:top w:color="000000" w:space="0" w:sz="0" w:val="nil"/>
              <w:left w:color="000000" w:space="0" w:sz="0" w:val="nil"/>
              <w:bottom w:color="000000" w:space="0" w:sz="0" w:val="nil"/>
              <w:right w:color="000000" w:space="0" w:sz="0" w:val="nil"/>
            </w:tcBorders>
            <w:shd w:fill="d9d9d9" w:val="clear"/>
            <w:vAlign w:val="center"/>
          </w:tcPr>
          <w:p w:rsidR="00000000" w:rsidDel="00000000" w:rsidP="00000000" w:rsidRDefault="00000000" w:rsidRPr="00000000" w14:paraId="00000241">
            <w:pPr>
              <w:spacing w:after="0" w:line="240" w:lineRule="auto"/>
              <w:jc w:val="right"/>
              <w:rPr>
                <w:sz w:val="20"/>
                <w:szCs w:val="20"/>
              </w:rPr>
            </w:pPr>
            <w:r w:rsidDel="00000000" w:rsidR="00000000" w:rsidRPr="00000000">
              <w:rPr>
                <w:sz w:val="20"/>
                <w:szCs w:val="20"/>
                <w:rtl w:val="0"/>
              </w:rPr>
              <w:t xml:space="preserve"> </w:t>
            </w:r>
          </w:p>
        </w:tc>
      </w:tr>
      <w:tr>
        <w:trPr>
          <w:cantSplit w:val="0"/>
          <w:trHeight w:val="315" w:hRule="atLeast"/>
          <w:tblHeader w:val="0"/>
        </w:trPr>
        <w:tc>
          <w:tcPr>
            <w:tcBorders>
              <w:top w:color="000000" w:space="0" w:sz="4" w:val="single"/>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242">
            <w:pPr>
              <w:spacing w:after="0" w:line="240" w:lineRule="auto"/>
              <w:rPr>
                <w:b w:val="1"/>
                <w:sz w:val="20"/>
                <w:szCs w:val="20"/>
              </w:rPr>
            </w:pPr>
            <w:r w:rsidDel="00000000" w:rsidR="00000000" w:rsidRPr="00000000">
              <w:rPr>
                <w:b w:val="1"/>
                <w:sz w:val="20"/>
                <w:szCs w:val="20"/>
                <w:rtl w:val="0"/>
              </w:rPr>
              <w:t xml:space="preserve">England Southwest</w:t>
            </w:r>
          </w:p>
        </w:tc>
        <w:tc>
          <w:tcPr>
            <w:tcBorders>
              <w:top w:color="000000" w:space="0" w:sz="4" w:val="single"/>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243">
            <w:pPr>
              <w:spacing w:after="0" w:line="240" w:lineRule="auto"/>
              <w:jc w:val="right"/>
              <w:rPr>
                <w:b w:val="1"/>
                <w:sz w:val="20"/>
                <w:szCs w:val="20"/>
              </w:rPr>
            </w:pPr>
            <w:r w:rsidDel="00000000" w:rsidR="00000000" w:rsidRPr="00000000">
              <w:rPr>
                <w:b w:val="1"/>
                <w:sz w:val="20"/>
                <w:szCs w:val="20"/>
                <w:rtl w:val="0"/>
              </w:rPr>
              <w:t xml:space="preserve">15</w:t>
            </w:r>
          </w:p>
        </w:tc>
        <w:tc>
          <w:tcPr>
            <w:tcBorders>
              <w:top w:color="000000" w:space="0" w:sz="4" w:val="single"/>
              <w:left w:color="000000" w:space="0" w:sz="0" w:val="nil"/>
              <w:bottom w:color="000000" w:space="0" w:sz="4" w:val="single"/>
              <w:right w:color="000000" w:space="0" w:sz="0" w:val="nil"/>
            </w:tcBorders>
            <w:shd w:fill="fff2cc" w:val="clear"/>
            <w:vAlign w:val="center"/>
          </w:tcPr>
          <w:p w:rsidR="00000000" w:rsidDel="00000000" w:rsidP="00000000" w:rsidRDefault="00000000" w:rsidRPr="00000000" w14:paraId="00000244">
            <w:pPr>
              <w:spacing w:after="0" w:line="240" w:lineRule="auto"/>
              <w:jc w:val="right"/>
              <w:rPr>
                <w:b w:val="1"/>
                <w:sz w:val="20"/>
                <w:szCs w:val="20"/>
              </w:rPr>
            </w:pPr>
            <w:r w:rsidDel="00000000" w:rsidR="00000000" w:rsidRPr="00000000">
              <w:rPr>
                <w:b w:val="1"/>
                <w:sz w:val="20"/>
                <w:szCs w:val="20"/>
                <w:rtl w:val="0"/>
              </w:rPr>
              <w:t xml:space="preserve">11</w:t>
            </w:r>
          </w:p>
        </w:tc>
        <w:tc>
          <w:tcPr>
            <w:tcBorders>
              <w:top w:color="000000" w:space="0" w:sz="4" w:val="single"/>
              <w:left w:color="000000" w:space="0" w:sz="0" w:val="nil"/>
              <w:bottom w:color="000000" w:space="0" w:sz="4" w:val="single"/>
              <w:right w:color="000000" w:space="0" w:sz="0" w:val="nil"/>
            </w:tcBorders>
            <w:shd w:fill="fff2cc" w:val="clear"/>
            <w:vAlign w:val="center"/>
          </w:tcPr>
          <w:p w:rsidR="00000000" w:rsidDel="00000000" w:rsidP="00000000" w:rsidRDefault="00000000" w:rsidRPr="00000000" w14:paraId="00000245">
            <w:pPr>
              <w:spacing w:after="0" w:line="240" w:lineRule="auto"/>
              <w:jc w:val="right"/>
              <w:rPr>
                <w:b w:val="1"/>
                <w:sz w:val="20"/>
                <w:szCs w:val="20"/>
              </w:rPr>
            </w:pPr>
            <w:r w:rsidDel="00000000" w:rsidR="00000000" w:rsidRPr="00000000">
              <w:rPr>
                <w:b w:val="1"/>
                <w:sz w:val="20"/>
                <w:szCs w:val="20"/>
                <w:rtl w:val="0"/>
              </w:rPr>
              <w:t xml:space="preserve">73</w:t>
            </w:r>
          </w:p>
        </w:tc>
        <w:tc>
          <w:tcPr>
            <w:tcBorders>
              <w:top w:color="000000" w:space="0" w:sz="4" w:val="single"/>
              <w:left w:color="000000" w:space="0" w:sz="0" w:val="nil"/>
              <w:bottom w:color="000000" w:space="0" w:sz="4" w:val="single"/>
              <w:right w:color="000000" w:space="0" w:sz="0" w:val="nil"/>
            </w:tcBorders>
            <w:shd w:fill="d9e1f2" w:val="clear"/>
            <w:vAlign w:val="center"/>
          </w:tcPr>
          <w:p w:rsidR="00000000" w:rsidDel="00000000" w:rsidP="00000000" w:rsidRDefault="00000000" w:rsidRPr="00000000" w14:paraId="00000246">
            <w:pPr>
              <w:spacing w:after="0" w:line="240" w:lineRule="auto"/>
              <w:jc w:val="right"/>
              <w:rPr>
                <w:b w:val="1"/>
                <w:sz w:val="20"/>
                <w:szCs w:val="20"/>
              </w:rPr>
            </w:pPr>
            <w:r w:rsidDel="00000000" w:rsidR="00000000" w:rsidRPr="00000000">
              <w:rPr>
                <w:b w:val="1"/>
                <w:sz w:val="20"/>
                <w:szCs w:val="20"/>
                <w:rtl w:val="0"/>
              </w:rPr>
              <w:t xml:space="preserve">2</w:t>
            </w:r>
          </w:p>
        </w:tc>
        <w:tc>
          <w:tcPr>
            <w:tcBorders>
              <w:top w:color="000000" w:space="0" w:sz="4" w:val="single"/>
              <w:left w:color="000000" w:space="0" w:sz="0" w:val="nil"/>
              <w:bottom w:color="000000" w:space="0" w:sz="4" w:val="single"/>
              <w:right w:color="000000" w:space="0" w:sz="0" w:val="nil"/>
            </w:tcBorders>
            <w:shd w:fill="d9e1f2" w:val="clear"/>
            <w:vAlign w:val="center"/>
          </w:tcPr>
          <w:p w:rsidR="00000000" w:rsidDel="00000000" w:rsidP="00000000" w:rsidRDefault="00000000" w:rsidRPr="00000000" w14:paraId="00000247">
            <w:pPr>
              <w:spacing w:after="0" w:line="240" w:lineRule="auto"/>
              <w:jc w:val="right"/>
              <w:rPr>
                <w:b w:val="1"/>
                <w:sz w:val="20"/>
                <w:szCs w:val="20"/>
              </w:rPr>
            </w:pPr>
            <w:r w:rsidDel="00000000" w:rsidR="00000000" w:rsidRPr="00000000">
              <w:rPr>
                <w:b w:val="1"/>
                <w:sz w:val="20"/>
                <w:szCs w:val="20"/>
                <w:rtl w:val="0"/>
              </w:rPr>
              <w:t xml:space="preserve">13</w:t>
            </w:r>
          </w:p>
        </w:tc>
        <w:tc>
          <w:tcPr>
            <w:tcBorders>
              <w:top w:color="000000" w:space="0" w:sz="4" w:val="single"/>
              <w:left w:color="000000" w:space="0" w:sz="0" w:val="nil"/>
              <w:bottom w:color="000000" w:space="0" w:sz="4" w:val="single"/>
              <w:right w:color="000000" w:space="0" w:sz="0" w:val="nil"/>
            </w:tcBorders>
            <w:shd w:fill="d9d9d9" w:val="clear"/>
            <w:vAlign w:val="center"/>
          </w:tcPr>
          <w:p w:rsidR="00000000" w:rsidDel="00000000" w:rsidP="00000000" w:rsidRDefault="00000000" w:rsidRPr="00000000" w14:paraId="00000248">
            <w:pPr>
              <w:spacing w:after="0" w:line="240" w:lineRule="auto"/>
              <w:jc w:val="right"/>
              <w:rPr>
                <w:b w:val="1"/>
                <w:sz w:val="20"/>
                <w:szCs w:val="20"/>
              </w:rPr>
            </w:pPr>
            <w:r w:rsidDel="00000000" w:rsidR="00000000" w:rsidRPr="00000000">
              <w:rPr>
                <w:b w:val="1"/>
                <w:sz w:val="20"/>
                <w:szCs w:val="20"/>
                <w:rtl w:val="0"/>
              </w:rPr>
              <w:t xml:space="preserve">2</w:t>
            </w:r>
          </w:p>
        </w:tc>
        <w:tc>
          <w:tcPr>
            <w:tcBorders>
              <w:top w:color="000000" w:space="0" w:sz="4" w:val="single"/>
              <w:left w:color="000000" w:space="0" w:sz="0" w:val="nil"/>
              <w:bottom w:color="000000" w:space="0" w:sz="4" w:val="single"/>
              <w:right w:color="000000" w:space="0" w:sz="0" w:val="nil"/>
            </w:tcBorders>
            <w:shd w:fill="d9d9d9" w:val="clear"/>
            <w:vAlign w:val="center"/>
          </w:tcPr>
          <w:p w:rsidR="00000000" w:rsidDel="00000000" w:rsidP="00000000" w:rsidRDefault="00000000" w:rsidRPr="00000000" w14:paraId="00000249">
            <w:pPr>
              <w:spacing w:after="0" w:line="240" w:lineRule="auto"/>
              <w:jc w:val="right"/>
              <w:rPr>
                <w:b w:val="1"/>
                <w:sz w:val="20"/>
                <w:szCs w:val="20"/>
              </w:rPr>
            </w:pPr>
            <w:r w:rsidDel="00000000" w:rsidR="00000000" w:rsidRPr="00000000">
              <w:rPr>
                <w:b w:val="1"/>
                <w:sz w:val="20"/>
                <w:szCs w:val="20"/>
                <w:rtl w:val="0"/>
              </w:rPr>
              <w:t xml:space="preserve">13</w:t>
            </w:r>
          </w:p>
        </w:tc>
      </w:tr>
      <w:tr>
        <w:trPr>
          <w:cantSplit w:val="0"/>
          <w:trHeight w:val="31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24A">
            <w:pPr>
              <w:spacing w:after="0" w:line="240" w:lineRule="auto"/>
              <w:rPr>
                <w:sz w:val="20"/>
                <w:szCs w:val="20"/>
              </w:rPr>
            </w:pPr>
            <w:r w:rsidDel="00000000" w:rsidR="00000000" w:rsidRPr="00000000">
              <w:rPr>
                <w:sz w:val="20"/>
                <w:szCs w:val="20"/>
                <w:rtl w:val="0"/>
              </w:rPr>
              <w:t xml:space="preserve">Bude, Widemouth Bay</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24B">
            <w:pPr>
              <w:spacing w:after="0" w:line="240" w:lineRule="auto"/>
              <w:jc w:val="right"/>
              <w:rPr>
                <w:sz w:val="20"/>
                <w:szCs w:val="20"/>
              </w:rPr>
            </w:pPr>
            <w:r w:rsidDel="00000000" w:rsidR="00000000" w:rsidRPr="00000000">
              <w:rPr>
                <w:sz w:val="20"/>
                <w:szCs w:val="20"/>
                <w:rtl w:val="0"/>
              </w:rPr>
              <w:t xml:space="preserve">1</w:t>
            </w:r>
          </w:p>
        </w:tc>
        <w:tc>
          <w:tcPr>
            <w:tcBorders>
              <w:top w:color="000000" w:space="0" w:sz="0" w:val="nil"/>
              <w:left w:color="000000" w:space="0" w:sz="0" w:val="nil"/>
              <w:bottom w:color="000000" w:space="0" w:sz="0" w:val="nil"/>
              <w:right w:color="000000" w:space="0" w:sz="0" w:val="nil"/>
            </w:tcBorders>
            <w:shd w:fill="fff2cc" w:val="clear"/>
            <w:vAlign w:val="center"/>
          </w:tcPr>
          <w:p w:rsidR="00000000" w:rsidDel="00000000" w:rsidP="00000000" w:rsidRDefault="00000000" w:rsidRPr="00000000" w14:paraId="0000024C">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0" w:val="nil"/>
              <w:right w:color="000000" w:space="0" w:sz="0" w:val="nil"/>
            </w:tcBorders>
            <w:shd w:fill="fff2cc" w:val="clear"/>
            <w:vAlign w:val="center"/>
          </w:tcPr>
          <w:p w:rsidR="00000000" w:rsidDel="00000000" w:rsidP="00000000" w:rsidRDefault="00000000" w:rsidRPr="00000000" w14:paraId="0000024D">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0" w:val="nil"/>
              <w:right w:color="000000" w:space="0" w:sz="0" w:val="nil"/>
            </w:tcBorders>
            <w:shd w:fill="d9e1f2" w:val="clear"/>
            <w:vAlign w:val="center"/>
          </w:tcPr>
          <w:p w:rsidR="00000000" w:rsidDel="00000000" w:rsidP="00000000" w:rsidRDefault="00000000" w:rsidRPr="00000000" w14:paraId="0000024E">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0" w:val="nil"/>
              <w:right w:color="000000" w:space="0" w:sz="0" w:val="nil"/>
            </w:tcBorders>
            <w:shd w:fill="d9e1f2" w:val="clear"/>
            <w:vAlign w:val="center"/>
          </w:tcPr>
          <w:p w:rsidR="00000000" w:rsidDel="00000000" w:rsidP="00000000" w:rsidRDefault="00000000" w:rsidRPr="00000000" w14:paraId="0000024F">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0" w:val="nil"/>
              <w:right w:color="000000" w:space="0" w:sz="0" w:val="nil"/>
            </w:tcBorders>
            <w:shd w:fill="d9d9d9" w:val="clear"/>
            <w:vAlign w:val="center"/>
          </w:tcPr>
          <w:p w:rsidR="00000000" w:rsidDel="00000000" w:rsidP="00000000" w:rsidRDefault="00000000" w:rsidRPr="00000000" w14:paraId="00000250">
            <w:pPr>
              <w:spacing w:after="0" w:line="240" w:lineRule="auto"/>
              <w:jc w:val="right"/>
              <w:rPr>
                <w:sz w:val="20"/>
                <w:szCs w:val="20"/>
              </w:rPr>
            </w:pPr>
            <w:r w:rsidDel="00000000" w:rsidR="00000000" w:rsidRPr="00000000">
              <w:rPr>
                <w:sz w:val="20"/>
                <w:szCs w:val="20"/>
                <w:rtl w:val="0"/>
              </w:rPr>
              <w:t xml:space="preserve">1</w:t>
            </w:r>
          </w:p>
        </w:tc>
        <w:tc>
          <w:tcPr>
            <w:tcBorders>
              <w:top w:color="000000" w:space="0" w:sz="0" w:val="nil"/>
              <w:left w:color="000000" w:space="0" w:sz="0" w:val="nil"/>
              <w:bottom w:color="000000" w:space="0" w:sz="0" w:val="nil"/>
              <w:right w:color="000000" w:space="0" w:sz="0" w:val="nil"/>
            </w:tcBorders>
            <w:shd w:fill="d9d9d9" w:val="clear"/>
            <w:vAlign w:val="center"/>
          </w:tcPr>
          <w:p w:rsidR="00000000" w:rsidDel="00000000" w:rsidP="00000000" w:rsidRDefault="00000000" w:rsidRPr="00000000" w14:paraId="00000251">
            <w:pPr>
              <w:spacing w:after="0" w:line="240" w:lineRule="auto"/>
              <w:jc w:val="right"/>
              <w:rPr>
                <w:sz w:val="20"/>
                <w:szCs w:val="20"/>
              </w:rPr>
            </w:pPr>
            <w:r w:rsidDel="00000000" w:rsidR="00000000" w:rsidRPr="00000000">
              <w:rPr>
                <w:sz w:val="20"/>
                <w:szCs w:val="20"/>
                <w:rtl w:val="0"/>
              </w:rPr>
              <w:t xml:space="preserve"> </w:t>
            </w:r>
          </w:p>
        </w:tc>
      </w:tr>
      <w:tr>
        <w:trPr>
          <w:cantSplit w:val="0"/>
          <w:trHeight w:val="31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252">
            <w:pPr>
              <w:spacing w:after="0" w:line="240" w:lineRule="auto"/>
              <w:rPr>
                <w:sz w:val="20"/>
                <w:szCs w:val="20"/>
              </w:rPr>
            </w:pPr>
            <w:r w:rsidDel="00000000" w:rsidR="00000000" w:rsidRPr="00000000">
              <w:rPr>
                <w:sz w:val="20"/>
                <w:szCs w:val="20"/>
                <w:rtl w:val="0"/>
              </w:rPr>
              <w:t xml:space="preserve">Newquay, Crantock</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253">
            <w:pPr>
              <w:spacing w:after="0" w:line="240" w:lineRule="auto"/>
              <w:jc w:val="right"/>
              <w:rPr>
                <w:sz w:val="20"/>
                <w:szCs w:val="20"/>
              </w:rPr>
            </w:pPr>
            <w:r w:rsidDel="00000000" w:rsidR="00000000" w:rsidRPr="00000000">
              <w:rPr>
                <w:sz w:val="20"/>
                <w:szCs w:val="20"/>
                <w:rtl w:val="0"/>
              </w:rPr>
              <w:t xml:space="preserve">2</w:t>
            </w:r>
          </w:p>
        </w:tc>
        <w:tc>
          <w:tcPr>
            <w:tcBorders>
              <w:top w:color="000000" w:space="0" w:sz="0" w:val="nil"/>
              <w:left w:color="000000" w:space="0" w:sz="0" w:val="nil"/>
              <w:bottom w:color="000000" w:space="0" w:sz="0" w:val="nil"/>
              <w:right w:color="000000" w:space="0" w:sz="0" w:val="nil"/>
            </w:tcBorders>
            <w:shd w:fill="fff2cc" w:val="clear"/>
            <w:vAlign w:val="center"/>
          </w:tcPr>
          <w:p w:rsidR="00000000" w:rsidDel="00000000" w:rsidP="00000000" w:rsidRDefault="00000000" w:rsidRPr="00000000" w14:paraId="00000254">
            <w:pPr>
              <w:spacing w:after="0" w:line="240" w:lineRule="auto"/>
              <w:jc w:val="right"/>
              <w:rPr>
                <w:sz w:val="20"/>
                <w:szCs w:val="20"/>
              </w:rPr>
            </w:pPr>
            <w:r w:rsidDel="00000000" w:rsidR="00000000" w:rsidRPr="00000000">
              <w:rPr>
                <w:sz w:val="20"/>
                <w:szCs w:val="20"/>
                <w:rtl w:val="0"/>
              </w:rPr>
              <w:t xml:space="preserve">1</w:t>
            </w:r>
          </w:p>
        </w:tc>
        <w:tc>
          <w:tcPr>
            <w:tcBorders>
              <w:top w:color="000000" w:space="0" w:sz="0" w:val="nil"/>
              <w:left w:color="000000" w:space="0" w:sz="0" w:val="nil"/>
              <w:bottom w:color="000000" w:space="0" w:sz="0" w:val="nil"/>
              <w:right w:color="000000" w:space="0" w:sz="0" w:val="nil"/>
            </w:tcBorders>
            <w:shd w:fill="fff2cc" w:val="clear"/>
            <w:vAlign w:val="center"/>
          </w:tcPr>
          <w:p w:rsidR="00000000" w:rsidDel="00000000" w:rsidP="00000000" w:rsidRDefault="00000000" w:rsidRPr="00000000" w14:paraId="00000255">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0" w:val="nil"/>
              <w:right w:color="000000" w:space="0" w:sz="0" w:val="nil"/>
            </w:tcBorders>
            <w:shd w:fill="d9e1f2" w:val="clear"/>
            <w:vAlign w:val="center"/>
          </w:tcPr>
          <w:p w:rsidR="00000000" w:rsidDel="00000000" w:rsidP="00000000" w:rsidRDefault="00000000" w:rsidRPr="00000000" w14:paraId="00000256">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0" w:val="nil"/>
              <w:right w:color="000000" w:space="0" w:sz="0" w:val="nil"/>
            </w:tcBorders>
            <w:shd w:fill="d9e1f2" w:val="clear"/>
            <w:vAlign w:val="center"/>
          </w:tcPr>
          <w:p w:rsidR="00000000" w:rsidDel="00000000" w:rsidP="00000000" w:rsidRDefault="00000000" w:rsidRPr="00000000" w14:paraId="00000257">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0" w:val="nil"/>
              <w:right w:color="000000" w:space="0" w:sz="0" w:val="nil"/>
            </w:tcBorders>
            <w:shd w:fill="d9d9d9" w:val="clear"/>
            <w:vAlign w:val="center"/>
          </w:tcPr>
          <w:p w:rsidR="00000000" w:rsidDel="00000000" w:rsidP="00000000" w:rsidRDefault="00000000" w:rsidRPr="00000000" w14:paraId="00000258">
            <w:pPr>
              <w:spacing w:after="0" w:line="240" w:lineRule="auto"/>
              <w:jc w:val="right"/>
              <w:rPr>
                <w:sz w:val="20"/>
                <w:szCs w:val="20"/>
              </w:rPr>
            </w:pPr>
            <w:r w:rsidDel="00000000" w:rsidR="00000000" w:rsidRPr="00000000">
              <w:rPr>
                <w:sz w:val="20"/>
                <w:szCs w:val="20"/>
                <w:rtl w:val="0"/>
              </w:rPr>
              <w:t xml:space="preserve">1</w:t>
            </w:r>
          </w:p>
        </w:tc>
        <w:tc>
          <w:tcPr>
            <w:tcBorders>
              <w:top w:color="000000" w:space="0" w:sz="0" w:val="nil"/>
              <w:left w:color="000000" w:space="0" w:sz="0" w:val="nil"/>
              <w:bottom w:color="000000" w:space="0" w:sz="0" w:val="nil"/>
              <w:right w:color="000000" w:space="0" w:sz="0" w:val="nil"/>
            </w:tcBorders>
            <w:shd w:fill="d9d9d9" w:val="clear"/>
            <w:vAlign w:val="center"/>
          </w:tcPr>
          <w:p w:rsidR="00000000" w:rsidDel="00000000" w:rsidP="00000000" w:rsidRDefault="00000000" w:rsidRPr="00000000" w14:paraId="00000259">
            <w:pPr>
              <w:spacing w:after="0" w:line="240" w:lineRule="auto"/>
              <w:jc w:val="right"/>
              <w:rPr>
                <w:sz w:val="20"/>
                <w:szCs w:val="20"/>
              </w:rPr>
            </w:pPr>
            <w:r w:rsidDel="00000000" w:rsidR="00000000" w:rsidRPr="00000000">
              <w:rPr>
                <w:sz w:val="20"/>
                <w:szCs w:val="20"/>
                <w:rtl w:val="0"/>
              </w:rPr>
              <w:t xml:space="preserve"> </w:t>
            </w:r>
          </w:p>
        </w:tc>
      </w:tr>
      <w:tr>
        <w:trPr>
          <w:cantSplit w:val="0"/>
          <w:trHeight w:val="315" w:hRule="atLeast"/>
          <w:tblHeader w:val="0"/>
        </w:trPr>
        <w:tc>
          <w:tcPr>
            <w:tcBorders>
              <w:top w:color="000000" w:space="0" w:sz="0" w:val="nil"/>
              <w:left w:color="000000" w:space="0" w:sz="0" w:val="nil"/>
              <w:bottom w:color="305496" w:space="0" w:sz="4" w:val="single"/>
              <w:right w:color="000000" w:space="0" w:sz="0" w:val="nil"/>
            </w:tcBorders>
            <w:shd w:fill="auto" w:val="clear"/>
            <w:vAlign w:val="center"/>
          </w:tcPr>
          <w:p w:rsidR="00000000" w:rsidDel="00000000" w:rsidP="00000000" w:rsidRDefault="00000000" w:rsidRPr="00000000" w14:paraId="0000025A">
            <w:pPr>
              <w:spacing w:after="0" w:line="240" w:lineRule="auto"/>
              <w:rPr>
                <w:sz w:val="20"/>
                <w:szCs w:val="20"/>
              </w:rPr>
            </w:pPr>
            <w:r w:rsidDel="00000000" w:rsidR="00000000" w:rsidRPr="00000000">
              <w:rPr>
                <w:sz w:val="20"/>
                <w:szCs w:val="20"/>
                <w:rtl w:val="0"/>
              </w:rPr>
              <w:t xml:space="preserve">Worth Matravers</w:t>
            </w:r>
          </w:p>
        </w:tc>
        <w:tc>
          <w:tcPr>
            <w:tcBorders>
              <w:top w:color="000000" w:space="0" w:sz="0" w:val="nil"/>
              <w:left w:color="000000" w:space="0" w:sz="0" w:val="nil"/>
              <w:bottom w:color="305496" w:space="0" w:sz="4" w:val="single"/>
              <w:right w:color="000000" w:space="0" w:sz="0" w:val="nil"/>
            </w:tcBorders>
            <w:shd w:fill="auto" w:val="clear"/>
            <w:vAlign w:val="center"/>
          </w:tcPr>
          <w:p w:rsidR="00000000" w:rsidDel="00000000" w:rsidP="00000000" w:rsidRDefault="00000000" w:rsidRPr="00000000" w14:paraId="0000025B">
            <w:pPr>
              <w:spacing w:after="0" w:line="240" w:lineRule="auto"/>
              <w:jc w:val="right"/>
              <w:rPr>
                <w:sz w:val="20"/>
                <w:szCs w:val="20"/>
              </w:rPr>
            </w:pPr>
            <w:r w:rsidDel="00000000" w:rsidR="00000000" w:rsidRPr="00000000">
              <w:rPr>
                <w:sz w:val="20"/>
                <w:szCs w:val="20"/>
                <w:rtl w:val="0"/>
              </w:rPr>
              <w:t xml:space="preserve">12</w:t>
            </w:r>
          </w:p>
        </w:tc>
        <w:tc>
          <w:tcPr>
            <w:tcBorders>
              <w:top w:color="000000" w:space="0" w:sz="0" w:val="nil"/>
              <w:left w:color="000000" w:space="0" w:sz="0" w:val="nil"/>
              <w:bottom w:color="305496" w:space="0" w:sz="4" w:val="single"/>
              <w:right w:color="000000" w:space="0" w:sz="0" w:val="nil"/>
            </w:tcBorders>
            <w:shd w:fill="fff2cc" w:val="clear"/>
            <w:vAlign w:val="center"/>
          </w:tcPr>
          <w:p w:rsidR="00000000" w:rsidDel="00000000" w:rsidP="00000000" w:rsidRDefault="00000000" w:rsidRPr="00000000" w14:paraId="0000025C">
            <w:pPr>
              <w:spacing w:after="0" w:line="240" w:lineRule="auto"/>
              <w:jc w:val="right"/>
              <w:rPr>
                <w:sz w:val="20"/>
                <w:szCs w:val="20"/>
              </w:rPr>
            </w:pPr>
            <w:r w:rsidDel="00000000" w:rsidR="00000000" w:rsidRPr="00000000">
              <w:rPr>
                <w:sz w:val="20"/>
                <w:szCs w:val="20"/>
                <w:rtl w:val="0"/>
              </w:rPr>
              <w:t xml:space="preserve">10</w:t>
            </w:r>
          </w:p>
        </w:tc>
        <w:tc>
          <w:tcPr>
            <w:tcBorders>
              <w:top w:color="000000" w:space="0" w:sz="0" w:val="nil"/>
              <w:left w:color="000000" w:space="0" w:sz="0" w:val="nil"/>
              <w:bottom w:color="305496" w:space="0" w:sz="4" w:val="single"/>
              <w:right w:color="000000" w:space="0" w:sz="0" w:val="nil"/>
            </w:tcBorders>
            <w:shd w:fill="fff2cc" w:val="clear"/>
            <w:vAlign w:val="center"/>
          </w:tcPr>
          <w:p w:rsidR="00000000" w:rsidDel="00000000" w:rsidP="00000000" w:rsidRDefault="00000000" w:rsidRPr="00000000" w14:paraId="0000025D">
            <w:pPr>
              <w:spacing w:after="0" w:line="240" w:lineRule="auto"/>
              <w:jc w:val="right"/>
              <w:rPr>
                <w:sz w:val="20"/>
                <w:szCs w:val="20"/>
              </w:rPr>
            </w:pPr>
            <w:r w:rsidDel="00000000" w:rsidR="00000000" w:rsidRPr="00000000">
              <w:rPr>
                <w:sz w:val="20"/>
                <w:szCs w:val="20"/>
                <w:rtl w:val="0"/>
              </w:rPr>
              <w:t xml:space="preserve">83</w:t>
            </w:r>
          </w:p>
        </w:tc>
        <w:tc>
          <w:tcPr>
            <w:tcBorders>
              <w:top w:color="000000" w:space="0" w:sz="0" w:val="nil"/>
              <w:left w:color="000000" w:space="0" w:sz="0" w:val="nil"/>
              <w:bottom w:color="305496" w:space="0" w:sz="4" w:val="single"/>
              <w:right w:color="000000" w:space="0" w:sz="0" w:val="nil"/>
            </w:tcBorders>
            <w:shd w:fill="d9e1f2" w:val="clear"/>
            <w:vAlign w:val="center"/>
          </w:tcPr>
          <w:p w:rsidR="00000000" w:rsidDel="00000000" w:rsidP="00000000" w:rsidRDefault="00000000" w:rsidRPr="00000000" w14:paraId="0000025E">
            <w:pPr>
              <w:spacing w:after="0" w:line="240" w:lineRule="auto"/>
              <w:jc w:val="right"/>
              <w:rPr>
                <w:sz w:val="20"/>
                <w:szCs w:val="20"/>
              </w:rPr>
            </w:pPr>
            <w:r w:rsidDel="00000000" w:rsidR="00000000" w:rsidRPr="00000000">
              <w:rPr>
                <w:sz w:val="20"/>
                <w:szCs w:val="20"/>
                <w:rtl w:val="0"/>
              </w:rPr>
              <w:t xml:space="preserve">2</w:t>
            </w:r>
          </w:p>
        </w:tc>
        <w:tc>
          <w:tcPr>
            <w:tcBorders>
              <w:top w:color="000000" w:space="0" w:sz="0" w:val="nil"/>
              <w:left w:color="000000" w:space="0" w:sz="0" w:val="nil"/>
              <w:bottom w:color="305496" w:space="0" w:sz="4" w:val="single"/>
              <w:right w:color="000000" w:space="0" w:sz="0" w:val="nil"/>
            </w:tcBorders>
            <w:shd w:fill="d9e1f2" w:val="clear"/>
            <w:vAlign w:val="center"/>
          </w:tcPr>
          <w:p w:rsidR="00000000" w:rsidDel="00000000" w:rsidP="00000000" w:rsidRDefault="00000000" w:rsidRPr="00000000" w14:paraId="0000025F">
            <w:pPr>
              <w:spacing w:after="0" w:line="240" w:lineRule="auto"/>
              <w:jc w:val="right"/>
              <w:rPr>
                <w:sz w:val="20"/>
                <w:szCs w:val="20"/>
              </w:rPr>
            </w:pPr>
            <w:r w:rsidDel="00000000" w:rsidR="00000000" w:rsidRPr="00000000">
              <w:rPr>
                <w:sz w:val="20"/>
                <w:szCs w:val="20"/>
                <w:rtl w:val="0"/>
              </w:rPr>
              <w:t xml:space="preserve">17</w:t>
            </w:r>
          </w:p>
        </w:tc>
        <w:tc>
          <w:tcPr>
            <w:tcBorders>
              <w:top w:color="000000" w:space="0" w:sz="0" w:val="nil"/>
              <w:left w:color="000000" w:space="0" w:sz="0" w:val="nil"/>
              <w:bottom w:color="305496" w:space="0" w:sz="4" w:val="single"/>
              <w:right w:color="000000" w:space="0" w:sz="0" w:val="nil"/>
            </w:tcBorders>
            <w:shd w:fill="d9d9d9" w:val="clear"/>
            <w:vAlign w:val="center"/>
          </w:tcPr>
          <w:p w:rsidR="00000000" w:rsidDel="00000000" w:rsidP="00000000" w:rsidRDefault="00000000" w:rsidRPr="00000000" w14:paraId="00000260">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305496" w:space="0" w:sz="4" w:val="single"/>
              <w:right w:color="000000" w:space="0" w:sz="0" w:val="nil"/>
            </w:tcBorders>
            <w:shd w:fill="d9d9d9" w:val="clear"/>
            <w:vAlign w:val="center"/>
          </w:tcPr>
          <w:p w:rsidR="00000000" w:rsidDel="00000000" w:rsidP="00000000" w:rsidRDefault="00000000" w:rsidRPr="00000000" w14:paraId="00000261">
            <w:pPr>
              <w:spacing w:after="0" w:line="240" w:lineRule="auto"/>
              <w:jc w:val="right"/>
              <w:rPr>
                <w:sz w:val="20"/>
                <w:szCs w:val="20"/>
              </w:rPr>
            </w:pPr>
            <w:r w:rsidDel="00000000" w:rsidR="00000000" w:rsidRPr="00000000">
              <w:rPr>
                <w:sz w:val="20"/>
                <w:szCs w:val="20"/>
                <w:rtl w:val="0"/>
              </w:rPr>
              <w:t xml:space="preserve"> </w:t>
            </w:r>
          </w:p>
        </w:tc>
      </w:tr>
      <w:tr>
        <w:trPr>
          <w:cantSplit w:val="0"/>
          <w:trHeight w:val="315" w:hRule="atLeast"/>
          <w:tblHeader w:val="0"/>
        </w:trPr>
        <w:tc>
          <w:tcPr>
            <w:tcBorders>
              <w:top w:color="000000" w:space="0" w:sz="0" w:val="nil"/>
              <w:left w:color="000000" w:space="0" w:sz="0" w:val="nil"/>
              <w:bottom w:color="8ea9db" w:space="0" w:sz="4" w:val="single"/>
              <w:right w:color="000000" w:space="0" w:sz="0" w:val="nil"/>
            </w:tcBorders>
            <w:shd w:fill="ffffff" w:val="clear"/>
            <w:vAlign w:val="center"/>
          </w:tcPr>
          <w:p w:rsidR="00000000" w:rsidDel="00000000" w:rsidP="00000000" w:rsidRDefault="00000000" w:rsidRPr="00000000" w14:paraId="00000262">
            <w:pPr>
              <w:spacing w:after="0" w:line="240" w:lineRule="auto"/>
              <w:jc w:val="center"/>
              <w:rPr>
                <w:b w:val="1"/>
                <w:sz w:val="20"/>
                <w:szCs w:val="20"/>
              </w:rPr>
            </w:pPr>
            <w:r w:rsidDel="00000000" w:rsidR="00000000" w:rsidRPr="00000000">
              <w:rPr>
                <w:b w:val="1"/>
                <w:sz w:val="20"/>
                <w:szCs w:val="20"/>
                <w:rtl w:val="0"/>
              </w:rPr>
              <w:t xml:space="preserve">Viking_Britain/Ireland</w:t>
            </w:r>
          </w:p>
        </w:tc>
        <w:tc>
          <w:tcPr>
            <w:tcBorders>
              <w:top w:color="000000" w:space="0" w:sz="0" w:val="nil"/>
              <w:left w:color="000000" w:space="0" w:sz="0" w:val="nil"/>
              <w:bottom w:color="8ea9db" w:space="0" w:sz="4" w:val="single"/>
              <w:right w:color="000000" w:space="0" w:sz="0" w:val="nil"/>
            </w:tcBorders>
            <w:shd w:fill="ffffff" w:val="clear"/>
            <w:vAlign w:val="center"/>
          </w:tcPr>
          <w:p w:rsidR="00000000" w:rsidDel="00000000" w:rsidP="00000000" w:rsidRDefault="00000000" w:rsidRPr="00000000" w14:paraId="00000263">
            <w:pPr>
              <w:spacing w:after="0" w:line="240" w:lineRule="auto"/>
              <w:jc w:val="right"/>
              <w:rPr>
                <w:b w:val="1"/>
                <w:sz w:val="20"/>
                <w:szCs w:val="20"/>
              </w:rPr>
            </w:pPr>
            <w:r w:rsidDel="00000000" w:rsidR="00000000" w:rsidRPr="00000000">
              <w:rPr>
                <w:b w:val="1"/>
                <w:sz w:val="20"/>
                <w:szCs w:val="20"/>
                <w:rtl w:val="0"/>
              </w:rPr>
              <w:t xml:space="preserve">44</w:t>
            </w:r>
          </w:p>
        </w:tc>
        <w:tc>
          <w:tcPr>
            <w:tcBorders>
              <w:top w:color="000000" w:space="0" w:sz="0" w:val="nil"/>
              <w:left w:color="000000" w:space="0" w:sz="0" w:val="nil"/>
              <w:bottom w:color="8ea9db" w:space="0" w:sz="4" w:val="single"/>
              <w:right w:color="000000" w:space="0" w:sz="0" w:val="nil"/>
            </w:tcBorders>
            <w:shd w:fill="ffffff" w:val="clear"/>
            <w:vAlign w:val="center"/>
          </w:tcPr>
          <w:p w:rsidR="00000000" w:rsidDel="00000000" w:rsidP="00000000" w:rsidRDefault="00000000" w:rsidRPr="00000000" w14:paraId="00000264">
            <w:pPr>
              <w:spacing w:after="0" w:line="240" w:lineRule="auto"/>
              <w:jc w:val="right"/>
              <w:rPr>
                <w:b w:val="1"/>
                <w:sz w:val="20"/>
                <w:szCs w:val="20"/>
              </w:rPr>
            </w:pPr>
            <w:r w:rsidDel="00000000" w:rsidR="00000000" w:rsidRPr="00000000">
              <w:rPr>
                <w:b w:val="1"/>
                <w:sz w:val="20"/>
                <w:szCs w:val="20"/>
                <w:rtl w:val="0"/>
              </w:rPr>
              <w:t xml:space="preserve">8</w:t>
            </w:r>
          </w:p>
        </w:tc>
        <w:tc>
          <w:tcPr>
            <w:tcBorders>
              <w:top w:color="000000" w:space="0" w:sz="0" w:val="nil"/>
              <w:left w:color="000000" w:space="0" w:sz="0" w:val="nil"/>
              <w:bottom w:color="8ea9db" w:space="0" w:sz="4" w:val="single"/>
              <w:right w:color="000000" w:space="0" w:sz="0" w:val="nil"/>
            </w:tcBorders>
            <w:shd w:fill="ffffff" w:val="clear"/>
            <w:vAlign w:val="center"/>
          </w:tcPr>
          <w:p w:rsidR="00000000" w:rsidDel="00000000" w:rsidP="00000000" w:rsidRDefault="00000000" w:rsidRPr="00000000" w14:paraId="00000265">
            <w:pPr>
              <w:spacing w:after="0" w:line="240" w:lineRule="auto"/>
              <w:jc w:val="right"/>
              <w:rPr>
                <w:b w:val="1"/>
                <w:sz w:val="20"/>
                <w:szCs w:val="20"/>
              </w:rPr>
            </w:pPr>
            <w:r w:rsidDel="00000000" w:rsidR="00000000" w:rsidRPr="00000000">
              <w:rPr>
                <w:b w:val="1"/>
                <w:sz w:val="20"/>
                <w:szCs w:val="20"/>
                <w:rtl w:val="0"/>
              </w:rPr>
              <w:t xml:space="preserve">18</w:t>
            </w:r>
          </w:p>
        </w:tc>
        <w:tc>
          <w:tcPr>
            <w:tcBorders>
              <w:top w:color="000000" w:space="0" w:sz="0" w:val="nil"/>
              <w:left w:color="000000" w:space="0" w:sz="0" w:val="nil"/>
              <w:bottom w:color="8ea9db" w:space="0" w:sz="4" w:val="single"/>
              <w:right w:color="000000" w:space="0" w:sz="0" w:val="nil"/>
            </w:tcBorders>
            <w:shd w:fill="ffffff" w:val="clear"/>
            <w:vAlign w:val="center"/>
          </w:tcPr>
          <w:p w:rsidR="00000000" w:rsidDel="00000000" w:rsidP="00000000" w:rsidRDefault="00000000" w:rsidRPr="00000000" w14:paraId="00000266">
            <w:pPr>
              <w:spacing w:after="0" w:line="240" w:lineRule="auto"/>
              <w:jc w:val="right"/>
              <w:rPr>
                <w:b w:val="1"/>
                <w:sz w:val="20"/>
                <w:szCs w:val="20"/>
              </w:rPr>
            </w:pPr>
            <w:r w:rsidDel="00000000" w:rsidR="00000000" w:rsidRPr="00000000">
              <w:rPr>
                <w:b w:val="1"/>
                <w:sz w:val="20"/>
                <w:szCs w:val="20"/>
                <w:rtl w:val="0"/>
              </w:rPr>
              <w:t xml:space="preserve">6</w:t>
            </w:r>
          </w:p>
        </w:tc>
        <w:tc>
          <w:tcPr>
            <w:tcBorders>
              <w:top w:color="000000" w:space="0" w:sz="0" w:val="nil"/>
              <w:left w:color="000000" w:space="0" w:sz="0" w:val="nil"/>
              <w:bottom w:color="8ea9db" w:space="0" w:sz="4" w:val="single"/>
              <w:right w:color="000000" w:space="0" w:sz="0" w:val="nil"/>
            </w:tcBorders>
            <w:shd w:fill="ffffff" w:val="clear"/>
            <w:vAlign w:val="center"/>
          </w:tcPr>
          <w:p w:rsidR="00000000" w:rsidDel="00000000" w:rsidP="00000000" w:rsidRDefault="00000000" w:rsidRPr="00000000" w14:paraId="00000267">
            <w:pPr>
              <w:spacing w:after="0" w:line="240" w:lineRule="auto"/>
              <w:jc w:val="right"/>
              <w:rPr>
                <w:b w:val="1"/>
                <w:sz w:val="20"/>
                <w:szCs w:val="20"/>
              </w:rPr>
            </w:pPr>
            <w:r w:rsidDel="00000000" w:rsidR="00000000" w:rsidRPr="00000000">
              <w:rPr>
                <w:b w:val="1"/>
                <w:sz w:val="20"/>
                <w:szCs w:val="20"/>
                <w:rtl w:val="0"/>
              </w:rPr>
              <w:t xml:space="preserve">14</w:t>
            </w:r>
          </w:p>
        </w:tc>
        <w:tc>
          <w:tcPr>
            <w:tcBorders>
              <w:top w:color="000000" w:space="0" w:sz="0" w:val="nil"/>
              <w:left w:color="000000" w:space="0" w:sz="0" w:val="nil"/>
              <w:bottom w:color="8ea9db" w:space="0" w:sz="4" w:val="single"/>
              <w:right w:color="000000" w:space="0" w:sz="0" w:val="nil"/>
            </w:tcBorders>
            <w:shd w:fill="ffffff" w:val="clear"/>
            <w:vAlign w:val="center"/>
          </w:tcPr>
          <w:p w:rsidR="00000000" w:rsidDel="00000000" w:rsidP="00000000" w:rsidRDefault="00000000" w:rsidRPr="00000000" w14:paraId="00000268">
            <w:pPr>
              <w:spacing w:after="0" w:line="240" w:lineRule="auto"/>
              <w:jc w:val="right"/>
              <w:rPr>
                <w:b w:val="1"/>
                <w:sz w:val="20"/>
                <w:szCs w:val="20"/>
              </w:rPr>
            </w:pPr>
            <w:r w:rsidDel="00000000" w:rsidR="00000000" w:rsidRPr="00000000">
              <w:rPr>
                <w:b w:val="1"/>
                <w:sz w:val="20"/>
                <w:szCs w:val="20"/>
                <w:rtl w:val="0"/>
              </w:rPr>
              <w:t xml:space="preserve">30</w:t>
            </w:r>
          </w:p>
        </w:tc>
        <w:tc>
          <w:tcPr>
            <w:tcBorders>
              <w:top w:color="000000" w:space="0" w:sz="0" w:val="nil"/>
              <w:left w:color="000000" w:space="0" w:sz="0" w:val="nil"/>
              <w:bottom w:color="8ea9db" w:space="0" w:sz="4" w:val="single"/>
              <w:right w:color="000000" w:space="0" w:sz="0" w:val="nil"/>
            </w:tcBorders>
            <w:shd w:fill="ffffff" w:val="clear"/>
            <w:vAlign w:val="center"/>
          </w:tcPr>
          <w:p w:rsidR="00000000" w:rsidDel="00000000" w:rsidP="00000000" w:rsidRDefault="00000000" w:rsidRPr="00000000" w14:paraId="00000269">
            <w:pPr>
              <w:spacing w:after="0" w:line="240" w:lineRule="auto"/>
              <w:jc w:val="right"/>
              <w:rPr>
                <w:b w:val="1"/>
                <w:sz w:val="20"/>
                <w:szCs w:val="20"/>
              </w:rPr>
            </w:pPr>
            <w:r w:rsidDel="00000000" w:rsidR="00000000" w:rsidRPr="00000000">
              <w:rPr>
                <w:b w:val="1"/>
                <w:sz w:val="20"/>
                <w:szCs w:val="20"/>
                <w:rtl w:val="0"/>
              </w:rPr>
              <w:t xml:space="preserve">68</w:t>
            </w:r>
          </w:p>
        </w:tc>
      </w:tr>
      <w:tr>
        <w:trPr>
          <w:cantSplit w:val="0"/>
          <w:trHeight w:val="315" w:hRule="atLeast"/>
          <w:tblHeader w:val="0"/>
        </w:trPr>
        <w:tc>
          <w:tcPr>
            <w:tcBorders>
              <w:top w:color="000000" w:space="0" w:sz="0" w:val="nil"/>
              <w:left w:color="000000" w:space="0" w:sz="0" w:val="nil"/>
              <w:bottom w:color="8ea9db" w:space="0" w:sz="4" w:val="single"/>
              <w:right w:color="000000" w:space="0" w:sz="0" w:val="nil"/>
            </w:tcBorders>
            <w:shd w:fill="f2f2f2" w:val="clear"/>
            <w:vAlign w:val="center"/>
          </w:tcPr>
          <w:p w:rsidR="00000000" w:rsidDel="00000000" w:rsidP="00000000" w:rsidRDefault="00000000" w:rsidRPr="00000000" w14:paraId="0000026A">
            <w:pPr>
              <w:spacing w:after="0" w:line="240" w:lineRule="auto"/>
              <w:rPr>
                <w:b w:val="1"/>
                <w:sz w:val="20"/>
                <w:szCs w:val="20"/>
              </w:rPr>
            </w:pPr>
            <w:r w:rsidDel="00000000" w:rsidR="00000000" w:rsidRPr="00000000">
              <w:rPr>
                <w:b w:val="1"/>
                <w:sz w:val="20"/>
                <w:szCs w:val="20"/>
                <w:rtl w:val="0"/>
              </w:rPr>
              <w:t xml:space="preserve">England</w:t>
            </w:r>
          </w:p>
        </w:tc>
        <w:tc>
          <w:tcPr>
            <w:tcBorders>
              <w:top w:color="000000" w:space="0" w:sz="0" w:val="nil"/>
              <w:left w:color="000000" w:space="0" w:sz="0" w:val="nil"/>
              <w:bottom w:color="8ea9db" w:space="0" w:sz="4" w:val="single"/>
              <w:right w:color="000000" w:space="0" w:sz="0" w:val="nil"/>
            </w:tcBorders>
            <w:shd w:fill="f2f2f2" w:val="clear"/>
            <w:vAlign w:val="center"/>
          </w:tcPr>
          <w:p w:rsidR="00000000" w:rsidDel="00000000" w:rsidP="00000000" w:rsidRDefault="00000000" w:rsidRPr="00000000" w14:paraId="0000026B">
            <w:pPr>
              <w:spacing w:after="0" w:line="240" w:lineRule="auto"/>
              <w:jc w:val="right"/>
              <w:rPr>
                <w:b w:val="1"/>
                <w:sz w:val="20"/>
                <w:szCs w:val="20"/>
              </w:rPr>
            </w:pPr>
            <w:r w:rsidDel="00000000" w:rsidR="00000000" w:rsidRPr="00000000">
              <w:rPr>
                <w:b w:val="1"/>
                <w:sz w:val="20"/>
                <w:szCs w:val="20"/>
                <w:rtl w:val="0"/>
              </w:rPr>
              <w:t xml:space="preserve">31</w:t>
            </w:r>
          </w:p>
        </w:tc>
        <w:tc>
          <w:tcPr>
            <w:tcBorders>
              <w:top w:color="000000" w:space="0" w:sz="0" w:val="nil"/>
              <w:left w:color="000000" w:space="0" w:sz="0" w:val="nil"/>
              <w:bottom w:color="8ea9db" w:space="0" w:sz="4" w:val="single"/>
              <w:right w:color="000000" w:space="0" w:sz="0" w:val="nil"/>
            </w:tcBorders>
            <w:shd w:fill="f2f2f2" w:val="clear"/>
            <w:vAlign w:val="center"/>
          </w:tcPr>
          <w:p w:rsidR="00000000" w:rsidDel="00000000" w:rsidP="00000000" w:rsidRDefault="00000000" w:rsidRPr="00000000" w14:paraId="0000026C">
            <w:pPr>
              <w:spacing w:after="0" w:line="240" w:lineRule="auto"/>
              <w:jc w:val="right"/>
              <w:rPr>
                <w:b w:val="1"/>
                <w:sz w:val="20"/>
                <w:szCs w:val="20"/>
              </w:rPr>
            </w:pPr>
            <w:r w:rsidDel="00000000" w:rsidR="00000000" w:rsidRPr="00000000">
              <w:rPr>
                <w:b w:val="1"/>
                <w:sz w:val="20"/>
                <w:szCs w:val="20"/>
                <w:rtl w:val="0"/>
              </w:rPr>
              <w:t xml:space="preserve">5</w:t>
            </w:r>
          </w:p>
        </w:tc>
        <w:tc>
          <w:tcPr>
            <w:tcBorders>
              <w:top w:color="000000" w:space="0" w:sz="0" w:val="nil"/>
              <w:left w:color="000000" w:space="0" w:sz="0" w:val="nil"/>
              <w:bottom w:color="8ea9db" w:space="0" w:sz="4" w:val="single"/>
              <w:right w:color="000000" w:space="0" w:sz="0" w:val="nil"/>
            </w:tcBorders>
            <w:shd w:fill="f2f2f2" w:val="clear"/>
            <w:vAlign w:val="center"/>
          </w:tcPr>
          <w:p w:rsidR="00000000" w:rsidDel="00000000" w:rsidP="00000000" w:rsidRDefault="00000000" w:rsidRPr="00000000" w14:paraId="0000026D">
            <w:pPr>
              <w:spacing w:after="0" w:line="240" w:lineRule="auto"/>
              <w:jc w:val="right"/>
              <w:rPr>
                <w:b w:val="1"/>
                <w:sz w:val="20"/>
                <w:szCs w:val="20"/>
              </w:rPr>
            </w:pPr>
            <w:r w:rsidDel="00000000" w:rsidR="00000000" w:rsidRPr="00000000">
              <w:rPr>
                <w:b w:val="1"/>
                <w:sz w:val="20"/>
                <w:szCs w:val="20"/>
                <w:rtl w:val="0"/>
              </w:rPr>
              <w:t xml:space="preserve">16</w:t>
            </w:r>
          </w:p>
        </w:tc>
        <w:tc>
          <w:tcPr>
            <w:tcBorders>
              <w:top w:color="000000" w:space="0" w:sz="0" w:val="nil"/>
              <w:left w:color="000000" w:space="0" w:sz="0" w:val="nil"/>
              <w:bottom w:color="8ea9db" w:space="0" w:sz="4" w:val="single"/>
              <w:right w:color="000000" w:space="0" w:sz="0" w:val="nil"/>
            </w:tcBorders>
            <w:shd w:fill="f2f2f2" w:val="clear"/>
            <w:vAlign w:val="center"/>
          </w:tcPr>
          <w:p w:rsidR="00000000" w:rsidDel="00000000" w:rsidP="00000000" w:rsidRDefault="00000000" w:rsidRPr="00000000" w14:paraId="0000026E">
            <w:pPr>
              <w:spacing w:after="0" w:line="240" w:lineRule="auto"/>
              <w:jc w:val="right"/>
              <w:rPr>
                <w:b w:val="1"/>
                <w:sz w:val="20"/>
                <w:szCs w:val="20"/>
              </w:rPr>
            </w:pPr>
            <w:r w:rsidDel="00000000" w:rsidR="00000000" w:rsidRPr="00000000">
              <w:rPr>
                <w:b w:val="1"/>
                <w:sz w:val="20"/>
                <w:szCs w:val="20"/>
                <w:rtl w:val="0"/>
              </w:rPr>
              <w:t xml:space="preserve">4</w:t>
            </w:r>
          </w:p>
        </w:tc>
        <w:tc>
          <w:tcPr>
            <w:tcBorders>
              <w:top w:color="000000" w:space="0" w:sz="0" w:val="nil"/>
              <w:left w:color="000000" w:space="0" w:sz="0" w:val="nil"/>
              <w:bottom w:color="8ea9db" w:space="0" w:sz="4" w:val="single"/>
              <w:right w:color="000000" w:space="0" w:sz="0" w:val="nil"/>
            </w:tcBorders>
            <w:shd w:fill="f2f2f2" w:val="clear"/>
            <w:vAlign w:val="center"/>
          </w:tcPr>
          <w:p w:rsidR="00000000" w:rsidDel="00000000" w:rsidP="00000000" w:rsidRDefault="00000000" w:rsidRPr="00000000" w14:paraId="0000026F">
            <w:pPr>
              <w:spacing w:after="0" w:line="240" w:lineRule="auto"/>
              <w:jc w:val="right"/>
              <w:rPr>
                <w:b w:val="1"/>
                <w:sz w:val="20"/>
                <w:szCs w:val="20"/>
              </w:rPr>
            </w:pPr>
            <w:r w:rsidDel="00000000" w:rsidR="00000000" w:rsidRPr="00000000">
              <w:rPr>
                <w:b w:val="1"/>
                <w:sz w:val="20"/>
                <w:szCs w:val="20"/>
                <w:rtl w:val="0"/>
              </w:rPr>
              <w:t xml:space="preserve">13</w:t>
            </w:r>
          </w:p>
        </w:tc>
        <w:tc>
          <w:tcPr>
            <w:tcBorders>
              <w:top w:color="000000" w:space="0" w:sz="0" w:val="nil"/>
              <w:left w:color="000000" w:space="0" w:sz="0" w:val="nil"/>
              <w:bottom w:color="8ea9db" w:space="0" w:sz="4" w:val="single"/>
              <w:right w:color="000000" w:space="0" w:sz="0" w:val="nil"/>
            </w:tcBorders>
            <w:shd w:fill="f2f2f2" w:val="clear"/>
            <w:vAlign w:val="center"/>
          </w:tcPr>
          <w:p w:rsidR="00000000" w:rsidDel="00000000" w:rsidP="00000000" w:rsidRDefault="00000000" w:rsidRPr="00000000" w14:paraId="00000270">
            <w:pPr>
              <w:spacing w:after="0" w:line="240" w:lineRule="auto"/>
              <w:jc w:val="right"/>
              <w:rPr>
                <w:b w:val="1"/>
                <w:sz w:val="20"/>
                <w:szCs w:val="20"/>
              </w:rPr>
            </w:pPr>
            <w:r w:rsidDel="00000000" w:rsidR="00000000" w:rsidRPr="00000000">
              <w:rPr>
                <w:b w:val="1"/>
                <w:sz w:val="20"/>
                <w:szCs w:val="20"/>
                <w:rtl w:val="0"/>
              </w:rPr>
              <w:t xml:space="preserve">22</w:t>
            </w:r>
          </w:p>
        </w:tc>
        <w:tc>
          <w:tcPr>
            <w:tcBorders>
              <w:top w:color="000000" w:space="0" w:sz="0" w:val="nil"/>
              <w:left w:color="000000" w:space="0" w:sz="0" w:val="nil"/>
              <w:bottom w:color="8ea9db" w:space="0" w:sz="4" w:val="single"/>
              <w:right w:color="000000" w:space="0" w:sz="0" w:val="nil"/>
            </w:tcBorders>
            <w:shd w:fill="f2f2f2" w:val="clear"/>
            <w:vAlign w:val="center"/>
          </w:tcPr>
          <w:p w:rsidR="00000000" w:rsidDel="00000000" w:rsidP="00000000" w:rsidRDefault="00000000" w:rsidRPr="00000000" w14:paraId="00000271">
            <w:pPr>
              <w:spacing w:after="0" w:line="240" w:lineRule="auto"/>
              <w:jc w:val="right"/>
              <w:rPr>
                <w:b w:val="1"/>
                <w:sz w:val="20"/>
                <w:szCs w:val="20"/>
              </w:rPr>
            </w:pPr>
            <w:r w:rsidDel="00000000" w:rsidR="00000000" w:rsidRPr="00000000">
              <w:rPr>
                <w:b w:val="1"/>
                <w:sz w:val="20"/>
                <w:szCs w:val="20"/>
                <w:rtl w:val="0"/>
              </w:rPr>
              <w:t xml:space="preserve">71</w:t>
            </w:r>
          </w:p>
        </w:tc>
      </w:tr>
      <w:tr>
        <w:trPr>
          <w:cantSplit w:val="0"/>
          <w:trHeight w:val="315" w:hRule="atLeast"/>
          <w:tblHeader w:val="0"/>
        </w:trPr>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272">
            <w:pPr>
              <w:spacing w:after="0" w:line="240" w:lineRule="auto"/>
              <w:rPr>
                <w:b w:val="1"/>
                <w:sz w:val="20"/>
                <w:szCs w:val="20"/>
              </w:rPr>
            </w:pPr>
            <w:r w:rsidDel="00000000" w:rsidR="00000000" w:rsidRPr="00000000">
              <w:rPr>
                <w:b w:val="1"/>
                <w:sz w:val="20"/>
                <w:szCs w:val="20"/>
                <w:rtl w:val="0"/>
              </w:rPr>
              <w:t xml:space="preserve">England Southeast</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273">
            <w:pPr>
              <w:spacing w:after="0" w:line="240" w:lineRule="auto"/>
              <w:jc w:val="right"/>
              <w:rPr>
                <w:b w:val="1"/>
                <w:sz w:val="20"/>
                <w:szCs w:val="20"/>
              </w:rPr>
            </w:pPr>
            <w:r w:rsidDel="00000000" w:rsidR="00000000" w:rsidRPr="00000000">
              <w:rPr>
                <w:b w:val="1"/>
                <w:sz w:val="20"/>
                <w:szCs w:val="20"/>
                <w:rtl w:val="0"/>
              </w:rPr>
              <w:t xml:space="preserve">21</w:t>
            </w:r>
          </w:p>
        </w:tc>
        <w:tc>
          <w:tcPr>
            <w:tcBorders>
              <w:top w:color="000000" w:space="0" w:sz="0" w:val="nil"/>
              <w:left w:color="000000" w:space="0" w:sz="0" w:val="nil"/>
              <w:bottom w:color="000000" w:space="0" w:sz="4" w:val="single"/>
              <w:right w:color="000000" w:space="0" w:sz="0" w:val="nil"/>
            </w:tcBorders>
            <w:shd w:fill="fff2cc" w:val="clear"/>
            <w:vAlign w:val="center"/>
          </w:tcPr>
          <w:p w:rsidR="00000000" w:rsidDel="00000000" w:rsidP="00000000" w:rsidRDefault="00000000" w:rsidRPr="00000000" w14:paraId="00000274">
            <w:pPr>
              <w:spacing w:after="0" w:line="240" w:lineRule="auto"/>
              <w:jc w:val="right"/>
              <w:rPr>
                <w:b w:val="1"/>
                <w:sz w:val="20"/>
                <w:szCs w:val="20"/>
              </w:rPr>
            </w:pPr>
            <w:r w:rsidDel="00000000" w:rsidR="00000000" w:rsidRPr="00000000">
              <w:rPr>
                <w:b w:val="1"/>
                <w:sz w:val="20"/>
                <w:szCs w:val="20"/>
                <w:rtl w:val="0"/>
              </w:rPr>
              <w:t xml:space="preserve">3</w:t>
            </w:r>
          </w:p>
        </w:tc>
        <w:tc>
          <w:tcPr>
            <w:tcBorders>
              <w:top w:color="000000" w:space="0" w:sz="0" w:val="nil"/>
              <w:left w:color="000000" w:space="0" w:sz="0" w:val="nil"/>
              <w:bottom w:color="000000" w:space="0" w:sz="4" w:val="single"/>
              <w:right w:color="000000" w:space="0" w:sz="0" w:val="nil"/>
            </w:tcBorders>
            <w:shd w:fill="fff2cc" w:val="clear"/>
            <w:vAlign w:val="center"/>
          </w:tcPr>
          <w:p w:rsidR="00000000" w:rsidDel="00000000" w:rsidP="00000000" w:rsidRDefault="00000000" w:rsidRPr="00000000" w14:paraId="00000275">
            <w:pPr>
              <w:spacing w:after="0" w:line="240" w:lineRule="auto"/>
              <w:jc w:val="right"/>
              <w:rPr>
                <w:b w:val="1"/>
                <w:sz w:val="20"/>
                <w:szCs w:val="20"/>
              </w:rPr>
            </w:pPr>
            <w:r w:rsidDel="00000000" w:rsidR="00000000" w:rsidRPr="00000000">
              <w:rPr>
                <w:b w:val="1"/>
                <w:sz w:val="20"/>
                <w:szCs w:val="20"/>
                <w:rtl w:val="0"/>
              </w:rPr>
              <w:t xml:space="preserve">14</w:t>
            </w:r>
          </w:p>
        </w:tc>
        <w:tc>
          <w:tcPr>
            <w:tcBorders>
              <w:top w:color="000000" w:space="0" w:sz="0" w:val="nil"/>
              <w:left w:color="000000" w:space="0" w:sz="0" w:val="nil"/>
              <w:bottom w:color="000000" w:space="0" w:sz="4" w:val="single"/>
              <w:right w:color="000000" w:space="0" w:sz="0" w:val="nil"/>
            </w:tcBorders>
            <w:shd w:fill="d9e1f2" w:val="clear"/>
            <w:vAlign w:val="center"/>
          </w:tcPr>
          <w:p w:rsidR="00000000" w:rsidDel="00000000" w:rsidP="00000000" w:rsidRDefault="00000000" w:rsidRPr="00000000" w14:paraId="00000276">
            <w:pPr>
              <w:spacing w:after="0" w:line="240" w:lineRule="auto"/>
              <w:jc w:val="right"/>
              <w:rPr>
                <w:b w:val="1"/>
                <w:sz w:val="20"/>
                <w:szCs w:val="20"/>
              </w:rPr>
            </w:pPr>
            <w:r w:rsidDel="00000000" w:rsidR="00000000" w:rsidRPr="00000000">
              <w:rPr>
                <w:b w:val="1"/>
                <w:sz w:val="20"/>
                <w:szCs w:val="20"/>
                <w:rtl w:val="0"/>
              </w:rPr>
              <w:t xml:space="preserve">2</w:t>
            </w:r>
          </w:p>
        </w:tc>
        <w:tc>
          <w:tcPr>
            <w:tcBorders>
              <w:top w:color="000000" w:space="0" w:sz="0" w:val="nil"/>
              <w:left w:color="000000" w:space="0" w:sz="0" w:val="nil"/>
              <w:bottom w:color="000000" w:space="0" w:sz="4" w:val="single"/>
              <w:right w:color="000000" w:space="0" w:sz="0" w:val="nil"/>
            </w:tcBorders>
            <w:shd w:fill="d9e1f2" w:val="clear"/>
            <w:vAlign w:val="center"/>
          </w:tcPr>
          <w:p w:rsidR="00000000" w:rsidDel="00000000" w:rsidP="00000000" w:rsidRDefault="00000000" w:rsidRPr="00000000" w14:paraId="00000277">
            <w:pPr>
              <w:spacing w:after="0" w:line="240" w:lineRule="auto"/>
              <w:jc w:val="right"/>
              <w:rPr>
                <w:b w:val="1"/>
                <w:sz w:val="20"/>
                <w:szCs w:val="20"/>
              </w:rPr>
            </w:pPr>
            <w:r w:rsidDel="00000000" w:rsidR="00000000" w:rsidRPr="00000000">
              <w:rPr>
                <w:b w:val="1"/>
                <w:sz w:val="20"/>
                <w:szCs w:val="20"/>
                <w:rtl w:val="0"/>
              </w:rPr>
              <w:t xml:space="preserve">10</w:t>
            </w:r>
          </w:p>
        </w:tc>
        <w:tc>
          <w:tcPr>
            <w:tcBorders>
              <w:top w:color="000000" w:space="0" w:sz="0" w:val="nil"/>
              <w:left w:color="000000" w:space="0" w:sz="0" w:val="nil"/>
              <w:bottom w:color="000000" w:space="0" w:sz="4" w:val="single"/>
              <w:right w:color="000000" w:space="0" w:sz="0" w:val="nil"/>
            </w:tcBorders>
            <w:shd w:fill="d9d9d9" w:val="clear"/>
            <w:vAlign w:val="center"/>
          </w:tcPr>
          <w:p w:rsidR="00000000" w:rsidDel="00000000" w:rsidP="00000000" w:rsidRDefault="00000000" w:rsidRPr="00000000" w14:paraId="00000278">
            <w:pPr>
              <w:spacing w:after="0" w:line="240" w:lineRule="auto"/>
              <w:jc w:val="right"/>
              <w:rPr>
                <w:b w:val="1"/>
                <w:sz w:val="20"/>
                <w:szCs w:val="20"/>
              </w:rPr>
            </w:pPr>
            <w:r w:rsidDel="00000000" w:rsidR="00000000" w:rsidRPr="00000000">
              <w:rPr>
                <w:b w:val="1"/>
                <w:sz w:val="20"/>
                <w:szCs w:val="20"/>
                <w:rtl w:val="0"/>
              </w:rPr>
              <w:t xml:space="preserve">16</w:t>
            </w:r>
          </w:p>
        </w:tc>
        <w:tc>
          <w:tcPr>
            <w:tcBorders>
              <w:top w:color="000000" w:space="0" w:sz="0" w:val="nil"/>
              <w:left w:color="000000" w:space="0" w:sz="0" w:val="nil"/>
              <w:bottom w:color="000000" w:space="0" w:sz="4" w:val="single"/>
              <w:right w:color="000000" w:space="0" w:sz="0" w:val="nil"/>
            </w:tcBorders>
            <w:shd w:fill="d9d9d9" w:val="clear"/>
            <w:vAlign w:val="center"/>
          </w:tcPr>
          <w:p w:rsidR="00000000" w:rsidDel="00000000" w:rsidP="00000000" w:rsidRDefault="00000000" w:rsidRPr="00000000" w14:paraId="00000279">
            <w:pPr>
              <w:spacing w:after="0" w:line="240" w:lineRule="auto"/>
              <w:jc w:val="right"/>
              <w:rPr>
                <w:b w:val="1"/>
                <w:sz w:val="20"/>
                <w:szCs w:val="20"/>
              </w:rPr>
            </w:pPr>
            <w:r w:rsidDel="00000000" w:rsidR="00000000" w:rsidRPr="00000000">
              <w:rPr>
                <w:b w:val="1"/>
                <w:sz w:val="20"/>
                <w:szCs w:val="20"/>
                <w:rtl w:val="0"/>
              </w:rPr>
              <w:t xml:space="preserve">76</w:t>
            </w:r>
          </w:p>
        </w:tc>
      </w:tr>
      <w:tr>
        <w:trPr>
          <w:cantSplit w:val="0"/>
          <w:trHeight w:val="31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27A">
            <w:pPr>
              <w:spacing w:after="0" w:line="240" w:lineRule="auto"/>
              <w:rPr>
                <w:sz w:val="20"/>
                <w:szCs w:val="20"/>
              </w:rPr>
            </w:pPr>
            <w:r w:rsidDel="00000000" w:rsidR="00000000" w:rsidRPr="00000000">
              <w:rPr>
                <w:sz w:val="20"/>
                <w:szCs w:val="20"/>
                <w:rtl w:val="0"/>
              </w:rPr>
              <w:t xml:space="preserve">England, Oxford, St John's College Oxford</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27B">
            <w:pPr>
              <w:spacing w:after="0" w:line="240" w:lineRule="auto"/>
              <w:jc w:val="right"/>
              <w:rPr>
                <w:sz w:val="20"/>
                <w:szCs w:val="20"/>
              </w:rPr>
            </w:pPr>
            <w:r w:rsidDel="00000000" w:rsidR="00000000" w:rsidRPr="00000000">
              <w:rPr>
                <w:sz w:val="20"/>
                <w:szCs w:val="20"/>
                <w:rtl w:val="0"/>
              </w:rPr>
              <w:t xml:space="preserve">21</w:t>
            </w:r>
          </w:p>
        </w:tc>
        <w:tc>
          <w:tcPr>
            <w:tcBorders>
              <w:top w:color="000000" w:space="0" w:sz="0" w:val="nil"/>
              <w:left w:color="000000" w:space="0" w:sz="0" w:val="nil"/>
              <w:bottom w:color="000000" w:space="0" w:sz="0" w:val="nil"/>
              <w:right w:color="000000" w:space="0" w:sz="0" w:val="nil"/>
            </w:tcBorders>
            <w:shd w:fill="fff2cc" w:val="clear"/>
            <w:vAlign w:val="center"/>
          </w:tcPr>
          <w:p w:rsidR="00000000" w:rsidDel="00000000" w:rsidP="00000000" w:rsidRDefault="00000000" w:rsidRPr="00000000" w14:paraId="0000027C">
            <w:pPr>
              <w:spacing w:after="0" w:line="240" w:lineRule="auto"/>
              <w:jc w:val="right"/>
              <w:rPr>
                <w:sz w:val="20"/>
                <w:szCs w:val="20"/>
              </w:rPr>
            </w:pPr>
            <w:r w:rsidDel="00000000" w:rsidR="00000000" w:rsidRPr="00000000">
              <w:rPr>
                <w:sz w:val="20"/>
                <w:szCs w:val="20"/>
                <w:rtl w:val="0"/>
              </w:rPr>
              <w:t xml:space="preserve">3</w:t>
            </w:r>
          </w:p>
        </w:tc>
        <w:tc>
          <w:tcPr>
            <w:tcBorders>
              <w:top w:color="000000" w:space="0" w:sz="0" w:val="nil"/>
              <w:left w:color="000000" w:space="0" w:sz="0" w:val="nil"/>
              <w:bottom w:color="000000" w:space="0" w:sz="0" w:val="nil"/>
              <w:right w:color="000000" w:space="0" w:sz="0" w:val="nil"/>
            </w:tcBorders>
            <w:shd w:fill="fff2cc" w:val="clear"/>
            <w:vAlign w:val="center"/>
          </w:tcPr>
          <w:p w:rsidR="00000000" w:rsidDel="00000000" w:rsidP="00000000" w:rsidRDefault="00000000" w:rsidRPr="00000000" w14:paraId="0000027D">
            <w:pPr>
              <w:spacing w:after="0" w:line="240" w:lineRule="auto"/>
              <w:jc w:val="right"/>
              <w:rPr>
                <w:sz w:val="20"/>
                <w:szCs w:val="20"/>
              </w:rPr>
            </w:pPr>
            <w:r w:rsidDel="00000000" w:rsidR="00000000" w:rsidRPr="00000000">
              <w:rPr>
                <w:sz w:val="20"/>
                <w:szCs w:val="20"/>
                <w:rtl w:val="0"/>
              </w:rPr>
              <w:t xml:space="preserve">14</w:t>
            </w:r>
          </w:p>
        </w:tc>
        <w:tc>
          <w:tcPr>
            <w:tcBorders>
              <w:top w:color="000000" w:space="0" w:sz="0" w:val="nil"/>
              <w:left w:color="000000" w:space="0" w:sz="0" w:val="nil"/>
              <w:bottom w:color="000000" w:space="0" w:sz="0" w:val="nil"/>
              <w:right w:color="000000" w:space="0" w:sz="0" w:val="nil"/>
            </w:tcBorders>
            <w:shd w:fill="d9e1f2" w:val="clear"/>
            <w:vAlign w:val="center"/>
          </w:tcPr>
          <w:p w:rsidR="00000000" w:rsidDel="00000000" w:rsidP="00000000" w:rsidRDefault="00000000" w:rsidRPr="00000000" w14:paraId="0000027E">
            <w:pPr>
              <w:spacing w:after="0" w:line="240" w:lineRule="auto"/>
              <w:jc w:val="right"/>
              <w:rPr>
                <w:sz w:val="20"/>
                <w:szCs w:val="20"/>
              </w:rPr>
            </w:pPr>
            <w:r w:rsidDel="00000000" w:rsidR="00000000" w:rsidRPr="00000000">
              <w:rPr>
                <w:sz w:val="20"/>
                <w:szCs w:val="20"/>
                <w:rtl w:val="0"/>
              </w:rPr>
              <w:t xml:space="preserve">2</w:t>
            </w:r>
          </w:p>
        </w:tc>
        <w:tc>
          <w:tcPr>
            <w:tcBorders>
              <w:top w:color="000000" w:space="0" w:sz="0" w:val="nil"/>
              <w:left w:color="000000" w:space="0" w:sz="0" w:val="nil"/>
              <w:bottom w:color="000000" w:space="0" w:sz="0" w:val="nil"/>
              <w:right w:color="000000" w:space="0" w:sz="0" w:val="nil"/>
            </w:tcBorders>
            <w:shd w:fill="d9e1f2" w:val="clear"/>
            <w:vAlign w:val="center"/>
          </w:tcPr>
          <w:p w:rsidR="00000000" w:rsidDel="00000000" w:rsidP="00000000" w:rsidRDefault="00000000" w:rsidRPr="00000000" w14:paraId="0000027F">
            <w:pPr>
              <w:spacing w:after="0" w:line="240" w:lineRule="auto"/>
              <w:jc w:val="right"/>
              <w:rPr>
                <w:sz w:val="20"/>
                <w:szCs w:val="20"/>
              </w:rPr>
            </w:pPr>
            <w:r w:rsidDel="00000000" w:rsidR="00000000" w:rsidRPr="00000000">
              <w:rPr>
                <w:sz w:val="20"/>
                <w:szCs w:val="20"/>
                <w:rtl w:val="0"/>
              </w:rPr>
              <w:t xml:space="preserve">10</w:t>
            </w:r>
          </w:p>
        </w:tc>
        <w:tc>
          <w:tcPr>
            <w:tcBorders>
              <w:top w:color="000000" w:space="0" w:sz="0" w:val="nil"/>
              <w:left w:color="000000" w:space="0" w:sz="0" w:val="nil"/>
              <w:bottom w:color="000000" w:space="0" w:sz="0" w:val="nil"/>
              <w:right w:color="000000" w:space="0" w:sz="0" w:val="nil"/>
            </w:tcBorders>
            <w:shd w:fill="d9d9d9" w:val="clear"/>
            <w:vAlign w:val="center"/>
          </w:tcPr>
          <w:p w:rsidR="00000000" w:rsidDel="00000000" w:rsidP="00000000" w:rsidRDefault="00000000" w:rsidRPr="00000000" w14:paraId="00000280">
            <w:pPr>
              <w:spacing w:after="0" w:line="240" w:lineRule="auto"/>
              <w:jc w:val="right"/>
              <w:rPr>
                <w:sz w:val="20"/>
                <w:szCs w:val="20"/>
              </w:rPr>
            </w:pPr>
            <w:r w:rsidDel="00000000" w:rsidR="00000000" w:rsidRPr="00000000">
              <w:rPr>
                <w:sz w:val="20"/>
                <w:szCs w:val="20"/>
                <w:rtl w:val="0"/>
              </w:rPr>
              <w:t xml:space="preserve">16</w:t>
            </w:r>
          </w:p>
        </w:tc>
        <w:tc>
          <w:tcPr>
            <w:tcBorders>
              <w:top w:color="000000" w:space="0" w:sz="0" w:val="nil"/>
              <w:left w:color="000000" w:space="0" w:sz="0" w:val="nil"/>
              <w:bottom w:color="000000" w:space="0" w:sz="0" w:val="nil"/>
              <w:right w:color="000000" w:space="0" w:sz="0" w:val="nil"/>
            </w:tcBorders>
            <w:shd w:fill="d9d9d9" w:val="clear"/>
            <w:vAlign w:val="center"/>
          </w:tcPr>
          <w:p w:rsidR="00000000" w:rsidDel="00000000" w:rsidP="00000000" w:rsidRDefault="00000000" w:rsidRPr="00000000" w14:paraId="00000281">
            <w:pPr>
              <w:spacing w:after="0" w:line="240" w:lineRule="auto"/>
              <w:jc w:val="right"/>
              <w:rPr>
                <w:sz w:val="20"/>
                <w:szCs w:val="20"/>
              </w:rPr>
            </w:pPr>
            <w:r w:rsidDel="00000000" w:rsidR="00000000" w:rsidRPr="00000000">
              <w:rPr>
                <w:sz w:val="20"/>
                <w:szCs w:val="20"/>
                <w:rtl w:val="0"/>
              </w:rPr>
              <w:t xml:space="preserve">76</w:t>
            </w:r>
          </w:p>
        </w:tc>
      </w:tr>
      <w:tr>
        <w:trPr>
          <w:cantSplit w:val="0"/>
          <w:trHeight w:val="315" w:hRule="atLeast"/>
          <w:tblHeader w:val="0"/>
        </w:trPr>
        <w:tc>
          <w:tcPr>
            <w:tcBorders>
              <w:top w:color="000000" w:space="0" w:sz="4" w:val="single"/>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282">
            <w:pPr>
              <w:spacing w:after="0" w:line="240" w:lineRule="auto"/>
              <w:rPr>
                <w:b w:val="1"/>
                <w:sz w:val="20"/>
                <w:szCs w:val="20"/>
              </w:rPr>
            </w:pPr>
            <w:r w:rsidDel="00000000" w:rsidR="00000000" w:rsidRPr="00000000">
              <w:rPr>
                <w:b w:val="1"/>
                <w:sz w:val="20"/>
                <w:szCs w:val="20"/>
                <w:rtl w:val="0"/>
              </w:rPr>
              <w:t xml:space="preserve">England Southwest</w:t>
            </w:r>
          </w:p>
        </w:tc>
        <w:tc>
          <w:tcPr>
            <w:tcBorders>
              <w:top w:color="000000" w:space="0" w:sz="4" w:val="single"/>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283">
            <w:pPr>
              <w:spacing w:after="0" w:line="240" w:lineRule="auto"/>
              <w:jc w:val="right"/>
              <w:rPr>
                <w:b w:val="1"/>
                <w:sz w:val="20"/>
                <w:szCs w:val="20"/>
              </w:rPr>
            </w:pPr>
            <w:r w:rsidDel="00000000" w:rsidR="00000000" w:rsidRPr="00000000">
              <w:rPr>
                <w:b w:val="1"/>
                <w:sz w:val="20"/>
                <w:szCs w:val="20"/>
                <w:rtl w:val="0"/>
              </w:rPr>
              <w:t xml:space="preserve">10</w:t>
            </w:r>
          </w:p>
        </w:tc>
        <w:tc>
          <w:tcPr>
            <w:tcBorders>
              <w:top w:color="000000" w:space="0" w:sz="4" w:val="single"/>
              <w:left w:color="000000" w:space="0" w:sz="0" w:val="nil"/>
              <w:bottom w:color="000000" w:space="0" w:sz="4" w:val="single"/>
              <w:right w:color="000000" w:space="0" w:sz="0" w:val="nil"/>
            </w:tcBorders>
            <w:shd w:fill="fff2cc" w:val="clear"/>
            <w:vAlign w:val="center"/>
          </w:tcPr>
          <w:p w:rsidR="00000000" w:rsidDel="00000000" w:rsidP="00000000" w:rsidRDefault="00000000" w:rsidRPr="00000000" w14:paraId="00000284">
            <w:pPr>
              <w:spacing w:after="0" w:line="240" w:lineRule="auto"/>
              <w:jc w:val="right"/>
              <w:rPr>
                <w:b w:val="1"/>
                <w:sz w:val="20"/>
                <w:szCs w:val="20"/>
              </w:rPr>
            </w:pPr>
            <w:r w:rsidDel="00000000" w:rsidR="00000000" w:rsidRPr="00000000">
              <w:rPr>
                <w:b w:val="1"/>
                <w:sz w:val="20"/>
                <w:szCs w:val="20"/>
                <w:rtl w:val="0"/>
              </w:rPr>
              <w:t xml:space="preserve">2</w:t>
            </w:r>
          </w:p>
        </w:tc>
        <w:tc>
          <w:tcPr>
            <w:tcBorders>
              <w:top w:color="000000" w:space="0" w:sz="4" w:val="single"/>
              <w:left w:color="000000" w:space="0" w:sz="0" w:val="nil"/>
              <w:bottom w:color="000000" w:space="0" w:sz="4" w:val="single"/>
              <w:right w:color="000000" w:space="0" w:sz="0" w:val="nil"/>
            </w:tcBorders>
            <w:shd w:fill="fff2cc" w:val="clear"/>
            <w:vAlign w:val="center"/>
          </w:tcPr>
          <w:p w:rsidR="00000000" w:rsidDel="00000000" w:rsidP="00000000" w:rsidRDefault="00000000" w:rsidRPr="00000000" w14:paraId="00000285">
            <w:pPr>
              <w:spacing w:after="0" w:line="240" w:lineRule="auto"/>
              <w:jc w:val="right"/>
              <w:rPr>
                <w:b w:val="1"/>
                <w:sz w:val="20"/>
                <w:szCs w:val="20"/>
              </w:rPr>
            </w:pPr>
            <w:r w:rsidDel="00000000" w:rsidR="00000000" w:rsidRPr="00000000">
              <w:rPr>
                <w:b w:val="1"/>
                <w:sz w:val="20"/>
                <w:szCs w:val="20"/>
                <w:rtl w:val="0"/>
              </w:rPr>
              <w:t xml:space="preserve">20</w:t>
            </w:r>
          </w:p>
        </w:tc>
        <w:tc>
          <w:tcPr>
            <w:tcBorders>
              <w:top w:color="000000" w:space="0" w:sz="4" w:val="single"/>
              <w:left w:color="000000" w:space="0" w:sz="0" w:val="nil"/>
              <w:bottom w:color="000000" w:space="0" w:sz="4" w:val="single"/>
              <w:right w:color="000000" w:space="0" w:sz="0" w:val="nil"/>
            </w:tcBorders>
            <w:shd w:fill="d9e1f2" w:val="clear"/>
            <w:vAlign w:val="center"/>
          </w:tcPr>
          <w:p w:rsidR="00000000" w:rsidDel="00000000" w:rsidP="00000000" w:rsidRDefault="00000000" w:rsidRPr="00000000" w14:paraId="00000286">
            <w:pPr>
              <w:spacing w:after="0" w:line="240" w:lineRule="auto"/>
              <w:jc w:val="right"/>
              <w:rPr>
                <w:b w:val="1"/>
                <w:sz w:val="20"/>
                <w:szCs w:val="20"/>
              </w:rPr>
            </w:pPr>
            <w:r w:rsidDel="00000000" w:rsidR="00000000" w:rsidRPr="00000000">
              <w:rPr>
                <w:b w:val="1"/>
                <w:sz w:val="20"/>
                <w:szCs w:val="20"/>
                <w:rtl w:val="0"/>
              </w:rPr>
              <w:t xml:space="preserve">2</w:t>
            </w:r>
          </w:p>
        </w:tc>
        <w:tc>
          <w:tcPr>
            <w:tcBorders>
              <w:top w:color="000000" w:space="0" w:sz="4" w:val="single"/>
              <w:left w:color="000000" w:space="0" w:sz="0" w:val="nil"/>
              <w:bottom w:color="000000" w:space="0" w:sz="4" w:val="single"/>
              <w:right w:color="000000" w:space="0" w:sz="0" w:val="nil"/>
            </w:tcBorders>
            <w:shd w:fill="d9e1f2" w:val="clear"/>
            <w:vAlign w:val="center"/>
          </w:tcPr>
          <w:p w:rsidR="00000000" w:rsidDel="00000000" w:rsidP="00000000" w:rsidRDefault="00000000" w:rsidRPr="00000000" w14:paraId="00000287">
            <w:pPr>
              <w:spacing w:after="0" w:line="240" w:lineRule="auto"/>
              <w:jc w:val="right"/>
              <w:rPr>
                <w:b w:val="1"/>
                <w:sz w:val="20"/>
                <w:szCs w:val="20"/>
              </w:rPr>
            </w:pPr>
            <w:r w:rsidDel="00000000" w:rsidR="00000000" w:rsidRPr="00000000">
              <w:rPr>
                <w:b w:val="1"/>
                <w:sz w:val="20"/>
                <w:szCs w:val="20"/>
                <w:rtl w:val="0"/>
              </w:rPr>
              <w:t xml:space="preserve">20</w:t>
            </w:r>
          </w:p>
        </w:tc>
        <w:tc>
          <w:tcPr>
            <w:tcBorders>
              <w:top w:color="000000" w:space="0" w:sz="4" w:val="single"/>
              <w:left w:color="000000" w:space="0" w:sz="0" w:val="nil"/>
              <w:bottom w:color="000000" w:space="0" w:sz="4" w:val="single"/>
              <w:right w:color="000000" w:space="0" w:sz="0" w:val="nil"/>
            </w:tcBorders>
            <w:shd w:fill="d9d9d9" w:val="clear"/>
            <w:vAlign w:val="center"/>
          </w:tcPr>
          <w:p w:rsidR="00000000" w:rsidDel="00000000" w:rsidP="00000000" w:rsidRDefault="00000000" w:rsidRPr="00000000" w14:paraId="00000288">
            <w:pPr>
              <w:spacing w:after="0" w:line="240" w:lineRule="auto"/>
              <w:jc w:val="right"/>
              <w:rPr>
                <w:b w:val="1"/>
                <w:sz w:val="20"/>
                <w:szCs w:val="20"/>
              </w:rPr>
            </w:pPr>
            <w:r w:rsidDel="00000000" w:rsidR="00000000" w:rsidRPr="00000000">
              <w:rPr>
                <w:b w:val="1"/>
                <w:sz w:val="20"/>
                <w:szCs w:val="20"/>
                <w:rtl w:val="0"/>
              </w:rPr>
              <w:t xml:space="preserve">6</w:t>
            </w:r>
          </w:p>
        </w:tc>
        <w:tc>
          <w:tcPr>
            <w:tcBorders>
              <w:top w:color="000000" w:space="0" w:sz="4" w:val="single"/>
              <w:left w:color="000000" w:space="0" w:sz="0" w:val="nil"/>
              <w:bottom w:color="000000" w:space="0" w:sz="4" w:val="single"/>
              <w:right w:color="000000" w:space="0" w:sz="0" w:val="nil"/>
            </w:tcBorders>
            <w:shd w:fill="d9d9d9" w:val="clear"/>
            <w:vAlign w:val="center"/>
          </w:tcPr>
          <w:p w:rsidR="00000000" w:rsidDel="00000000" w:rsidP="00000000" w:rsidRDefault="00000000" w:rsidRPr="00000000" w14:paraId="00000289">
            <w:pPr>
              <w:spacing w:after="0" w:line="240" w:lineRule="auto"/>
              <w:jc w:val="right"/>
              <w:rPr>
                <w:b w:val="1"/>
                <w:sz w:val="20"/>
                <w:szCs w:val="20"/>
              </w:rPr>
            </w:pPr>
            <w:r w:rsidDel="00000000" w:rsidR="00000000" w:rsidRPr="00000000">
              <w:rPr>
                <w:b w:val="1"/>
                <w:sz w:val="20"/>
                <w:szCs w:val="20"/>
                <w:rtl w:val="0"/>
              </w:rPr>
              <w:t xml:space="preserve">60</w:t>
            </w:r>
          </w:p>
        </w:tc>
      </w:tr>
      <w:tr>
        <w:trPr>
          <w:cantSplit w:val="0"/>
          <w:trHeight w:val="315" w:hRule="atLeast"/>
          <w:tblHeader w:val="0"/>
        </w:trPr>
        <w:tc>
          <w:tcPr>
            <w:tcBorders>
              <w:top w:color="000000" w:space="0" w:sz="0" w:val="nil"/>
              <w:left w:color="000000" w:space="0" w:sz="0" w:val="nil"/>
              <w:bottom w:color="305496" w:space="0" w:sz="4" w:val="single"/>
              <w:right w:color="000000" w:space="0" w:sz="0" w:val="nil"/>
            </w:tcBorders>
            <w:shd w:fill="auto" w:val="clear"/>
            <w:vAlign w:val="center"/>
          </w:tcPr>
          <w:p w:rsidR="00000000" w:rsidDel="00000000" w:rsidP="00000000" w:rsidRDefault="00000000" w:rsidRPr="00000000" w14:paraId="0000028A">
            <w:pPr>
              <w:spacing w:after="0" w:line="240" w:lineRule="auto"/>
              <w:rPr>
                <w:sz w:val="20"/>
                <w:szCs w:val="20"/>
              </w:rPr>
            </w:pPr>
            <w:r w:rsidDel="00000000" w:rsidR="00000000" w:rsidRPr="00000000">
              <w:rPr>
                <w:sz w:val="20"/>
                <w:szCs w:val="20"/>
                <w:rtl w:val="0"/>
              </w:rPr>
              <w:t xml:space="preserve">England, Dorset, Ridgeway Hill Mass Grave</w:t>
            </w:r>
          </w:p>
        </w:tc>
        <w:tc>
          <w:tcPr>
            <w:tcBorders>
              <w:top w:color="000000" w:space="0" w:sz="0" w:val="nil"/>
              <w:left w:color="000000" w:space="0" w:sz="0" w:val="nil"/>
              <w:bottom w:color="305496" w:space="0" w:sz="4" w:val="single"/>
              <w:right w:color="000000" w:space="0" w:sz="0" w:val="nil"/>
            </w:tcBorders>
            <w:shd w:fill="auto" w:val="clear"/>
            <w:vAlign w:val="center"/>
          </w:tcPr>
          <w:p w:rsidR="00000000" w:rsidDel="00000000" w:rsidP="00000000" w:rsidRDefault="00000000" w:rsidRPr="00000000" w14:paraId="0000028B">
            <w:pPr>
              <w:spacing w:after="0" w:line="240" w:lineRule="auto"/>
              <w:jc w:val="right"/>
              <w:rPr>
                <w:sz w:val="20"/>
                <w:szCs w:val="20"/>
              </w:rPr>
            </w:pPr>
            <w:r w:rsidDel="00000000" w:rsidR="00000000" w:rsidRPr="00000000">
              <w:rPr>
                <w:sz w:val="20"/>
                <w:szCs w:val="20"/>
                <w:rtl w:val="0"/>
              </w:rPr>
              <w:t xml:space="preserve">10</w:t>
            </w:r>
          </w:p>
        </w:tc>
        <w:tc>
          <w:tcPr>
            <w:tcBorders>
              <w:top w:color="000000" w:space="0" w:sz="0" w:val="nil"/>
              <w:left w:color="000000" w:space="0" w:sz="0" w:val="nil"/>
              <w:bottom w:color="305496" w:space="0" w:sz="4" w:val="single"/>
              <w:right w:color="000000" w:space="0" w:sz="0" w:val="nil"/>
            </w:tcBorders>
            <w:shd w:fill="fff2cc" w:val="clear"/>
            <w:vAlign w:val="center"/>
          </w:tcPr>
          <w:p w:rsidR="00000000" w:rsidDel="00000000" w:rsidP="00000000" w:rsidRDefault="00000000" w:rsidRPr="00000000" w14:paraId="0000028C">
            <w:pPr>
              <w:spacing w:after="0" w:line="240" w:lineRule="auto"/>
              <w:jc w:val="right"/>
              <w:rPr>
                <w:sz w:val="20"/>
                <w:szCs w:val="20"/>
              </w:rPr>
            </w:pPr>
            <w:r w:rsidDel="00000000" w:rsidR="00000000" w:rsidRPr="00000000">
              <w:rPr>
                <w:sz w:val="20"/>
                <w:szCs w:val="20"/>
                <w:rtl w:val="0"/>
              </w:rPr>
              <w:t xml:space="preserve">2</w:t>
            </w:r>
          </w:p>
        </w:tc>
        <w:tc>
          <w:tcPr>
            <w:tcBorders>
              <w:top w:color="000000" w:space="0" w:sz="0" w:val="nil"/>
              <w:left w:color="000000" w:space="0" w:sz="0" w:val="nil"/>
              <w:bottom w:color="305496" w:space="0" w:sz="4" w:val="single"/>
              <w:right w:color="000000" w:space="0" w:sz="0" w:val="nil"/>
            </w:tcBorders>
            <w:shd w:fill="fff2cc" w:val="clear"/>
            <w:vAlign w:val="center"/>
          </w:tcPr>
          <w:p w:rsidR="00000000" w:rsidDel="00000000" w:rsidP="00000000" w:rsidRDefault="00000000" w:rsidRPr="00000000" w14:paraId="0000028D">
            <w:pPr>
              <w:spacing w:after="0" w:line="240" w:lineRule="auto"/>
              <w:jc w:val="right"/>
              <w:rPr>
                <w:sz w:val="20"/>
                <w:szCs w:val="20"/>
              </w:rPr>
            </w:pPr>
            <w:r w:rsidDel="00000000" w:rsidR="00000000" w:rsidRPr="00000000">
              <w:rPr>
                <w:sz w:val="20"/>
                <w:szCs w:val="20"/>
                <w:rtl w:val="0"/>
              </w:rPr>
              <w:t xml:space="preserve">20</w:t>
            </w:r>
          </w:p>
        </w:tc>
        <w:tc>
          <w:tcPr>
            <w:tcBorders>
              <w:top w:color="000000" w:space="0" w:sz="0" w:val="nil"/>
              <w:left w:color="000000" w:space="0" w:sz="0" w:val="nil"/>
              <w:bottom w:color="305496" w:space="0" w:sz="4" w:val="single"/>
              <w:right w:color="000000" w:space="0" w:sz="0" w:val="nil"/>
            </w:tcBorders>
            <w:shd w:fill="d9e1f2" w:val="clear"/>
            <w:vAlign w:val="center"/>
          </w:tcPr>
          <w:p w:rsidR="00000000" w:rsidDel="00000000" w:rsidP="00000000" w:rsidRDefault="00000000" w:rsidRPr="00000000" w14:paraId="0000028E">
            <w:pPr>
              <w:spacing w:after="0" w:line="240" w:lineRule="auto"/>
              <w:jc w:val="right"/>
              <w:rPr>
                <w:sz w:val="20"/>
                <w:szCs w:val="20"/>
              </w:rPr>
            </w:pPr>
            <w:r w:rsidDel="00000000" w:rsidR="00000000" w:rsidRPr="00000000">
              <w:rPr>
                <w:sz w:val="20"/>
                <w:szCs w:val="20"/>
                <w:rtl w:val="0"/>
              </w:rPr>
              <w:t xml:space="preserve">2</w:t>
            </w:r>
          </w:p>
        </w:tc>
        <w:tc>
          <w:tcPr>
            <w:tcBorders>
              <w:top w:color="000000" w:space="0" w:sz="0" w:val="nil"/>
              <w:left w:color="000000" w:space="0" w:sz="0" w:val="nil"/>
              <w:bottom w:color="305496" w:space="0" w:sz="4" w:val="single"/>
              <w:right w:color="000000" w:space="0" w:sz="0" w:val="nil"/>
            </w:tcBorders>
            <w:shd w:fill="d9e1f2" w:val="clear"/>
            <w:vAlign w:val="center"/>
          </w:tcPr>
          <w:p w:rsidR="00000000" w:rsidDel="00000000" w:rsidP="00000000" w:rsidRDefault="00000000" w:rsidRPr="00000000" w14:paraId="0000028F">
            <w:pPr>
              <w:spacing w:after="0" w:line="240" w:lineRule="auto"/>
              <w:jc w:val="right"/>
              <w:rPr>
                <w:sz w:val="20"/>
                <w:szCs w:val="20"/>
              </w:rPr>
            </w:pPr>
            <w:r w:rsidDel="00000000" w:rsidR="00000000" w:rsidRPr="00000000">
              <w:rPr>
                <w:sz w:val="20"/>
                <w:szCs w:val="20"/>
                <w:rtl w:val="0"/>
              </w:rPr>
              <w:t xml:space="preserve">20</w:t>
            </w:r>
          </w:p>
        </w:tc>
        <w:tc>
          <w:tcPr>
            <w:tcBorders>
              <w:top w:color="000000" w:space="0" w:sz="0" w:val="nil"/>
              <w:left w:color="000000" w:space="0" w:sz="0" w:val="nil"/>
              <w:bottom w:color="305496" w:space="0" w:sz="4" w:val="single"/>
              <w:right w:color="000000" w:space="0" w:sz="0" w:val="nil"/>
            </w:tcBorders>
            <w:shd w:fill="d9d9d9" w:val="clear"/>
            <w:vAlign w:val="center"/>
          </w:tcPr>
          <w:p w:rsidR="00000000" w:rsidDel="00000000" w:rsidP="00000000" w:rsidRDefault="00000000" w:rsidRPr="00000000" w14:paraId="00000290">
            <w:pPr>
              <w:spacing w:after="0" w:line="240" w:lineRule="auto"/>
              <w:jc w:val="right"/>
              <w:rPr>
                <w:sz w:val="20"/>
                <w:szCs w:val="20"/>
              </w:rPr>
            </w:pPr>
            <w:r w:rsidDel="00000000" w:rsidR="00000000" w:rsidRPr="00000000">
              <w:rPr>
                <w:sz w:val="20"/>
                <w:szCs w:val="20"/>
                <w:rtl w:val="0"/>
              </w:rPr>
              <w:t xml:space="preserve">6</w:t>
            </w:r>
          </w:p>
        </w:tc>
        <w:tc>
          <w:tcPr>
            <w:tcBorders>
              <w:top w:color="000000" w:space="0" w:sz="0" w:val="nil"/>
              <w:left w:color="000000" w:space="0" w:sz="0" w:val="nil"/>
              <w:bottom w:color="305496" w:space="0" w:sz="4" w:val="single"/>
              <w:right w:color="000000" w:space="0" w:sz="0" w:val="nil"/>
            </w:tcBorders>
            <w:shd w:fill="d9d9d9" w:val="clear"/>
            <w:vAlign w:val="center"/>
          </w:tcPr>
          <w:p w:rsidR="00000000" w:rsidDel="00000000" w:rsidP="00000000" w:rsidRDefault="00000000" w:rsidRPr="00000000" w14:paraId="00000291">
            <w:pPr>
              <w:spacing w:after="0" w:line="240" w:lineRule="auto"/>
              <w:jc w:val="right"/>
              <w:rPr>
                <w:sz w:val="20"/>
                <w:szCs w:val="20"/>
              </w:rPr>
            </w:pPr>
            <w:r w:rsidDel="00000000" w:rsidR="00000000" w:rsidRPr="00000000">
              <w:rPr>
                <w:sz w:val="20"/>
                <w:szCs w:val="20"/>
                <w:rtl w:val="0"/>
              </w:rPr>
              <w:t xml:space="preserve">60</w:t>
            </w:r>
          </w:p>
        </w:tc>
      </w:tr>
      <w:tr>
        <w:trPr>
          <w:cantSplit w:val="0"/>
          <w:trHeight w:val="315" w:hRule="atLeast"/>
          <w:tblHeader w:val="0"/>
        </w:trPr>
        <w:tc>
          <w:tcPr>
            <w:tcBorders>
              <w:top w:color="000000" w:space="0" w:sz="0" w:val="nil"/>
              <w:left w:color="000000" w:space="0" w:sz="0" w:val="nil"/>
              <w:bottom w:color="8ea9db" w:space="0" w:sz="4" w:val="single"/>
              <w:right w:color="000000" w:space="0" w:sz="0" w:val="nil"/>
            </w:tcBorders>
            <w:shd w:fill="f2f2f2" w:val="clear"/>
            <w:vAlign w:val="center"/>
          </w:tcPr>
          <w:p w:rsidR="00000000" w:rsidDel="00000000" w:rsidP="00000000" w:rsidRDefault="00000000" w:rsidRPr="00000000" w14:paraId="00000292">
            <w:pPr>
              <w:spacing w:after="0" w:line="240" w:lineRule="auto"/>
              <w:rPr>
                <w:b w:val="1"/>
                <w:sz w:val="20"/>
                <w:szCs w:val="20"/>
              </w:rPr>
            </w:pPr>
            <w:r w:rsidDel="00000000" w:rsidR="00000000" w:rsidRPr="00000000">
              <w:rPr>
                <w:b w:val="1"/>
                <w:sz w:val="20"/>
                <w:szCs w:val="20"/>
                <w:rtl w:val="0"/>
              </w:rPr>
              <w:t xml:space="preserve">Scotland</w:t>
            </w:r>
          </w:p>
        </w:tc>
        <w:tc>
          <w:tcPr>
            <w:tcBorders>
              <w:top w:color="000000" w:space="0" w:sz="0" w:val="nil"/>
              <w:left w:color="000000" w:space="0" w:sz="0" w:val="nil"/>
              <w:bottom w:color="8ea9db" w:space="0" w:sz="4" w:val="single"/>
              <w:right w:color="000000" w:space="0" w:sz="0" w:val="nil"/>
            </w:tcBorders>
            <w:shd w:fill="f2f2f2" w:val="clear"/>
            <w:vAlign w:val="center"/>
          </w:tcPr>
          <w:p w:rsidR="00000000" w:rsidDel="00000000" w:rsidP="00000000" w:rsidRDefault="00000000" w:rsidRPr="00000000" w14:paraId="00000293">
            <w:pPr>
              <w:spacing w:after="0" w:line="240" w:lineRule="auto"/>
              <w:jc w:val="right"/>
              <w:rPr>
                <w:b w:val="1"/>
                <w:sz w:val="20"/>
                <w:szCs w:val="20"/>
              </w:rPr>
            </w:pPr>
            <w:r w:rsidDel="00000000" w:rsidR="00000000" w:rsidRPr="00000000">
              <w:rPr>
                <w:b w:val="1"/>
                <w:sz w:val="20"/>
                <w:szCs w:val="20"/>
                <w:rtl w:val="0"/>
              </w:rPr>
              <w:t xml:space="preserve">8</w:t>
            </w:r>
          </w:p>
        </w:tc>
        <w:tc>
          <w:tcPr>
            <w:tcBorders>
              <w:top w:color="000000" w:space="0" w:sz="0" w:val="nil"/>
              <w:left w:color="000000" w:space="0" w:sz="0" w:val="nil"/>
              <w:bottom w:color="8ea9db" w:space="0" w:sz="4" w:val="single"/>
              <w:right w:color="000000" w:space="0" w:sz="0" w:val="nil"/>
            </w:tcBorders>
            <w:shd w:fill="f2f2f2" w:val="clear"/>
            <w:vAlign w:val="center"/>
          </w:tcPr>
          <w:p w:rsidR="00000000" w:rsidDel="00000000" w:rsidP="00000000" w:rsidRDefault="00000000" w:rsidRPr="00000000" w14:paraId="00000294">
            <w:pPr>
              <w:spacing w:after="0" w:line="240" w:lineRule="auto"/>
              <w:jc w:val="right"/>
              <w:rPr>
                <w:b w:val="1"/>
                <w:sz w:val="20"/>
                <w:szCs w:val="20"/>
              </w:rPr>
            </w:pPr>
            <w:r w:rsidDel="00000000" w:rsidR="00000000" w:rsidRPr="00000000">
              <w:rPr>
                <w:b w:val="1"/>
                <w:sz w:val="20"/>
                <w:szCs w:val="20"/>
                <w:rtl w:val="0"/>
              </w:rPr>
              <w:t xml:space="preserve">1</w:t>
            </w:r>
          </w:p>
        </w:tc>
        <w:tc>
          <w:tcPr>
            <w:tcBorders>
              <w:top w:color="000000" w:space="0" w:sz="0" w:val="nil"/>
              <w:left w:color="000000" w:space="0" w:sz="0" w:val="nil"/>
              <w:bottom w:color="8ea9db" w:space="0" w:sz="4" w:val="single"/>
              <w:right w:color="000000" w:space="0" w:sz="0" w:val="nil"/>
            </w:tcBorders>
            <w:shd w:fill="f2f2f2" w:val="clear"/>
            <w:vAlign w:val="center"/>
          </w:tcPr>
          <w:p w:rsidR="00000000" w:rsidDel="00000000" w:rsidP="00000000" w:rsidRDefault="00000000" w:rsidRPr="00000000" w14:paraId="00000295">
            <w:pPr>
              <w:spacing w:after="0" w:line="240" w:lineRule="auto"/>
              <w:jc w:val="right"/>
              <w:rPr>
                <w:b w:val="1"/>
                <w:sz w:val="20"/>
                <w:szCs w:val="20"/>
              </w:rPr>
            </w:pPr>
            <w:r w:rsidDel="00000000" w:rsidR="00000000" w:rsidRPr="00000000">
              <w:rPr>
                <w:b w:val="1"/>
                <w:sz w:val="20"/>
                <w:szCs w:val="20"/>
                <w:rtl w:val="0"/>
              </w:rPr>
              <w:t xml:space="preserve"> </w:t>
            </w:r>
          </w:p>
        </w:tc>
        <w:tc>
          <w:tcPr>
            <w:tcBorders>
              <w:top w:color="000000" w:space="0" w:sz="0" w:val="nil"/>
              <w:left w:color="000000" w:space="0" w:sz="0" w:val="nil"/>
              <w:bottom w:color="8ea9db" w:space="0" w:sz="4" w:val="single"/>
              <w:right w:color="000000" w:space="0" w:sz="0" w:val="nil"/>
            </w:tcBorders>
            <w:shd w:fill="f2f2f2" w:val="clear"/>
            <w:vAlign w:val="center"/>
          </w:tcPr>
          <w:p w:rsidR="00000000" w:rsidDel="00000000" w:rsidP="00000000" w:rsidRDefault="00000000" w:rsidRPr="00000000" w14:paraId="00000296">
            <w:pPr>
              <w:spacing w:after="0" w:line="240" w:lineRule="auto"/>
              <w:jc w:val="right"/>
              <w:rPr>
                <w:b w:val="1"/>
                <w:sz w:val="20"/>
                <w:szCs w:val="20"/>
              </w:rPr>
            </w:pPr>
            <w:r w:rsidDel="00000000" w:rsidR="00000000" w:rsidRPr="00000000">
              <w:rPr>
                <w:b w:val="1"/>
                <w:sz w:val="20"/>
                <w:szCs w:val="20"/>
                <w:rtl w:val="0"/>
              </w:rPr>
              <w:t xml:space="preserve">1</w:t>
            </w:r>
          </w:p>
        </w:tc>
        <w:tc>
          <w:tcPr>
            <w:tcBorders>
              <w:top w:color="000000" w:space="0" w:sz="0" w:val="nil"/>
              <w:left w:color="000000" w:space="0" w:sz="0" w:val="nil"/>
              <w:bottom w:color="8ea9db" w:space="0" w:sz="4" w:val="single"/>
              <w:right w:color="000000" w:space="0" w:sz="0" w:val="nil"/>
            </w:tcBorders>
            <w:shd w:fill="f2f2f2" w:val="clear"/>
            <w:vAlign w:val="center"/>
          </w:tcPr>
          <w:p w:rsidR="00000000" w:rsidDel="00000000" w:rsidP="00000000" w:rsidRDefault="00000000" w:rsidRPr="00000000" w14:paraId="00000297">
            <w:pPr>
              <w:spacing w:after="0" w:line="240" w:lineRule="auto"/>
              <w:jc w:val="right"/>
              <w:rPr>
                <w:b w:val="1"/>
                <w:sz w:val="20"/>
                <w:szCs w:val="20"/>
              </w:rPr>
            </w:pPr>
            <w:r w:rsidDel="00000000" w:rsidR="00000000" w:rsidRPr="00000000">
              <w:rPr>
                <w:b w:val="1"/>
                <w:sz w:val="20"/>
                <w:szCs w:val="20"/>
                <w:rtl w:val="0"/>
              </w:rPr>
              <w:t xml:space="preserve"> </w:t>
            </w:r>
          </w:p>
        </w:tc>
        <w:tc>
          <w:tcPr>
            <w:tcBorders>
              <w:top w:color="000000" w:space="0" w:sz="0" w:val="nil"/>
              <w:left w:color="000000" w:space="0" w:sz="0" w:val="nil"/>
              <w:bottom w:color="8ea9db" w:space="0" w:sz="4" w:val="single"/>
              <w:right w:color="000000" w:space="0" w:sz="0" w:val="nil"/>
            </w:tcBorders>
            <w:shd w:fill="f2f2f2" w:val="clear"/>
            <w:vAlign w:val="center"/>
          </w:tcPr>
          <w:p w:rsidR="00000000" w:rsidDel="00000000" w:rsidP="00000000" w:rsidRDefault="00000000" w:rsidRPr="00000000" w14:paraId="00000298">
            <w:pPr>
              <w:spacing w:after="0" w:line="240" w:lineRule="auto"/>
              <w:jc w:val="right"/>
              <w:rPr>
                <w:b w:val="1"/>
                <w:sz w:val="20"/>
                <w:szCs w:val="20"/>
              </w:rPr>
            </w:pPr>
            <w:r w:rsidDel="00000000" w:rsidR="00000000" w:rsidRPr="00000000">
              <w:rPr>
                <w:b w:val="1"/>
                <w:sz w:val="20"/>
                <w:szCs w:val="20"/>
                <w:rtl w:val="0"/>
              </w:rPr>
              <w:t xml:space="preserve">6</w:t>
            </w:r>
          </w:p>
        </w:tc>
        <w:tc>
          <w:tcPr>
            <w:tcBorders>
              <w:top w:color="000000" w:space="0" w:sz="0" w:val="nil"/>
              <w:left w:color="000000" w:space="0" w:sz="0" w:val="nil"/>
              <w:bottom w:color="8ea9db" w:space="0" w:sz="4" w:val="single"/>
              <w:right w:color="000000" w:space="0" w:sz="0" w:val="nil"/>
            </w:tcBorders>
            <w:shd w:fill="f2f2f2" w:val="clear"/>
            <w:vAlign w:val="center"/>
          </w:tcPr>
          <w:p w:rsidR="00000000" w:rsidDel="00000000" w:rsidP="00000000" w:rsidRDefault="00000000" w:rsidRPr="00000000" w14:paraId="00000299">
            <w:pPr>
              <w:spacing w:after="0" w:line="240" w:lineRule="auto"/>
              <w:jc w:val="right"/>
              <w:rPr>
                <w:b w:val="1"/>
                <w:sz w:val="20"/>
                <w:szCs w:val="20"/>
              </w:rPr>
            </w:pPr>
            <w:r w:rsidDel="00000000" w:rsidR="00000000" w:rsidRPr="00000000">
              <w:rPr>
                <w:b w:val="1"/>
                <w:sz w:val="20"/>
                <w:szCs w:val="20"/>
                <w:rtl w:val="0"/>
              </w:rPr>
              <w:t xml:space="preserve"> </w:t>
            </w:r>
          </w:p>
        </w:tc>
      </w:tr>
      <w:tr>
        <w:trPr>
          <w:cantSplit w:val="0"/>
          <w:trHeight w:val="315" w:hRule="atLeast"/>
          <w:tblHeader w:val="0"/>
        </w:trPr>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29A">
            <w:pPr>
              <w:spacing w:after="0" w:line="240" w:lineRule="auto"/>
              <w:rPr>
                <w:b w:val="1"/>
                <w:sz w:val="20"/>
                <w:szCs w:val="20"/>
              </w:rPr>
            </w:pPr>
            <w:r w:rsidDel="00000000" w:rsidR="00000000" w:rsidRPr="00000000">
              <w:rPr>
                <w:b w:val="1"/>
                <w:sz w:val="20"/>
                <w:szCs w:val="20"/>
                <w:rtl w:val="0"/>
              </w:rPr>
              <w:t xml:space="preserve">Highlands &amp; Islands</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29B">
            <w:pPr>
              <w:spacing w:after="0" w:line="240" w:lineRule="auto"/>
              <w:jc w:val="right"/>
              <w:rPr>
                <w:b w:val="1"/>
                <w:sz w:val="20"/>
                <w:szCs w:val="20"/>
              </w:rPr>
            </w:pPr>
            <w:r w:rsidDel="00000000" w:rsidR="00000000" w:rsidRPr="00000000">
              <w:rPr>
                <w:b w:val="1"/>
                <w:sz w:val="20"/>
                <w:szCs w:val="20"/>
                <w:rtl w:val="0"/>
              </w:rPr>
              <w:t xml:space="preserve">8</w:t>
            </w:r>
          </w:p>
        </w:tc>
        <w:tc>
          <w:tcPr>
            <w:tcBorders>
              <w:top w:color="000000" w:space="0" w:sz="0" w:val="nil"/>
              <w:left w:color="000000" w:space="0" w:sz="0" w:val="nil"/>
              <w:bottom w:color="000000" w:space="0" w:sz="4" w:val="single"/>
              <w:right w:color="000000" w:space="0" w:sz="0" w:val="nil"/>
            </w:tcBorders>
            <w:shd w:fill="fff2cc" w:val="clear"/>
            <w:vAlign w:val="center"/>
          </w:tcPr>
          <w:p w:rsidR="00000000" w:rsidDel="00000000" w:rsidP="00000000" w:rsidRDefault="00000000" w:rsidRPr="00000000" w14:paraId="0000029C">
            <w:pPr>
              <w:spacing w:after="0" w:line="240" w:lineRule="auto"/>
              <w:jc w:val="right"/>
              <w:rPr>
                <w:b w:val="1"/>
                <w:sz w:val="20"/>
                <w:szCs w:val="20"/>
              </w:rPr>
            </w:pPr>
            <w:r w:rsidDel="00000000" w:rsidR="00000000" w:rsidRPr="00000000">
              <w:rPr>
                <w:b w:val="1"/>
                <w:sz w:val="20"/>
                <w:szCs w:val="20"/>
                <w:rtl w:val="0"/>
              </w:rPr>
              <w:t xml:space="preserve"> </w:t>
            </w:r>
          </w:p>
        </w:tc>
        <w:tc>
          <w:tcPr>
            <w:tcBorders>
              <w:top w:color="000000" w:space="0" w:sz="0" w:val="nil"/>
              <w:left w:color="000000" w:space="0" w:sz="0" w:val="nil"/>
              <w:bottom w:color="000000" w:space="0" w:sz="4" w:val="single"/>
              <w:right w:color="000000" w:space="0" w:sz="0" w:val="nil"/>
            </w:tcBorders>
            <w:shd w:fill="fff2cc" w:val="clear"/>
            <w:vAlign w:val="center"/>
          </w:tcPr>
          <w:p w:rsidR="00000000" w:rsidDel="00000000" w:rsidP="00000000" w:rsidRDefault="00000000" w:rsidRPr="00000000" w14:paraId="0000029D">
            <w:pPr>
              <w:spacing w:after="0" w:line="240" w:lineRule="auto"/>
              <w:jc w:val="right"/>
              <w:rPr>
                <w:b w:val="1"/>
                <w:sz w:val="20"/>
                <w:szCs w:val="20"/>
              </w:rPr>
            </w:pPr>
            <w:r w:rsidDel="00000000" w:rsidR="00000000" w:rsidRPr="00000000">
              <w:rPr>
                <w:b w:val="1"/>
                <w:sz w:val="20"/>
                <w:szCs w:val="20"/>
                <w:rtl w:val="0"/>
              </w:rPr>
              <w:t xml:space="preserve"> </w:t>
            </w:r>
          </w:p>
        </w:tc>
        <w:tc>
          <w:tcPr>
            <w:tcBorders>
              <w:top w:color="000000" w:space="0" w:sz="0" w:val="nil"/>
              <w:left w:color="000000" w:space="0" w:sz="0" w:val="nil"/>
              <w:bottom w:color="000000" w:space="0" w:sz="4" w:val="single"/>
              <w:right w:color="000000" w:space="0" w:sz="0" w:val="nil"/>
            </w:tcBorders>
            <w:shd w:fill="d9e1f2" w:val="clear"/>
            <w:vAlign w:val="center"/>
          </w:tcPr>
          <w:p w:rsidR="00000000" w:rsidDel="00000000" w:rsidP="00000000" w:rsidRDefault="00000000" w:rsidRPr="00000000" w14:paraId="0000029E">
            <w:pPr>
              <w:spacing w:after="0" w:line="240" w:lineRule="auto"/>
              <w:jc w:val="right"/>
              <w:rPr>
                <w:b w:val="1"/>
                <w:sz w:val="20"/>
                <w:szCs w:val="20"/>
              </w:rPr>
            </w:pPr>
            <w:r w:rsidDel="00000000" w:rsidR="00000000" w:rsidRPr="00000000">
              <w:rPr>
                <w:b w:val="1"/>
                <w:sz w:val="20"/>
                <w:szCs w:val="20"/>
                <w:rtl w:val="0"/>
              </w:rPr>
              <w:t xml:space="preserve">1</w:t>
            </w:r>
          </w:p>
        </w:tc>
        <w:tc>
          <w:tcPr>
            <w:tcBorders>
              <w:top w:color="000000" w:space="0" w:sz="0" w:val="nil"/>
              <w:left w:color="000000" w:space="0" w:sz="0" w:val="nil"/>
              <w:bottom w:color="000000" w:space="0" w:sz="4" w:val="single"/>
              <w:right w:color="000000" w:space="0" w:sz="0" w:val="nil"/>
            </w:tcBorders>
            <w:shd w:fill="d9e1f2" w:val="clear"/>
            <w:vAlign w:val="center"/>
          </w:tcPr>
          <w:p w:rsidR="00000000" w:rsidDel="00000000" w:rsidP="00000000" w:rsidRDefault="00000000" w:rsidRPr="00000000" w14:paraId="0000029F">
            <w:pPr>
              <w:spacing w:after="0" w:line="240" w:lineRule="auto"/>
              <w:jc w:val="right"/>
              <w:rPr>
                <w:b w:val="1"/>
                <w:sz w:val="20"/>
                <w:szCs w:val="20"/>
              </w:rPr>
            </w:pPr>
            <w:r w:rsidDel="00000000" w:rsidR="00000000" w:rsidRPr="00000000">
              <w:rPr>
                <w:b w:val="1"/>
                <w:sz w:val="20"/>
                <w:szCs w:val="20"/>
                <w:rtl w:val="0"/>
              </w:rPr>
              <w:t xml:space="preserve"> </w:t>
            </w:r>
          </w:p>
        </w:tc>
        <w:tc>
          <w:tcPr>
            <w:tcBorders>
              <w:top w:color="000000" w:space="0" w:sz="0" w:val="nil"/>
              <w:left w:color="000000" w:space="0" w:sz="0" w:val="nil"/>
              <w:bottom w:color="000000" w:space="0" w:sz="4" w:val="single"/>
              <w:right w:color="000000" w:space="0" w:sz="0" w:val="nil"/>
            </w:tcBorders>
            <w:shd w:fill="d9d9d9" w:val="clear"/>
            <w:vAlign w:val="center"/>
          </w:tcPr>
          <w:p w:rsidR="00000000" w:rsidDel="00000000" w:rsidP="00000000" w:rsidRDefault="00000000" w:rsidRPr="00000000" w14:paraId="000002A0">
            <w:pPr>
              <w:spacing w:after="0" w:line="240" w:lineRule="auto"/>
              <w:jc w:val="right"/>
              <w:rPr>
                <w:b w:val="1"/>
                <w:sz w:val="20"/>
                <w:szCs w:val="20"/>
              </w:rPr>
            </w:pPr>
            <w:r w:rsidDel="00000000" w:rsidR="00000000" w:rsidRPr="00000000">
              <w:rPr>
                <w:b w:val="1"/>
                <w:sz w:val="20"/>
                <w:szCs w:val="20"/>
                <w:rtl w:val="0"/>
              </w:rPr>
              <w:t xml:space="preserve">7</w:t>
            </w:r>
          </w:p>
        </w:tc>
        <w:tc>
          <w:tcPr>
            <w:tcBorders>
              <w:top w:color="000000" w:space="0" w:sz="0" w:val="nil"/>
              <w:left w:color="000000" w:space="0" w:sz="0" w:val="nil"/>
              <w:bottom w:color="000000" w:space="0" w:sz="4" w:val="single"/>
              <w:right w:color="000000" w:space="0" w:sz="0" w:val="nil"/>
            </w:tcBorders>
            <w:shd w:fill="d9d9d9" w:val="clear"/>
            <w:vAlign w:val="center"/>
          </w:tcPr>
          <w:p w:rsidR="00000000" w:rsidDel="00000000" w:rsidP="00000000" w:rsidRDefault="00000000" w:rsidRPr="00000000" w14:paraId="000002A1">
            <w:pPr>
              <w:spacing w:after="0" w:line="240" w:lineRule="auto"/>
              <w:jc w:val="right"/>
              <w:rPr>
                <w:b w:val="1"/>
                <w:sz w:val="20"/>
                <w:szCs w:val="20"/>
              </w:rPr>
            </w:pPr>
            <w:r w:rsidDel="00000000" w:rsidR="00000000" w:rsidRPr="00000000">
              <w:rPr>
                <w:b w:val="1"/>
                <w:sz w:val="20"/>
                <w:szCs w:val="20"/>
                <w:rtl w:val="0"/>
              </w:rPr>
              <w:t xml:space="preserve"> </w:t>
            </w:r>
          </w:p>
        </w:tc>
      </w:tr>
      <w:tr>
        <w:trPr>
          <w:cantSplit w:val="0"/>
          <w:trHeight w:val="31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2A2">
            <w:pPr>
              <w:spacing w:after="0" w:line="240" w:lineRule="auto"/>
              <w:rPr>
                <w:sz w:val="20"/>
                <w:szCs w:val="20"/>
              </w:rPr>
            </w:pPr>
            <w:r w:rsidDel="00000000" w:rsidR="00000000" w:rsidRPr="00000000">
              <w:rPr>
                <w:sz w:val="20"/>
                <w:szCs w:val="20"/>
                <w:rtl w:val="0"/>
              </w:rPr>
              <w:t xml:space="preserve">Orkney, Brough Road Birsay</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2A3">
            <w:pPr>
              <w:spacing w:after="0" w:line="240" w:lineRule="auto"/>
              <w:jc w:val="right"/>
              <w:rPr>
                <w:sz w:val="20"/>
                <w:szCs w:val="20"/>
              </w:rPr>
            </w:pPr>
            <w:r w:rsidDel="00000000" w:rsidR="00000000" w:rsidRPr="00000000">
              <w:rPr>
                <w:sz w:val="20"/>
                <w:szCs w:val="20"/>
                <w:rtl w:val="0"/>
              </w:rPr>
              <w:t xml:space="preserve">3</w:t>
            </w:r>
          </w:p>
        </w:tc>
        <w:tc>
          <w:tcPr>
            <w:tcBorders>
              <w:top w:color="000000" w:space="0" w:sz="0" w:val="nil"/>
              <w:left w:color="000000" w:space="0" w:sz="0" w:val="nil"/>
              <w:bottom w:color="000000" w:space="0" w:sz="0" w:val="nil"/>
              <w:right w:color="000000" w:space="0" w:sz="0" w:val="nil"/>
            </w:tcBorders>
            <w:shd w:fill="fff2cc" w:val="clear"/>
            <w:vAlign w:val="center"/>
          </w:tcPr>
          <w:p w:rsidR="00000000" w:rsidDel="00000000" w:rsidP="00000000" w:rsidRDefault="00000000" w:rsidRPr="00000000" w14:paraId="000002A4">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0" w:val="nil"/>
              <w:right w:color="000000" w:space="0" w:sz="0" w:val="nil"/>
            </w:tcBorders>
            <w:shd w:fill="fff2cc" w:val="clear"/>
            <w:vAlign w:val="center"/>
          </w:tcPr>
          <w:p w:rsidR="00000000" w:rsidDel="00000000" w:rsidP="00000000" w:rsidRDefault="00000000" w:rsidRPr="00000000" w14:paraId="000002A5">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0" w:val="nil"/>
              <w:right w:color="000000" w:space="0" w:sz="0" w:val="nil"/>
            </w:tcBorders>
            <w:shd w:fill="d9e1f2" w:val="clear"/>
            <w:vAlign w:val="center"/>
          </w:tcPr>
          <w:p w:rsidR="00000000" w:rsidDel="00000000" w:rsidP="00000000" w:rsidRDefault="00000000" w:rsidRPr="00000000" w14:paraId="000002A6">
            <w:pPr>
              <w:spacing w:after="0" w:line="240" w:lineRule="auto"/>
              <w:jc w:val="right"/>
              <w:rPr>
                <w:sz w:val="20"/>
                <w:szCs w:val="20"/>
              </w:rPr>
            </w:pPr>
            <w:r w:rsidDel="00000000" w:rsidR="00000000" w:rsidRPr="00000000">
              <w:rPr>
                <w:sz w:val="20"/>
                <w:szCs w:val="20"/>
                <w:rtl w:val="0"/>
              </w:rPr>
              <w:t xml:space="preserve">1</w:t>
            </w:r>
          </w:p>
        </w:tc>
        <w:tc>
          <w:tcPr>
            <w:tcBorders>
              <w:top w:color="000000" w:space="0" w:sz="0" w:val="nil"/>
              <w:left w:color="000000" w:space="0" w:sz="0" w:val="nil"/>
              <w:bottom w:color="000000" w:space="0" w:sz="0" w:val="nil"/>
              <w:right w:color="000000" w:space="0" w:sz="0" w:val="nil"/>
            </w:tcBorders>
            <w:shd w:fill="d9e1f2" w:val="clear"/>
            <w:vAlign w:val="center"/>
          </w:tcPr>
          <w:p w:rsidR="00000000" w:rsidDel="00000000" w:rsidP="00000000" w:rsidRDefault="00000000" w:rsidRPr="00000000" w14:paraId="000002A7">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0" w:val="nil"/>
              <w:right w:color="000000" w:space="0" w:sz="0" w:val="nil"/>
            </w:tcBorders>
            <w:shd w:fill="d9d9d9" w:val="clear"/>
            <w:vAlign w:val="center"/>
          </w:tcPr>
          <w:p w:rsidR="00000000" w:rsidDel="00000000" w:rsidP="00000000" w:rsidRDefault="00000000" w:rsidRPr="00000000" w14:paraId="000002A8">
            <w:pPr>
              <w:spacing w:after="0" w:line="240" w:lineRule="auto"/>
              <w:jc w:val="right"/>
              <w:rPr>
                <w:sz w:val="20"/>
                <w:szCs w:val="20"/>
              </w:rPr>
            </w:pPr>
            <w:r w:rsidDel="00000000" w:rsidR="00000000" w:rsidRPr="00000000">
              <w:rPr>
                <w:sz w:val="20"/>
                <w:szCs w:val="20"/>
                <w:rtl w:val="0"/>
              </w:rPr>
              <w:t xml:space="preserve">2</w:t>
            </w:r>
          </w:p>
        </w:tc>
        <w:tc>
          <w:tcPr>
            <w:tcBorders>
              <w:top w:color="000000" w:space="0" w:sz="0" w:val="nil"/>
              <w:left w:color="000000" w:space="0" w:sz="0" w:val="nil"/>
              <w:bottom w:color="000000" w:space="0" w:sz="0" w:val="nil"/>
              <w:right w:color="000000" w:space="0" w:sz="0" w:val="nil"/>
            </w:tcBorders>
            <w:shd w:fill="d9d9d9" w:val="clear"/>
            <w:vAlign w:val="center"/>
          </w:tcPr>
          <w:p w:rsidR="00000000" w:rsidDel="00000000" w:rsidP="00000000" w:rsidRDefault="00000000" w:rsidRPr="00000000" w14:paraId="000002A9">
            <w:pPr>
              <w:spacing w:after="0" w:line="240" w:lineRule="auto"/>
              <w:jc w:val="right"/>
              <w:rPr>
                <w:sz w:val="20"/>
                <w:szCs w:val="20"/>
              </w:rPr>
            </w:pPr>
            <w:r w:rsidDel="00000000" w:rsidR="00000000" w:rsidRPr="00000000">
              <w:rPr>
                <w:sz w:val="20"/>
                <w:szCs w:val="20"/>
                <w:rtl w:val="0"/>
              </w:rPr>
              <w:t xml:space="preserve"> </w:t>
            </w:r>
          </w:p>
        </w:tc>
      </w:tr>
      <w:tr>
        <w:trPr>
          <w:cantSplit w:val="0"/>
          <w:trHeight w:val="31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2AA">
            <w:pPr>
              <w:spacing w:after="0" w:line="240" w:lineRule="auto"/>
              <w:rPr>
                <w:sz w:val="20"/>
                <w:szCs w:val="20"/>
              </w:rPr>
            </w:pPr>
            <w:r w:rsidDel="00000000" w:rsidR="00000000" w:rsidRPr="00000000">
              <w:rPr>
                <w:sz w:val="20"/>
                <w:szCs w:val="20"/>
                <w:rtl w:val="0"/>
              </w:rPr>
              <w:t xml:space="preserve">Orkney, Buckquoy Birsay</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2AB">
            <w:pPr>
              <w:spacing w:after="0" w:line="240" w:lineRule="auto"/>
              <w:jc w:val="right"/>
              <w:rPr>
                <w:sz w:val="20"/>
                <w:szCs w:val="20"/>
              </w:rPr>
            </w:pPr>
            <w:r w:rsidDel="00000000" w:rsidR="00000000" w:rsidRPr="00000000">
              <w:rPr>
                <w:sz w:val="20"/>
                <w:szCs w:val="20"/>
                <w:rtl w:val="0"/>
              </w:rPr>
              <w:t xml:space="preserve">2</w:t>
            </w:r>
          </w:p>
        </w:tc>
        <w:tc>
          <w:tcPr>
            <w:tcBorders>
              <w:top w:color="000000" w:space="0" w:sz="0" w:val="nil"/>
              <w:left w:color="000000" w:space="0" w:sz="0" w:val="nil"/>
              <w:bottom w:color="000000" w:space="0" w:sz="0" w:val="nil"/>
              <w:right w:color="000000" w:space="0" w:sz="0" w:val="nil"/>
            </w:tcBorders>
            <w:shd w:fill="fff2cc" w:val="clear"/>
            <w:vAlign w:val="center"/>
          </w:tcPr>
          <w:p w:rsidR="00000000" w:rsidDel="00000000" w:rsidP="00000000" w:rsidRDefault="00000000" w:rsidRPr="00000000" w14:paraId="000002AC">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0" w:val="nil"/>
              <w:right w:color="000000" w:space="0" w:sz="0" w:val="nil"/>
            </w:tcBorders>
            <w:shd w:fill="fff2cc" w:val="clear"/>
            <w:vAlign w:val="center"/>
          </w:tcPr>
          <w:p w:rsidR="00000000" w:rsidDel="00000000" w:rsidP="00000000" w:rsidRDefault="00000000" w:rsidRPr="00000000" w14:paraId="000002AD">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0" w:val="nil"/>
              <w:right w:color="000000" w:space="0" w:sz="0" w:val="nil"/>
            </w:tcBorders>
            <w:shd w:fill="d9e1f2" w:val="clear"/>
            <w:vAlign w:val="center"/>
          </w:tcPr>
          <w:p w:rsidR="00000000" w:rsidDel="00000000" w:rsidP="00000000" w:rsidRDefault="00000000" w:rsidRPr="00000000" w14:paraId="000002AE">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0" w:val="nil"/>
              <w:right w:color="000000" w:space="0" w:sz="0" w:val="nil"/>
            </w:tcBorders>
            <w:shd w:fill="d9e1f2" w:val="clear"/>
            <w:vAlign w:val="center"/>
          </w:tcPr>
          <w:p w:rsidR="00000000" w:rsidDel="00000000" w:rsidP="00000000" w:rsidRDefault="00000000" w:rsidRPr="00000000" w14:paraId="000002AF">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0" w:val="nil"/>
              <w:right w:color="000000" w:space="0" w:sz="0" w:val="nil"/>
            </w:tcBorders>
            <w:shd w:fill="d9d9d9" w:val="clear"/>
            <w:vAlign w:val="center"/>
          </w:tcPr>
          <w:p w:rsidR="00000000" w:rsidDel="00000000" w:rsidP="00000000" w:rsidRDefault="00000000" w:rsidRPr="00000000" w14:paraId="000002B0">
            <w:pPr>
              <w:spacing w:after="0" w:line="240" w:lineRule="auto"/>
              <w:jc w:val="right"/>
              <w:rPr>
                <w:sz w:val="20"/>
                <w:szCs w:val="20"/>
              </w:rPr>
            </w:pPr>
            <w:r w:rsidDel="00000000" w:rsidR="00000000" w:rsidRPr="00000000">
              <w:rPr>
                <w:sz w:val="20"/>
                <w:szCs w:val="20"/>
                <w:rtl w:val="0"/>
              </w:rPr>
              <w:t xml:space="preserve">2</w:t>
            </w:r>
          </w:p>
        </w:tc>
        <w:tc>
          <w:tcPr>
            <w:tcBorders>
              <w:top w:color="000000" w:space="0" w:sz="0" w:val="nil"/>
              <w:left w:color="000000" w:space="0" w:sz="0" w:val="nil"/>
              <w:bottom w:color="000000" w:space="0" w:sz="0" w:val="nil"/>
              <w:right w:color="000000" w:space="0" w:sz="0" w:val="nil"/>
            </w:tcBorders>
            <w:shd w:fill="d9d9d9" w:val="clear"/>
            <w:vAlign w:val="center"/>
          </w:tcPr>
          <w:p w:rsidR="00000000" w:rsidDel="00000000" w:rsidP="00000000" w:rsidRDefault="00000000" w:rsidRPr="00000000" w14:paraId="000002B1">
            <w:pPr>
              <w:spacing w:after="0" w:line="240" w:lineRule="auto"/>
              <w:jc w:val="right"/>
              <w:rPr>
                <w:sz w:val="20"/>
                <w:szCs w:val="20"/>
              </w:rPr>
            </w:pPr>
            <w:r w:rsidDel="00000000" w:rsidR="00000000" w:rsidRPr="00000000">
              <w:rPr>
                <w:sz w:val="20"/>
                <w:szCs w:val="20"/>
                <w:rtl w:val="0"/>
              </w:rPr>
              <w:t xml:space="preserve"> </w:t>
            </w:r>
          </w:p>
        </w:tc>
      </w:tr>
      <w:tr>
        <w:trPr>
          <w:cantSplit w:val="0"/>
          <w:trHeight w:val="315" w:hRule="atLeast"/>
          <w:tblHeader w:val="0"/>
        </w:trPr>
        <w:tc>
          <w:tcPr>
            <w:tcBorders>
              <w:top w:color="000000" w:space="0" w:sz="0" w:val="nil"/>
              <w:left w:color="000000" w:space="0" w:sz="0" w:val="nil"/>
              <w:bottom w:color="305496" w:space="0" w:sz="4" w:val="single"/>
              <w:right w:color="000000" w:space="0" w:sz="0" w:val="nil"/>
            </w:tcBorders>
            <w:shd w:fill="auto" w:val="clear"/>
            <w:vAlign w:val="center"/>
          </w:tcPr>
          <w:p w:rsidR="00000000" w:rsidDel="00000000" w:rsidP="00000000" w:rsidRDefault="00000000" w:rsidRPr="00000000" w14:paraId="000002B2">
            <w:pPr>
              <w:spacing w:after="0" w:line="240" w:lineRule="auto"/>
              <w:rPr>
                <w:sz w:val="20"/>
                <w:szCs w:val="20"/>
              </w:rPr>
            </w:pPr>
            <w:r w:rsidDel="00000000" w:rsidR="00000000" w:rsidRPr="00000000">
              <w:rPr>
                <w:sz w:val="20"/>
                <w:szCs w:val="20"/>
                <w:rtl w:val="0"/>
              </w:rPr>
              <w:t xml:space="preserve">Orkney, Newark Deerness</w:t>
            </w:r>
          </w:p>
        </w:tc>
        <w:tc>
          <w:tcPr>
            <w:tcBorders>
              <w:top w:color="000000" w:space="0" w:sz="0" w:val="nil"/>
              <w:left w:color="000000" w:space="0" w:sz="0" w:val="nil"/>
              <w:bottom w:color="305496" w:space="0" w:sz="4" w:val="single"/>
              <w:right w:color="000000" w:space="0" w:sz="0" w:val="nil"/>
            </w:tcBorders>
            <w:shd w:fill="auto" w:val="clear"/>
            <w:vAlign w:val="center"/>
          </w:tcPr>
          <w:p w:rsidR="00000000" w:rsidDel="00000000" w:rsidP="00000000" w:rsidRDefault="00000000" w:rsidRPr="00000000" w14:paraId="000002B3">
            <w:pPr>
              <w:spacing w:after="0" w:line="240" w:lineRule="auto"/>
              <w:jc w:val="right"/>
              <w:rPr>
                <w:sz w:val="20"/>
                <w:szCs w:val="20"/>
              </w:rPr>
            </w:pPr>
            <w:r w:rsidDel="00000000" w:rsidR="00000000" w:rsidRPr="00000000">
              <w:rPr>
                <w:sz w:val="20"/>
                <w:szCs w:val="20"/>
                <w:rtl w:val="0"/>
              </w:rPr>
              <w:t xml:space="preserve">3</w:t>
            </w:r>
          </w:p>
        </w:tc>
        <w:tc>
          <w:tcPr>
            <w:tcBorders>
              <w:top w:color="000000" w:space="0" w:sz="0" w:val="nil"/>
              <w:left w:color="000000" w:space="0" w:sz="0" w:val="nil"/>
              <w:bottom w:color="305496" w:space="0" w:sz="4" w:val="single"/>
              <w:right w:color="000000" w:space="0" w:sz="0" w:val="nil"/>
            </w:tcBorders>
            <w:shd w:fill="fff2cc" w:val="clear"/>
            <w:vAlign w:val="center"/>
          </w:tcPr>
          <w:p w:rsidR="00000000" w:rsidDel="00000000" w:rsidP="00000000" w:rsidRDefault="00000000" w:rsidRPr="00000000" w14:paraId="000002B4">
            <w:pPr>
              <w:spacing w:after="0" w:line="240" w:lineRule="auto"/>
              <w:jc w:val="right"/>
              <w:rPr>
                <w:sz w:val="20"/>
                <w:szCs w:val="20"/>
              </w:rPr>
            </w:pPr>
            <w:r w:rsidDel="00000000" w:rsidR="00000000" w:rsidRPr="00000000">
              <w:rPr>
                <w:sz w:val="20"/>
                <w:szCs w:val="20"/>
                <w:rtl w:val="0"/>
              </w:rPr>
              <w:t xml:space="preserve">1</w:t>
            </w:r>
          </w:p>
        </w:tc>
        <w:tc>
          <w:tcPr>
            <w:tcBorders>
              <w:top w:color="000000" w:space="0" w:sz="0" w:val="nil"/>
              <w:left w:color="000000" w:space="0" w:sz="0" w:val="nil"/>
              <w:bottom w:color="305496" w:space="0" w:sz="4" w:val="single"/>
              <w:right w:color="000000" w:space="0" w:sz="0" w:val="nil"/>
            </w:tcBorders>
            <w:shd w:fill="fff2cc" w:val="clear"/>
            <w:vAlign w:val="center"/>
          </w:tcPr>
          <w:p w:rsidR="00000000" w:rsidDel="00000000" w:rsidP="00000000" w:rsidRDefault="00000000" w:rsidRPr="00000000" w14:paraId="000002B5">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305496" w:space="0" w:sz="4" w:val="single"/>
              <w:right w:color="000000" w:space="0" w:sz="0" w:val="nil"/>
            </w:tcBorders>
            <w:shd w:fill="d9e1f2" w:val="clear"/>
            <w:vAlign w:val="center"/>
          </w:tcPr>
          <w:p w:rsidR="00000000" w:rsidDel="00000000" w:rsidP="00000000" w:rsidRDefault="00000000" w:rsidRPr="00000000" w14:paraId="000002B6">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305496" w:space="0" w:sz="4" w:val="single"/>
              <w:right w:color="000000" w:space="0" w:sz="0" w:val="nil"/>
            </w:tcBorders>
            <w:shd w:fill="d9e1f2" w:val="clear"/>
            <w:vAlign w:val="center"/>
          </w:tcPr>
          <w:p w:rsidR="00000000" w:rsidDel="00000000" w:rsidP="00000000" w:rsidRDefault="00000000" w:rsidRPr="00000000" w14:paraId="000002B7">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305496" w:space="0" w:sz="4" w:val="single"/>
              <w:right w:color="000000" w:space="0" w:sz="0" w:val="nil"/>
            </w:tcBorders>
            <w:shd w:fill="d9d9d9" w:val="clear"/>
            <w:vAlign w:val="center"/>
          </w:tcPr>
          <w:p w:rsidR="00000000" w:rsidDel="00000000" w:rsidP="00000000" w:rsidRDefault="00000000" w:rsidRPr="00000000" w14:paraId="000002B8">
            <w:pPr>
              <w:spacing w:after="0" w:line="240" w:lineRule="auto"/>
              <w:jc w:val="right"/>
              <w:rPr>
                <w:sz w:val="20"/>
                <w:szCs w:val="20"/>
              </w:rPr>
            </w:pPr>
            <w:r w:rsidDel="00000000" w:rsidR="00000000" w:rsidRPr="00000000">
              <w:rPr>
                <w:sz w:val="20"/>
                <w:szCs w:val="20"/>
                <w:rtl w:val="0"/>
              </w:rPr>
              <w:t xml:space="preserve">2</w:t>
            </w:r>
          </w:p>
        </w:tc>
        <w:tc>
          <w:tcPr>
            <w:tcBorders>
              <w:top w:color="000000" w:space="0" w:sz="0" w:val="nil"/>
              <w:left w:color="000000" w:space="0" w:sz="0" w:val="nil"/>
              <w:bottom w:color="305496" w:space="0" w:sz="4" w:val="single"/>
              <w:right w:color="000000" w:space="0" w:sz="0" w:val="nil"/>
            </w:tcBorders>
            <w:shd w:fill="d9d9d9" w:val="clear"/>
            <w:vAlign w:val="center"/>
          </w:tcPr>
          <w:p w:rsidR="00000000" w:rsidDel="00000000" w:rsidP="00000000" w:rsidRDefault="00000000" w:rsidRPr="00000000" w14:paraId="000002B9">
            <w:pPr>
              <w:spacing w:after="0" w:line="240" w:lineRule="auto"/>
              <w:jc w:val="right"/>
              <w:rPr>
                <w:sz w:val="20"/>
                <w:szCs w:val="20"/>
              </w:rPr>
            </w:pPr>
            <w:r w:rsidDel="00000000" w:rsidR="00000000" w:rsidRPr="00000000">
              <w:rPr>
                <w:sz w:val="20"/>
                <w:szCs w:val="20"/>
                <w:rtl w:val="0"/>
              </w:rPr>
              <w:t xml:space="preserve"> </w:t>
            </w:r>
          </w:p>
        </w:tc>
      </w:tr>
      <w:tr>
        <w:trPr>
          <w:cantSplit w:val="0"/>
          <w:trHeight w:val="315" w:hRule="atLeast"/>
          <w:tblHeader w:val="0"/>
        </w:trPr>
        <w:tc>
          <w:tcPr>
            <w:tcBorders>
              <w:top w:color="000000" w:space="0" w:sz="0" w:val="nil"/>
              <w:left w:color="000000" w:space="0" w:sz="0" w:val="nil"/>
              <w:bottom w:color="8ea9db" w:space="0" w:sz="4" w:val="single"/>
              <w:right w:color="000000" w:space="0" w:sz="0" w:val="nil"/>
            </w:tcBorders>
            <w:shd w:fill="f2f2f2" w:val="clear"/>
            <w:vAlign w:val="center"/>
          </w:tcPr>
          <w:p w:rsidR="00000000" w:rsidDel="00000000" w:rsidP="00000000" w:rsidRDefault="00000000" w:rsidRPr="00000000" w14:paraId="000002BA">
            <w:pPr>
              <w:spacing w:after="0" w:line="240" w:lineRule="auto"/>
              <w:rPr>
                <w:b w:val="1"/>
                <w:sz w:val="20"/>
                <w:szCs w:val="20"/>
              </w:rPr>
            </w:pPr>
            <w:r w:rsidDel="00000000" w:rsidR="00000000" w:rsidRPr="00000000">
              <w:rPr>
                <w:b w:val="1"/>
                <w:sz w:val="20"/>
                <w:szCs w:val="20"/>
                <w:rtl w:val="0"/>
              </w:rPr>
              <w:t xml:space="preserve">Wales</w:t>
            </w:r>
          </w:p>
        </w:tc>
        <w:tc>
          <w:tcPr>
            <w:tcBorders>
              <w:top w:color="000000" w:space="0" w:sz="0" w:val="nil"/>
              <w:left w:color="000000" w:space="0" w:sz="0" w:val="nil"/>
              <w:bottom w:color="8ea9db" w:space="0" w:sz="4" w:val="single"/>
              <w:right w:color="000000" w:space="0" w:sz="0" w:val="nil"/>
            </w:tcBorders>
            <w:shd w:fill="f2f2f2" w:val="clear"/>
            <w:vAlign w:val="center"/>
          </w:tcPr>
          <w:p w:rsidR="00000000" w:rsidDel="00000000" w:rsidP="00000000" w:rsidRDefault="00000000" w:rsidRPr="00000000" w14:paraId="000002BB">
            <w:pPr>
              <w:spacing w:after="0" w:line="240" w:lineRule="auto"/>
              <w:jc w:val="right"/>
              <w:rPr>
                <w:b w:val="1"/>
                <w:sz w:val="20"/>
                <w:szCs w:val="20"/>
              </w:rPr>
            </w:pPr>
            <w:r w:rsidDel="00000000" w:rsidR="00000000" w:rsidRPr="00000000">
              <w:rPr>
                <w:b w:val="1"/>
                <w:sz w:val="20"/>
                <w:szCs w:val="20"/>
                <w:rtl w:val="0"/>
              </w:rPr>
              <w:t xml:space="preserve">1</w:t>
            </w:r>
          </w:p>
        </w:tc>
        <w:tc>
          <w:tcPr>
            <w:tcBorders>
              <w:top w:color="000000" w:space="0" w:sz="0" w:val="nil"/>
              <w:left w:color="000000" w:space="0" w:sz="0" w:val="nil"/>
              <w:bottom w:color="8ea9db" w:space="0" w:sz="4" w:val="single"/>
              <w:right w:color="000000" w:space="0" w:sz="0" w:val="nil"/>
            </w:tcBorders>
            <w:shd w:fill="f2f2f2" w:val="clear"/>
            <w:vAlign w:val="center"/>
          </w:tcPr>
          <w:p w:rsidR="00000000" w:rsidDel="00000000" w:rsidP="00000000" w:rsidRDefault="00000000" w:rsidRPr="00000000" w14:paraId="000002BC">
            <w:pPr>
              <w:spacing w:after="0" w:line="240" w:lineRule="auto"/>
              <w:jc w:val="right"/>
              <w:rPr>
                <w:b w:val="1"/>
                <w:sz w:val="20"/>
                <w:szCs w:val="20"/>
              </w:rPr>
            </w:pPr>
            <w:r w:rsidDel="00000000" w:rsidR="00000000" w:rsidRPr="00000000">
              <w:rPr>
                <w:b w:val="1"/>
                <w:sz w:val="20"/>
                <w:szCs w:val="20"/>
                <w:rtl w:val="0"/>
              </w:rPr>
              <w:t xml:space="preserve"> </w:t>
            </w:r>
          </w:p>
        </w:tc>
        <w:tc>
          <w:tcPr>
            <w:tcBorders>
              <w:top w:color="000000" w:space="0" w:sz="0" w:val="nil"/>
              <w:left w:color="000000" w:space="0" w:sz="0" w:val="nil"/>
              <w:bottom w:color="8ea9db" w:space="0" w:sz="4" w:val="single"/>
              <w:right w:color="000000" w:space="0" w:sz="0" w:val="nil"/>
            </w:tcBorders>
            <w:shd w:fill="f2f2f2" w:val="clear"/>
            <w:vAlign w:val="center"/>
          </w:tcPr>
          <w:p w:rsidR="00000000" w:rsidDel="00000000" w:rsidP="00000000" w:rsidRDefault="00000000" w:rsidRPr="00000000" w14:paraId="000002BD">
            <w:pPr>
              <w:spacing w:after="0" w:line="240" w:lineRule="auto"/>
              <w:jc w:val="right"/>
              <w:rPr>
                <w:b w:val="1"/>
                <w:sz w:val="20"/>
                <w:szCs w:val="20"/>
              </w:rPr>
            </w:pPr>
            <w:r w:rsidDel="00000000" w:rsidR="00000000" w:rsidRPr="00000000">
              <w:rPr>
                <w:b w:val="1"/>
                <w:sz w:val="20"/>
                <w:szCs w:val="20"/>
                <w:rtl w:val="0"/>
              </w:rPr>
              <w:t xml:space="preserve"> </w:t>
            </w:r>
          </w:p>
        </w:tc>
        <w:tc>
          <w:tcPr>
            <w:tcBorders>
              <w:top w:color="000000" w:space="0" w:sz="0" w:val="nil"/>
              <w:left w:color="000000" w:space="0" w:sz="0" w:val="nil"/>
              <w:bottom w:color="8ea9db" w:space="0" w:sz="4" w:val="single"/>
              <w:right w:color="000000" w:space="0" w:sz="0" w:val="nil"/>
            </w:tcBorders>
            <w:shd w:fill="f2f2f2" w:val="clear"/>
            <w:vAlign w:val="center"/>
          </w:tcPr>
          <w:p w:rsidR="00000000" w:rsidDel="00000000" w:rsidP="00000000" w:rsidRDefault="00000000" w:rsidRPr="00000000" w14:paraId="000002BE">
            <w:pPr>
              <w:spacing w:after="0" w:line="240" w:lineRule="auto"/>
              <w:jc w:val="right"/>
              <w:rPr>
                <w:b w:val="1"/>
                <w:sz w:val="20"/>
                <w:szCs w:val="20"/>
              </w:rPr>
            </w:pPr>
            <w:r w:rsidDel="00000000" w:rsidR="00000000" w:rsidRPr="00000000">
              <w:rPr>
                <w:b w:val="1"/>
                <w:sz w:val="20"/>
                <w:szCs w:val="20"/>
                <w:rtl w:val="0"/>
              </w:rPr>
              <w:t xml:space="preserve"> </w:t>
            </w:r>
          </w:p>
        </w:tc>
        <w:tc>
          <w:tcPr>
            <w:tcBorders>
              <w:top w:color="000000" w:space="0" w:sz="0" w:val="nil"/>
              <w:left w:color="000000" w:space="0" w:sz="0" w:val="nil"/>
              <w:bottom w:color="8ea9db" w:space="0" w:sz="4" w:val="single"/>
              <w:right w:color="000000" w:space="0" w:sz="0" w:val="nil"/>
            </w:tcBorders>
            <w:shd w:fill="f2f2f2" w:val="clear"/>
            <w:vAlign w:val="center"/>
          </w:tcPr>
          <w:p w:rsidR="00000000" w:rsidDel="00000000" w:rsidP="00000000" w:rsidRDefault="00000000" w:rsidRPr="00000000" w14:paraId="000002BF">
            <w:pPr>
              <w:spacing w:after="0" w:line="240" w:lineRule="auto"/>
              <w:jc w:val="right"/>
              <w:rPr>
                <w:b w:val="1"/>
                <w:sz w:val="20"/>
                <w:szCs w:val="20"/>
              </w:rPr>
            </w:pPr>
            <w:r w:rsidDel="00000000" w:rsidR="00000000" w:rsidRPr="00000000">
              <w:rPr>
                <w:b w:val="1"/>
                <w:sz w:val="20"/>
                <w:szCs w:val="20"/>
                <w:rtl w:val="0"/>
              </w:rPr>
              <w:t xml:space="preserve"> </w:t>
            </w:r>
          </w:p>
        </w:tc>
        <w:tc>
          <w:tcPr>
            <w:tcBorders>
              <w:top w:color="000000" w:space="0" w:sz="0" w:val="nil"/>
              <w:left w:color="000000" w:space="0" w:sz="0" w:val="nil"/>
              <w:bottom w:color="8ea9db" w:space="0" w:sz="4" w:val="single"/>
              <w:right w:color="000000" w:space="0" w:sz="0" w:val="nil"/>
            </w:tcBorders>
            <w:shd w:fill="f2f2f2" w:val="clear"/>
            <w:vAlign w:val="center"/>
          </w:tcPr>
          <w:p w:rsidR="00000000" w:rsidDel="00000000" w:rsidP="00000000" w:rsidRDefault="00000000" w:rsidRPr="00000000" w14:paraId="000002C0">
            <w:pPr>
              <w:spacing w:after="0" w:line="240" w:lineRule="auto"/>
              <w:jc w:val="right"/>
              <w:rPr>
                <w:b w:val="1"/>
                <w:sz w:val="20"/>
                <w:szCs w:val="20"/>
              </w:rPr>
            </w:pPr>
            <w:r w:rsidDel="00000000" w:rsidR="00000000" w:rsidRPr="00000000">
              <w:rPr>
                <w:b w:val="1"/>
                <w:sz w:val="20"/>
                <w:szCs w:val="20"/>
                <w:rtl w:val="0"/>
              </w:rPr>
              <w:t xml:space="preserve">1</w:t>
            </w:r>
          </w:p>
        </w:tc>
        <w:tc>
          <w:tcPr>
            <w:tcBorders>
              <w:top w:color="000000" w:space="0" w:sz="0" w:val="nil"/>
              <w:left w:color="000000" w:space="0" w:sz="0" w:val="nil"/>
              <w:bottom w:color="8ea9db" w:space="0" w:sz="4" w:val="single"/>
              <w:right w:color="000000" w:space="0" w:sz="0" w:val="nil"/>
            </w:tcBorders>
            <w:shd w:fill="f2f2f2" w:val="clear"/>
            <w:vAlign w:val="center"/>
          </w:tcPr>
          <w:p w:rsidR="00000000" w:rsidDel="00000000" w:rsidP="00000000" w:rsidRDefault="00000000" w:rsidRPr="00000000" w14:paraId="000002C1">
            <w:pPr>
              <w:spacing w:after="0" w:line="240" w:lineRule="auto"/>
              <w:jc w:val="right"/>
              <w:rPr>
                <w:b w:val="1"/>
                <w:sz w:val="20"/>
                <w:szCs w:val="20"/>
              </w:rPr>
            </w:pPr>
            <w:r w:rsidDel="00000000" w:rsidR="00000000" w:rsidRPr="00000000">
              <w:rPr>
                <w:b w:val="1"/>
                <w:sz w:val="20"/>
                <w:szCs w:val="20"/>
                <w:rtl w:val="0"/>
              </w:rPr>
              <w:t xml:space="preserve"> </w:t>
            </w:r>
          </w:p>
        </w:tc>
      </w:tr>
      <w:tr>
        <w:trPr>
          <w:cantSplit w:val="0"/>
          <w:trHeight w:val="315" w:hRule="atLeast"/>
          <w:tblHeader w:val="0"/>
        </w:trPr>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2C2">
            <w:pPr>
              <w:spacing w:after="0" w:line="240" w:lineRule="auto"/>
              <w:rPr>
                <w:b w:val="1"/>
                <w:sz w:val="20"/>
                <w:szCs w:val="20"/>
              </w:rPr>
            </w:pPr>
            <w:r w:rsidDel="00000000" w:rsidR="00000000" w:rsidRPr="00000000">
              <w:rPr>
                <w:b w:val="1"/>
                <w:sz w:val="20"/>
                <w:szCs w:val="20"/>
                <w:rtl w:val="0"/>
              </w:rPr>
              <w:t xml:space="preserve">Anglesey</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2C3">
            <w:pPr>
              <w:spacing w:after="0" w:line="240" w:lineRule="auto"/>
              <w:jc w:val="right"/>
              <w:rPr>
                <w:b w:val="1"/>
                <w:sz w:val="20"/>
                <w:szCs w:val="20"/>
              </w:rPr>
            </w:pPr>
            <w:r w:rsidDel="00000000" w:rsidR="00000000" w:rsidRPr="00000000">
              <w:rPr>
                <w:b w:val="1"/>
                <w:sz w:val="20"/>
                <w:szCs w:val="20"/>
                <w:rtl w:val="0"/>
              </w:rPr>
              <w:t xml:space="preserve">1</w:t>
            </w:r>
          </w:p>
        </w:tc>
        <w:tc>
          <w:tcPr>
            <w:tcBorders>
              <w:top w:color="000000" w:space="0" w:sz="0" w:val="nil"/>
              <w:left w:color="000000" w:space="0" w:sz="0" w:val="nil"/>
              <w:bottom w:color="000000" w:space="0" w:sz="4" w:val="single"/>
              <w:right w:color="000000" w:space="0" w:sz="0" w:val="nil"/>
            </w:tcBorders>
            <w:shd w:fill="fff2cc" w:val="clear"/>
            <w:vAlign w:val="center"/>
          </w:tcPr>
          <w:p w:rsidR="00000000" w:rsidDel="00000000" w:rsidP="00000000" w:rsidRDefault="00000000" w:rsidRPr="00000000" w14:paraId="000002C4">
            <w:pPr>
              <w:spacing w:after="0" w:line="240" w:lineRule="auto"/>
              <w:jc w:val="right"/>
              <w:rPr>
                <w:b w:val="1"/>
                <w:sz w:val="20"/>
                <w:szCs w:val="20"/>
              </w:rPr>
            </w:pPr>
            <w:r w:rsidDel="00000000" w:rsidR="00000000" w:rsidRPr="00000000">
              <w:rPr>
                <w:b w:val="1"/>
                <w:sz w:val="20"/>
                <w:szCs w:val="20"/>
                <w:rtl w:val="0"/>
              </w:rPr>
              <w:t xml:space="preserve"> </w:t>
            </w:r>
          </w:p>
        </w:tc>
        <w:tc>
          <w:tcPr>
            <w:tcBorders>
              <w:top w:color="000000" w:space="0" w:sz="0" w:val="nil"/>
              <w:left w:color="000000" w:space="0" w:sz="0" w:val="nil"/>
              <w:bottom w:color="000000" w:space="0" w:sz="4" w:val="single"/>
              <w:right w:color="000000" w:space="0" w:sz="0" w:val="nil"/>
            </w:tcBorders>
            <w:shd w:fill="fff2cc" w:val="clear"/>
            <w:vAlign w:val="center"/>
          </w:tcPr>
          <w:p w:rsidR="00000000" w:rsidDel="00000000" w:rsidP="00000000" w:rsidRDefault="00000000" w:rsidRPr="00000000" w14:paraId="000002C5">
            <w:pPr>
              <w:spacing w:after="0" w:line="240" w:lineRule="auto"/>
              <w:jc w:val="right"/>
              <w:rPr>
                <w:b w:val="1"/>
                <w:sz w:val="20"/>
                <w:szCs w:val="20"/>
              </w:rPr>
            </w:pPr>
            <w:r w:rsidDel="00000000" w:rsidR="00000000" w:rsidRPr="00000000">
              <w:rPr>
                <w:b w:val="1"/>
                <w:sz w:val="20"/>
                <w:szCs w:val="20"/>
                <w:rtl w:val="0"/>
              </w:rPr>
              <w:t xml:space="preserve"> </w:t>
            </w:r>
          </w:p>
        </w:tc>
        <w:tc>
          <w:tcPr>
            <w:tcBorders>
              <w:top w:color="000000" w:space="0" w:sz="0" w:val="nil"/>
              <w:left w:color="000000" w:space="0" w:sz="0" w:val="nil"/>
              <w:bottom w:color="000000" w:space="0" w:sz="4" w:val="single"/>
              <w:right w:color="000000" w:space="0" w:sz="0" w:val="nil"/>
            </w:tcBorders>
            <w:shd w:fill="d9e1f2" w:val="clear"/>
            <w:vAlign w:val="center"/>
          </w:tcPr>
          <w:p w:rsidR="00000000" w:rsidDel="00000000" w:rsidP="00000000" w:rsidRDefault="00000000" w:rsidRPr="00000000" w14:paraId="000002C6">
            <w:pPr>
              <w:spacing w:after="0" w:line="240" w:lineRule="auto"/>
              <w:jc w:val="right"/>
              <w:rPr>
                <w:b w:val="1"/>
                <w:sz w:val="20"/>
                <w:szCs w:val="20"/>
              </w:rPr>
            </w:pPr>
            <w:r w:rsidDel="00000000" w:rsidR="00000000" w:rsidRPr="00000000">
              <w:rPr>
                <w:b w:val="1"/>
                <w:sz w:val="20"/>
                <w:szCs w:val="20"/>
                <w:rtl w:val="0"/>
              </w:rPr>
              <w:t xml:space="preserve"> </w:t>
            </w:r>
          </w:p>
        </w:tc>
        <w:tc>
          <w:tcPr>
            <w:tcBorders>
              <w:top w:color="000000" w:space="0" w:sz="0" w:val="nil"/>
              <w:left w:color="000000" w:space="0" w:sz="0" w:val="nil"/>
              <w:bottom w:color="000000" w:space="0" w:sz="4" w:val="single"/>
              <w:right w:color="000000" w:space="0" w:sz="0" w:val="nil"/>
            </w:tcBorders>
            <w:shd w:fill="d9e1f2" w:val="clear"/>
            <w:vAlign w:val="center"/>
          </w:tcPr>
          <w:p w:rsidR="00000000" w:rsidDel="00000000" w:rsidP="00000000" w:rsidRDefault="00000000" w:rsidRPr="00000000" w14:paraId="000002C7">
            <w:pPr>
              <w:spacing w:after="0" w:line="240" w:lineRule="auto"/>
              <w:jc w:val="right"/>
              <w:rPr>
                <w:b w:val="1"/>
                <w:sz w:val="20"/>
                <w:szCs w:val="20"/>
              </w:rPr>
            </w:pPr>
            <w:r w:rsidDel="00000000" w:rsidR="00000000" w:rsidRPr="00000000">
              <w:rPr>
                <w:b w:val="1"/>
                <w:sz w:val="20"/>
                <w:szCs w:val="20"/>
                <w:rtl w:val="0"/>
              </w:rPr>
              <w:t xml:space="preserve"> </w:t>
            </w:r>
          </w:p>
        </w:tc>
        <w:tc>
          <w:tcPr>
            <w:tcBorders>
              <w:top w:color="000000" w:space="0" w:sz="0" w:val="nil"/>
              <w:left w:color="000000" w:space="0" w:sz="0" w:val="nil"/>
              <w:bottom w:color="000000" w:space="0" w:sz="4" w:val="single"/>
              <w:right w:color="000000" w:space="0" w:sz="0" w:val="nil"/>
            </w:tcBorders>
            <w:shd w:fill="d9d9d9" w:val="clear"/>
            <w:vAlign w:val="center"/>
          </w:tcPr>
          <w:p w:rsidR="00000000" w:rsidDel="00000000" w:rsidP="00000000" w:rsidRDefault="00000000" w:rsidRPr="00000000" w14:paraId="000002C8">
            <w:pPr>
              <w:spacing w:after="0" w:line="240" w:lineRule="auto"/>
              <w:jc w:val="right"/>
              <w:rPr>
                <w:b w:val="1"/>
                <w:sz w:val="20"/>
                <w:szCs w:val="20"/>
              </w:rPr>
            </w:pPr>
            <w:r w:rsidDel="00000000" w:rsidR="00000000" w:rsidRPr="00000000">
              <w:rPr>
                <w:b w:val="1"/>
                <w:sz w:val="20"/>
                <w:szCs w:val="20"/>
                <w:rtl w:val="0"/>
              </w:rPr>
              <w:t xml:space="preserve">1</w:t>
            </w:r>
          </w:p>
        </w:tc>
        <w:tc>
          <w:tcPr>
            <w:tcBorders>
              <w:top w:color="000000" w:space="0" w:sz="0" w:val="nil"/>
              <w:left w:color="000000" w:space="0" w:sz="0" w:val="nil"/>
              <w:bottom w:color="000000" w:space="0" w:sz="4" w:val="single"/>
              <w:right w:color="000000" w:space="0" w:sz="0" w:val="nil"/>
            </w:tcBorders>
            <w:shd w:fill="d9d9d9" w:val="clear"/>
            <w:vAlign w:val="center"/>
          </w:tcPr>
          <w:p w:rsidR="00000000" w:rsidDel="00000000" w:rsidP="00000000" w:rsidRDefault="00000000" w:rsidRPr="00000000" w14:paraId="000002C9">
            <w:pPr>
              <w:spacing w:after="0" w:line="240" w:lineRule="auto"/>
              <w:jc w:val="right"/>
              <w:rPr>
                <w:b w:val="1"/>
                <w:sz w:val="20"/>
                <w:szCs w:val="20"/>
              </w:rPr>
            </w:pPr>
            <w:r w:rsidDel="00000000" w:rsidR="00000000" w:rsidRPr="00000000">
              <w:rPr>
                <w:b w:val="1"/>
                <w:sz w:val="20"/>
                <w:szCs w:val="20"/>
                <w:rtl w:val="0"/>
              </w:rPr>
              <w:t xml:space="preserve"> </w:t>
            </w:r>
          </w:p>
        </w:tc>
      </w:tr>
      <w:tr>
        <w:trPr>
          <w:cantSplit w:val="0"/>
          <w:trHeight w:val="315" w:hRule="atLeast"/>
          <w:tblHeader w:val="0"/>
        </w:trPr>
        <w:tc>
          <w:tcPr>
            <w:tcBorders>
              <w:top w:color="000000" w:space="0" w:sz="0" w:val="nil"/>
              <w:left w:color="000000" w:space="0" w:sz="0" w:val="nil"/>
              <w:bottom w:color="305496" w:space="0" w:sz="4" w:val="single"/>
              <w:right w:color="000000" w:space="0" w:sz="0" w:val="nil"/>
            </w:tcBorders>
            <w:shd w:fill="auto" w:val="clear"/>
            <w:vAlign w:val="center"/>
          </w:tcPr>
          <w:p w:rsidR="00000000" w:rsidDel="00000000" w:rsidP="00000000" w:rsidRDefault="00000000" w:rsidRPr="00000000" w14:paraId="000002CA">
            <w:pPr>
              <w:spacing w:after="0" w:line="240" w:lineRule="auto"/>
              <w:rPr>
                <w:sz w:val="20"/>
                <w:szCs w:val="20"/>
              </w:rPr>
            </w:pPr>
            <w:r w:rsidDel="00000000" w:rsidR="00000000" w:rsidRPr="00000000">
              <w:rPr>
                <w:sz w:val="20"/>
                <w:szCs w:val="20"/>
                <w:rtl w:val="0"/>
              </w:rPr>
              <w:t xml:space="preserve">Glyn Llanbedrgoch</w:t>
            </w:r>
          </w:p>
        </w:tc>
        <w:tc>
          <w:tcPr>
            <w:tcBorders>
              <w:top w:color="000000" w:space="0" w:sz="0" w:val="nil"/>
              <w:left w:color="000000" w:space="0" w:sz="0" w:val="nil"/>
              <w:bottom w:color="305496" w:space="0" w:sz="4" w:val="single"/>
              <w:right w:color="000000" w:space="0" w:sz="0" w:val="nil"/>
            </w:tcBorders>
            <w:shd w:fill="auto" w:val="clear"/>
            <w:vAlign w:val="center"/>
          </w:tcPr>
          <w:p w:rsidR="00000000" w:rsidDel="00000000" w:rsidP="00000000" w:rsidRDefault="00000000" w:rsidRPr="00000000" w14:paraId="000002CB">
            <w:pPr>
              <w:spacing w:after="0" w:line="240" w:lineRule="auto"/>
              <w:jc w:val="right"/>
              <w:rPr>
                <w:sz w:val="20"/>
                <w:szCs w:val="20"/>
              </w:rPr>
            </w:pPr>
            <w:r w:rsidDel="00000000" w:rsidR="00000000" w:rsidRPr="00000000">
              <w:rPr>
                <w:sz w:val="20"/>
                <w:szCs w:val="20"/>
                <w:rtl w:val="0"/>
              </w:rPr>
              <w:t xml:space="preserve">1</w:t>
            </w:r>
          </w:p>
        </w:tc>
        <w:tc>
          <w:tcPr>
            <w:tcBorders>
              <w:top w:color="000000" w:space="0" w:sz="0" w:val="nil"/>
              <w:left w:color="000000" w:space="0" w:sz="0" w:val="nil"/>
              <w:bottom w:color="305496" w:space="0" w:sz="4" w:val="single"/>
              <w:right w:color="000000" w:space="0" w:sz="0" w:val="nil"/>
            </w:tcBorders>
            <w:shd w:fill="fff2cc" w:val="clear"/>
            <w:vAlign w:val="center"/>
          </w:tcPr>
          <w:p w:rsidR="00000000" w:rsidDel="00000000" w:rsidP="00000000" w:rsidRDefault="00000000" w:rsidRPr="00000000" w14:paraId="000002CC">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305496" w:space="0" w:sz="4" w:val="single"/>
              <w:right w:color="000000" w:space="0" w:sz="0" w:val="nil"/>
            </w:tcBorders>
            <w:shd w:fill="fff2cc" w:val="clear"/>
            <w:vAlign w:val="center"/>
          </w:tcPr>
          <w:p w:rsidR="00000000" w:rsidDel="00000000" w:rsidP="00000000" w:rsidRDefault="00000000" w:rsidRPr="00000000" w14:paraId="000002CD">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305496" w:space="0" w:sz="4" w:val="single"/>
              <w:right w:color="000000" w:space="0" w:sz="0" w:val="nil"/>
            </w:tcBorders>
            <w:shd w:fill="d9e1f2" w:val="clear"/>
            <w:vAlign w:val="center"/>
          </w:tcPr>
          <w:p w:rsidR="00000000" w:rsidDel="00000000" w:rsidP="00000000" w:rsidRDefault="00000000" w:rsidRPr="00000000" w14:paraId="000002CE">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305496" w:space="0" w:sz="4" w:val="single"/>
              <w:right w:color="000000" w:space="0" w:sz="0" w:val="nil"/>
            </w:tcBorders>
            <w:shd w:fill="d9e1f2" w:val="clear"/>
            <w:vAlign w:val="center"/>
          </w:tcPr>
          <w:p w:rsidR="00000000" w:rsidDel="00000000" w:rsidP="00000000" w:rsidRDefault="00000000" w:rsidRPr="00000000" w14:paraId="000002CF">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305496" w:space="0" w:sz="4" w:val="single"/>
              <w:right w:color="000000" w:space="0" w:sz="0" w:val="nil"/>
            </w:tcBorders>
            <w:shd w:fill="d9d9d9" w:val="clear"/>
            <w:vAlign w:val="center"/>
          </w:tcPr>
          <w:p w:rsidR="00000000" w:rsidDel="00000000" w:rsidP="00000000" w:rsidRDefault="00000000" w:rsidRPr="00000000" w14:paraId="000002D0">
            <w:pPr>
              <w:spacing w:after="0" w:line="240" w:lineRule="auto"/>
              <w:jc w:val="right"/>
              <w:rPr>
                <w:sz w:val="20"/>
                <w:szCs w:val="20"/>
              </w:rPr>
            </w:pPr>
            <w:r w:rsidDel="00000000" w:rsidR="00000000" w:rsidRPr="00000000">
              <w:rPr>
                <w:sz w:val="20"/>
                <w:szCs w:val="20"/>
                <w:rtl w:val="0"/>
              </w:rPr>
              <w:t xml:space="preserve">1</w:t>
            </w:r>
          </w:p>
        </w:tc>
        <w:tc>
          <w:tcPr>
            <w:tcBorders>
              <w:top w:color="000000" w:space="0" w:sz="0" w:val="nil"/>
              <w:left w:color="000000" w:space="0" w:sz="0" w:val="nil"/>
              <w:bottom w:color="305496" w:space="0" w:sz="4" w:val="single"/>
              <w:right w:color="000000" w:space="0" w:sz="0" w:val="nil"/>
            </w:tcBorders>
            <w:shd w:fill="d9d9d9" w:val="clear"/>
            <w:vAlign w:val="center"/>
          </w:tcPr>
          <w:p w:rsidR="00000000" w:rsidDel="00000000" w:rsidP="00000000" w:rsidRDefault="00000000" w:rsidRPr="00000000" w14:paraId="000002D1">
            <w:pPr>
              <w:spacing w:after="0" w:line="240" w:lineRule="auto"/>
              <w:jc w:val="right"/>
              <w:rPr>
                <w:sz w:val="20"/>
                <w:szCs w:val="20"/>
              </w:rPr>
            </w:pPr>
            <w:r w:rsidDel="00000000" w:rsidR="00000000" w:rsidRPr="00000000">
              <w:rPr>
                <w:sz w:val="20"/>
                <w:szCs w:val="20"/>
                <w:rtl w:val="0"/>
              </w:rPr>
              <w:t xml:space="preserve"> </w:t>
            </w:r>
          </w:p>
        </w:tc>
      </w:tr>
      <w:tr>
        <w:trPr>
          <w:cantSplit w:val="0"/>
          <w:trHeight w:val="315" w:hRule="atLeast"/>
          <w:tblHeader w:val="0"/>
        </w:trPr>
        <w:tc>
          <w:tcPr>
            <w:tcBorders>
              <w:top w:color="000000" w:space="0" w:sz="0" w:val="nil"/>
              <w:left w:color="000000" w:space="0" w:sz="0" w:val="nil"/>
              <w:bottom w:color="8ea9db" w:space="0" w:sz="4" w:val="single"/>
              <w:right w:color="000000" w:space="0" w:sz="0" w:val="nil"/>
            </w:tcBorders>
            <w:shd w:fill="f2f2f2" w:val="clear"/>
            <w:vAlign w:val="center"/>
          </w:tcPr>
          <w:p w:rsidR="00000000" w:rsidDel="00000000" w:rsidP="00000000" w:rsidRDefault="00000000" w:rsidRPr="00000000" w14:paraId="000002D2">
            <w:pPr>
              <w:spacing w:after="0" w:line="240" w:lineRule="auto"/>
              <w:rPr>
                <w:b w:val="1"/>
                <w:sz w:val="20"/>
                <w:szCs w:val="20"/>
              </w:rPr>
            </w:pPr>
            <w:r w:rsidDel="00000000" w:rsidR="00000000" w:rsidRPr="00000000">
              <w:rPr>
                <w:b w:val="1"/>
                <w:sz w:val="20"/>
                <w:szCs w:val="20"/>
                <w:rtl w:val="0"/>
              </w:rPr>
              <w:t xml:space="preserve">Ireland</w:t>
            </w:r>
          </w:p>
        </w:tc>
        <w:tc>
          <w:tcPr>
            <w:tcBorders>
              <w:top w:color="000000" w:space="0" w:sz="0" w:val="nil"/>
              <w:left w:color="000000" w:space="0" w:sz="0" w:val="nil"/>
              <w:bottom w:color="8ea9db" w:space="0" w:sz="4" w:val="single"/>
              <w:right w:color="000000" w:space="0" w:sz="0" w:val="nil"/>
            </w:tcBorders>
            <w:shd w:fill="f2f2f2" w:val="clear"/>
            <w:vAlign w:val="center"/>
          </w:tcPr>
          <w:p w:rsidR="00000000" w:rsidDel="00000000" w:rsidP="00000000" w:rsidRDefault="00000000" w:rsidRPr="00000000" w14:paraId="000002D3">
            <w:pPr>
              <w:spacing w:after="0" w:line="240" w:lineRule="auto"/>
              <w:jc w:val="right"/>
              <w:rPr>
                <w:b w:val="1"/>
                <w:sz w:val="20"/>
                <w:szCs w:val="20"/>
              </w:rPr>
            </w:pPr>
            <w:r w:rsidDel="00000000" w:rsidR="00000000" w:rsidRPr="00000000">
              <w:rPr>
                <w:b w:val="1"/>
                <w:sz w:val="20"/>
                <w:szCs w:val="20"/>
                <w:rtl w:val="0"/>
              </w:rPr>
              <w:t xml:space="preserve">4</w:t>
            </w:r>
          </w:p>
        </w:tc>
        <w:tc>
          <w:tcPr>
            <w:tcBorders>
              <w:top w:color="000000" w:space="0" w:sz="0" w:val="nil"/>
              <w:left w:color="000000" w:space="0" w:sz="0" w:val="nil"/>
              <w:bottom w:color="8ea9db" w:space="0" w:sz="4" w:val="single"/>
              <w:right w:color="000000" w:space="0" w:sz="0" w:val="nil"/>
            </w:tcBorders>
            <w:shd w:fill="f2f2f2" w:val="clear"/>
            <w:vAlign w:val="center"/>
          </w:tcPr>
          <w:p w:rsidR="00000000" w:rsidDel="00000000" w:rsidP="00000000" w:rsidRDefault="00000000" w:rsidRPr="00000000" w14:paraId="000002D4">
            <w:pPr>
              <w:spacing w:after="0" w:line="240" w:lineRule="auto"/>
              <w:jc w:val="right"/>
              <w:rPr>
                <w:b w:val="1"/>
                <w:sz w:val="20"/>
                <w:szCs w:val="20"/>
              </w:rPr>
            </w:pPr>
            <w:r w:rsidDel="00000000" w:rsidR="00000000" w:rsidRPr="00000000">
              <w:rPr>
                <w:b w:val="1"/>
                <w:sz w:val="20"/>
                <w:szCs w:val="20"/>
                <w:rtl w:val="0"/>
              </w:rPr>
              <w:t xml:space="preserve">2</w:t>
            </w:r>
          </w:p>
        </w:tc>
        <w:tc>
          <w:tcPr>
            <w:tcBorders>
              <w:top w:color="000000" w:space="0" w:sz="0" w:val="nil"/>
              <w:left w:color="000000" w:space="0" w:sz="0" w:val="nil"/>
              <w:bottom w:color="8ea9db" w:space="0" w:sz="4" w:val="single"/>
              <w:right w:color="000000" w:space="0" w:sz="0" w:val="nil"/>
            </w:tcBorders>
            <w:shd w:fill="f2f2f2" w:val="clear"/>
            <w:vAlign w:val="center"/>
          </w:tcPr>
          <w:p w:rsidR="00000000" w:rsidDel="00000000" w:rsidP="00000000" w:rsidRDefault="00000000" w:rsidRPr="00000000" w14:paraId="000002D5">
            <w:pPr>
              <w:spacing w:after="0" w:line="240" w:lineRule="auto"/>
              <w:jc w:val="right"/>
              <w:rPr>
                <w:b w:val="1"/>
                <w:sz w:val="20"/>
                <w:szCs w:val="20"/>
              </w:rPr>
            </w:pPr>
            <w:r w:rsidDel="00000000" w:rsidR="00000000" w:rsidRPr="00000000">
              <w:rPr>
                <w:b w:val="1"/>
                <w:sz w:val="20"/>
                <w:szCs w:val="20"/>
                <w:rtl w:val="0"/>
              </w:rPr>
              <w:t xml:space="preserve"> </w:t>
            </w:r>
          </w:p>
        </w:tc>
        <w:tc>
          <w:tcPr>
            <w:tcBorders>
              <w:top w:color="000000" w:space="0" w:sz="0" w:val="nil"/>
              <w:left w:color="000000" w:space="0" w:sz="0" w:val="nil"/>
              <w:bottom w:color="8ea9db" w:space="0" w:sz="4" w:val="single"/>
              <w:right w:color="000000" w:space="0" w:sz="0" w:val="nil"/>
            </w:tcBorders>
            <w:shd w:fill="f2f2f2" w:val="clear"/>
            <w:vAlign w:val="center"/>
          </w:tcPr>
          <w:p w:rsidR="00000000" w:rsidDel="00000000" w:rsidP="00000000" w:rsidRDefault="00000000" w:rsidRPr="00000000" w14:paraId="000002D6">
            <w:pPr>
              <w:spacing w:after="0" w:line="240" w:lineRule="auto"/>
              <w:jc w:val="right"/>
              <w:rPr>
                <w:b w:val="1"/>
                <w:sz w:val="20"/>
                <w:szCs w:val="20"/>
              </w:rPr>
            </w:pPr>
            <w:r w:rsidDel="00000000" w:rsidR="00000000" w:rsidRPr="00000000">
              <w:rPr>
                <w:b w:val="1"/>
                <w:sz w:val="20"/>
                <w:szCs w:val="20"/>
                <w:rtl w:val="0"/>
              </w:rPr>
              <w:t xml:space="preserve">1</w:t>
            </w:r>
          </w:p>
        </w:tc>
        <w:tc>
          <w:tcPr>
            <w:tcBorders>
              <w:top w:color="000000" w:space="0" w:sz="0" w:val="nil"/>
              <w:left w:color="000000" w:space="0" w:sz="0" w:val="nil"/>
              <w:bottom w:color="8ea9db" w:space="0" w:sz="4" w:val="single"/>
              <w:right w:color="000000" w:space="0" w:sz="0" w:val="nil"/>
            </w:tcBorders>
            <w:shd w:fill="f2f2f2" w:val="clear"/>
            <w:vAlign w:val="center"/>
          </w:tcPr>
          <w:p w:rsidR="00000000" w:rsidDel="00000000" w:rsidP="00000000" w:rsidRDefault="00000000" w:rsidRPr="00000000" w14:paraId="000002D7">
            <w:pPr>
              <w:spacing w:after="0" w:line="240" w:lineRule="auto"/>
              <w:jc w:val="right"/>
              <w:rPr>
                <w:b w:val="1"/>
                <w:sz w:val="20"/>
                <w:szCs w:val="20"/>
              </w:rPr>
            </w:pPr>
            <w:r w:rsidDel="00000000" w:rsidR="00000000" w:rsidRPr="00000000">
              <w:rPr>
                <w:b w:val="1"/>
                <w:sz w:val="20"/>
                <w:szCs w:val="20"/>
                <w:rtl w:val="0"/>
              </w:rPr>
              <w:t xml:space="preserve"> </w:t>
            </w:r>
          </w:p>
        </w:tc>
        <w:tc>
          <w:tcPr>
            <w:tcBorders>
              <w:top w:color="000000" w:space="0" w:sz="0" w:val="nil"/>
              <w:left w:color="000000" w:space="0" w:sz="0" w:val="nil"/>
              <w:bottom w:color="8ea9db" w:space="0" w:sz="4" w:val="single"/>
              <w:right w:color="000000" w:space="0" w:sz="0" w:val="nil"/>
            </w:tcBorders>
            <w:shd w:fill="f2f2f2" w:val="clear"/>
            <w:vAlign w:val="center"/>
          </w:tcPr>
          <w:p w:rsidR="00000000" w:rsidDel="00000000" w:rsidP="00000000" w:rsidRDefault="00000000" w:rsidRPr="00000000" w14:paraId="000002D8">
            <w:pPr>
              <w:spacing w:after="0" w:line="240" w:lineRule="auto"/>
              <w:jc w:val="right"/>
              <w:rPr>
                <w:b w:val="1"/>
                <w:sz w:val="20"/>
                <w:szCs w:val="20"/>
              </w:rPr>
            </w:pPr>
            <w:r w:rsidDel="00000000" w:rsidR="00000000" w:rsidRPr="00000000">
              <w:rPr>
                <w:b w:val="1"/>
                <w:sz w:val="20"/>
                <w:szCs w:val="20"/>
                <w:rtl w:val="0"/>
              </w:rPr>
              <w:t xml:space="preserve">1</w:t>
            </w:r>
          </w:p>
        </w:tc>
        <w:tc>
          <w:tcPr>
            <w:tcBorders>
              <w:top w:color="000000" w:space="0" w:sz="0" w:val="nil"/>
              <w:left w:color="000000" w:space="0" w:sz="0" w:val="nil"/>
              <w:bottom w:color="8ea9db" w:space="0" w:sz="4" w:val="single"/>
              <w:right w:color="000000" w:space="0" w:sz="0" w:val="nil"/>
            </w:tcBorders>
            <w:shd w:fill="f2f2f2" w:val="clear"/>
            <w:vAlign w:val="center"/>
          </w:tcPr>
          <w:p w:rsidR="00000000" w:rsidDel="00000000" w:rsidP="00000000" w:rsidRDefault="00000000" w:rsidRPr="00000000" w14:paraId="000002D9">
            <w:pPr>
              <w:spacing w:after="0" w:line="240" w:lineRule="auto"/>
              <w:jc w:val="right"/>
              <w:rPr>
                <w:b w:val="1"/>
                <w:sz w:val="20"/>
                <w:szCs w:val="20"/>
              </w:rPr>
            </w:pPr>
            <w:r w:rsidDel="00000000" w:rsidR="00000000" w:rsidRPr="00000000">
              <w:rPr>
                <w:b w:val="1"/>
                <w:sz w:val="20"/>
                <w:szCs w:val="20"/>
                <w:rtl w:val="0"/>
              </w:rPr>
              <w:t xml:space="preserve"> </w:t>
            </w:r>
          </w:p>
        </w:tc>
      </w:tr>
      <w:tr>
        <w:trPr>
          <w:cantSplit w:val="0"/>
          <w:trHeight w:val="315" w:hRule="atLeast"/>
          <w:tblHeader w:val="0"/>
        </w:trPr>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2DA">
            <w:pPr>
              <w:spacing w:after="0" w:line="240" w:lineRule="auto"/>
              <w:rPr>
                <w:b w:val="1"/>
                <w:sz w:val="20"/>
                <w:szCs w:val="20"/>
              </w:rPr>
            </w:pPr>
            <w:r w:rsidDel="00000000" w:rsidR="00000000" w:rsidRPr="00000000">
              <w:rPr>
                <w:b w:val="1"/>
                <w:sz w:val="20"/>
                <w:szCs w:val="20"/>
                <w:rtl w:val="0"/>
              </w:rPr>
              <w:t xml:space="preserve">Connaught</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2DB">
            <w:pPr>
              <w:spacing w:after="0" w:line="240" w:lineRule="auto"/>
              <w:jc w:val="right"/>
              <w:rPr>
                <w:b w:val="1"/>
                <w:sz w:val="20"/>
                <w:szCs w:val="20"/>
              </w:rPr>
            </w:pPr>
            <w:r w:rsidDel="00000000" w:rsidR="00000000" w:rsidRPr="00000000">
              <w:rPr>
                <w:b w:val="1"/>
                <w:sz w:val="20"/>
                <w:szCs w:val="20"/>
                <w:rtl w:val="0"/>
              </w:rPr>
              <w:t xml:space="preserve">1</w:t>
            </w:r>
          </w:p>
        </w:tc>
        <w:tc>
          <w:tcPr>
            <w:tcBorders>
              <w:top w:color="000000" w:space="0" w:sz="0" w:val="nil"/>
              <w:left w:color="000000" w:space="0" w:sz="0" w:val="nil"/>
              <w:bottom w:color="000000" w:space="0" w:sz="4" w:val="single"/>
              <w:right w:color="000000" w:space="0" w:sz="0" w:val="nil"/>
            </w:tcBorders>
            <w:shd w:fill="fff2cc" w:val="clear"/>
            <w:vAlign w:val="center"/>
          </w:tcPr>
          <w:p w:rsidR="00000000" w:rsidDel="00000000" w:rsidP="00000000" w:rsidRDefault="00000000" w:rsidRPr="00000000" w14:paraId="000002DC">
            <w:pPr>
              <w:spacing w:after="0" w:line="240" w:lineRule="auto"/>
              <w:jc w:val="right"/>
              <w:rPr>
                <w:b w:val="1"/>
                <w:sz w:val="20"/>
                <w:szCs w:val="20"/>
              </w:rPr>
            </w:pPr>
            <w:r w:rsidDel="00000000" w:rsidR="00000000" w:rsidRPr="00000000">
              <w:rPr>
                <w:b w:val="1"/>
                <w:sz w:val="20"/>
                <w:szCs w:val="20"/>
                <w:rtl w:val="0"/>
              </w:rPr>
              <w:t xml:space="preserve">1</w:t>
            </w:r>
          </w:p>
        </w:tc>
        <w:tc>
          <w:tcPr>
            <w:tcBorders>
              <w:top w:color="000000" w:space="0" w:sz="0" w:val="nil"/>
              <w:left w:color="000000" w:space="0" w:sz="0" w:val="nil"/>
              <w:bottom w:color="000000" w:space="0" w:sz="4" w:val="single"/>
              <w:right w:color="000000" w:space="0" w:sz="0" w:val="nil"/>
            </w:tcBorders>
            <w:shd w:fill="fff2cc" w:val="clear"/>
            <w:vAlign w:val="center"/>
          </w:tcPr>
          <w:p w:rsidR="00000000" w:rsidDel="00000000" w:rsidP="00000000" w:rsidRDefault="00000000" w:rsidRPr="00000000" w14:paraId="000002DD">
            <w:pPr>
              <w:spacing w:after="0" w:line="240" w:lineRule="auto"/>
              <w:jc w:val="right"/>
              <w:rPr>
                <w:b w:val="1"/>
                <w:sz w:val="20"/>
                <w:szCs w:val="20"/>
              </w:rPr>
            </w:pPr>
            <w:r w:rsidDel="00000000" w:rsidR="00000000" w:rsidRPr="00000000">
              <w:rPr>
                <w:b w:val="1"/>
                <w:sz w:val="20"/>
                <w:szCs w:val="20"/>
                <w:rtl w:val="0"/>
              </w:rPr>
              <w:t xml:space="preserve"> </w:t>
            </w:r>
          </w:p>
        </w:tc>
        <w:tc>
          <w:tcPr>
            <w:tcBorders>
              <w:top w:color="000000" w:space="0" w:sz="0" w:val="nil"/>
              <w:left w:color="000000" w:space="0" w:sz="0" w:val="nil"/>
              <w:bottom w:color="000000" w:space="0" w:sz="4" w:val="single"/>
              <w:right w:color="000000" w:space="0" w:sz="0" w:val="nil"/>
            </w:tcBorders>
            <w:shd w:fill="d9e1f2" w:val="clear"/>
            <w:vAlign w:val="center"/>
          </w:tcPr>
          <w:p w:rsidR="00000000" w:rsidDel="00000000" w:rsidP="00000000" w:rsidRDefault="00000000" w:rsidRPr="00000000" w14:paraId="000002DE">
            <w:pPr>
              <w:spacing w:after="0" w:line="240" w:lineRule="auto"/>
              <w:jc w:val="right"/>
              <w:rPr>
                <w:b w:val="1"/>
                <w:sz w:val="20"/>
                <w:szCs w:val="20"/>
              </w:rPr>
            </w:pPr>
            <w:r w:rsidDel="00000000" w:rsidR="00000000" w:rsidRPr="00000000">
              <w:rPr>
                <w:b w:val="1"/>
                <w:sz w:val="20"/>
                <w:szCs w:val="20"/>
                <w:rtl w:val="0"/>
              </w:rPr>
              <w:t xml:space="preserve"> </w:t>
            </w:r>
          </w:p>
        </w:tc>
        <w:tc>
          <w:tcPr>
            <w:tcBorders>
              <w:top w:color="000000" w:space="0" w:sz="0" w:val="nil"/>
              <w:left w:color="000000" w:space="0" w:sz="0" w:val="nil"/>
              <w:bottom w:color="000000" w:space="0" w:sz="4" w:val="single"/>
              <w:right w:color="000000" w:space="0" w:sz="0" w:val="nil"/>
            </w:tcBorders>
            <w:shd w:fill="d9e1f2" w:val="clear"/>
            <w:vAlign w:val="center"/>
          </w:tcPr>
          <w:p w:rsidR="00000000" w:rsidDel="00000000" w:rsidP="00000000" w:rsidRDefault="00000000" w:rsidRPr="00000000" w14:paraId="000002DF">
            <w:pPr>
              <w:spacing w:after="0" w:line="240" w:lineRule="auto"/>
              <w:jc w:val="right"/>
              <w:rPr>
                <w:b w:val="1"/>
                <w:sz w:val="20"/>
                <w:szCs w:val="20"/>
              </w:rPr>
            </w:pPr>
            <w:r w:rsidDel="00000000" w:rsidR="00000000" w:rsidRPr="00000000">
              <w:rPr>
                <w:b w:val="1"/>
                <w:sz w:val="20"/>
                <w:szCs w:val="20"/>
                <w:rtl w:val="0"/>
              </w:rPr>
              <w:t xml:space="preserve"> </w:t>
            </w:r>
          </w:p>
        </w:tc>
        <w:tc>
          <w:tcPr>
            <w:tcBorders>
              <w:top w:color="000000" w:space="0" w:sz="0" w:val="nil"/>
              <w:left w:color="000000" w:space="0" w:sz="0" w:val="nil"/>
              <w:bottom w:color="000000" w:space="0" w:sz="4" w:val="single"/>
              <w:right w:color="000000" w:space="0" w:sz="0" w:val="nil"/>
            </w:tcBorders>
            <w:shd w:fill="d9d9d9" w:val="clear"/>
            <w:vAlign w:val="center"/>
          </w:tcPr>
          <w:p w:rsidR="00000000" w:rsidDel="00000000" w:rsidP="00000000" w:rsidRDefault="00000000" w:rsidRPr="00000000" w14:paraId="000002E0">
            <w:pPr>
              <w:spacing w:after="0" w:line="240" w:lineRule="auto"/>
              <w:jc w:val="right"/>
              <w:rPr>
                <w:b w:val="1"/>
                <w:sz w:val="20"/>
                <w:szCs w:val="20"/>
              </w:rPr>
            </w:pPr>
            <w:r w:rsidDel="00000000" w:rsidR="00000000" w:rsidRPr="00000000">
              <w:rPr>
                <w:b w:val="1"/>
                <w:sz w:val="20"/>
                <w:szCs w:val="20"/>
                <w:rtl w:val="0"/>
              </w:rPr>
              <w:t xml:space="preserve"> </w:t>
            </w:r>
          </w:p>
        </w:tc>
        <w:tc>
          <w:tcPr>
            <w:tcBorders>
              <w:top w:color="000000" w:space="0" w:sz="0" w:val="nil"/>
              <w:left w:color="000000" w:space="0" w:sz="0" w:val="nil"/>
              <w:bottom w:color="000000" w:space="0" w:sz="4" w:val="single"/>
              <w:right w:color="000000" w:space="0" w:sz="0" w:val="nil"/>
            </w:tcBorders>
            <w:shd w:fill="d9d9d9" w:val="clear"/>
            <w:vAlign w:val="center"/>
          </w:tcPr>
          <w:p w:rsidR="00000000" w:rsidDel="00000000" w:rsidP="00000000" w:rsidRDefault="00000000" w:rsidRPr="00000000" w14:paraId="000002E1">
            <w:pPr>
              <w:spacing w:after="0" w:line="240" w:lineRule="auto"/>
              <w:jc w:val="right"/>
              <w:rPr>
                <w:b w:val="1"/>
                <w:sz w:val="20"/>
                <w:szCs w:val="20"/>
              </w:rPr>
            </w:pPr>
            <w:r w:rsidDel="00000000" w:rsidR="00000000" w:rsidRPr="00000000">
              <w:rPr>
                <w:b w:val="1"/>
                <w:sz w:val="20"/>
                <w:szCs w:val="20"/>
                <w:rtl w:val="0"/>
              </w:rPr>
              <w:t xml:space="preserve"> </w:t>
            </w:r>
          </w:p>
        </w:tc>
      </w:tr>
      <w:tr>
        <w:trPr>
          <w:cantSplit w:val="0"/>
          <w:trHeight w:val="31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2E2">
            <w:pPr>
              <w:spacing w:after="0" w:line="240" w:lineRule="auto"/>
              <w:rPr>
                <w:sz w:val="20"/>
                <w:szCs w:val="20"/>
              </w:rPr>
            </w:pPr>
            <w:r w:rsidDel="00000000" w:rsidR="00000000" w:rsidRPr="00000000">
              <w:rPr>
                <w:sz w:val="20"/>
                <w:szCs w:val="20"/>
                <w:rtl w:val="0"/>
              </w:rPr>
              <w:t xml:space="preserve">Eyrephort</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2E3">
            <w:pPr>
              <w:spacing w:after="0" w:line="240" w:lineRule="auto"/>
              <w:jc w:val="right"/>
              <w:rPr>
                <w:sz w:val="20"/>
                <w:szCs w:val="20"/>
              </w:rPr>
            </w:pPr>
            <w:r w:rsidDel="00000000" w:rsidR="00000000" w:rsidRPr="00000000">
              <w:rPr>
                <w:sz w:val="20"/>
                <w:szCs w:val="20"/>
                <w:rtl w:val="0"/>
              </w:rPr>
              <w:t xml:space="preserve">1</w:t>
            </w:r>
          </w:p>
        </w:tc>
        <w:tc>
          <w:tcPr>
            <w:tcBorders>
              <w:top w:color="000000" w:space="0" w:sz="0" w:val="nil"/>
              <w:left w:color="000000" w:space="0" w:sz="0" w:val="nil"/>
              <w:bottom w:color="000000" w:space="0" w:sz="0" w:val="nil"/>
              <w:right w:color="000000" w:space="0" w:sz="0" w:val="nil"/>
            </w:tcBorders>
            <w:shd w:fill="fff2cc" w:val="clear"/>
            <w:vAlign w:val="center"/>
          </w:tcPr>
          <w:p w:rsidR="00000000" w:rsidDel="00000000" w:rsidP="00000000" w:rsidRDefault="00000000" w:rsidRPr="00000000" w14:paraId="000002E4">
            <w:pPr>
              <w:spacing w:after="0" w:line="240" w:lineRule="auto"/>
              <w:jc w:val="right"/>
              <w:rPr>
                <w:sz w:val="20"/>
                <w:szCs w:val="20"/>
              </w:rPr>
            </w:pPr>
            <w:r w:rsidDel="00000000" w:rsidR="00000000" w:rsidRPr="00000000">
              <w:rPr>
                <w:sz w:val="20"/>
                <w:szCs w:val="20"/>
                <w:rtl w:val="0"/>
              </w:rPr>
              <w:t xml:space="preserve">1</w:t>
            </w:r>
          </w:p>
        </w:tc>
        <w:tc>
          <w:tcPr>
            <w:tcBorders>
              <w:top w:color="000000" w:space="0" w:sz="0" w:val="nil"/>
              <w:left w:color="000000" w:space="0" w:sz="0" w:val="nil"/>
              <w:bottom w:color="000000" w:space="0" w:sz="0" w:val="nil"/>
              <w:right w:color="000000" w:space="0" w:sz="0" w:val="nil"/>
            </w:tcBorders>
            <w:shd w:fill="fff2cc" w:val="clear"/>
            <w:vAlign w:val="center"/>
          </w:tcPr>
          <w:p w:rsidR="00000000" w:rsidDel="00000000" w:rsidP="00000000" w:rsidRDefault="00000000" w:rsidRPr="00000000" w14:paraId="000002E5">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0" w:val="nil"/>
              <w:right w:color="000000" w:space="0" w:sz="0" w:val="nil"/>
            </w:tcBorders>
            <w:shd w:fill="d9e1f2" w:val="clear"/>
            <w:vAlign w:val="center"/>
          </w:tcPr>
          <w:p w:rsidR="00000000" w:rsidDel="00000000" w:rsidP="00000000" w:rsidRDefault="00000000" w:rsidRPr="00000000" w14:paraId="000002E6">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0" w:val="nil"/>
              <w:right w:color="000000" w:space="0" w:sz="0" w:val="nil"/>
            </w:tcBorders>
            <w:shd w:fill="d9e1f2" w:val="clear"/>
            <w:vAlign w:val="center"/>
          </w:tcPr>
          <w:p w:rsidR="00000000" w:rsidDel="00000000" w:rsidP="00000000" w:rsidRDefault="00000000" w:rsidRPr="00000000" w14:paraId="000002E7">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0" w:val="nil"/>
              <w:right w:color="000000" w:space="0" w:sz="0" w:val="nil"/>
            </w:tcBorders>
            <w:shd w:fill="d9d9d9" w:val="clear"/>
            <w:vAlign w:val="center"/>
          </w:tcPr>
          <w:p w:rsidR="00000000" w:rsidDel="00000000" w:rsidP="00000000" w:rsidRDefault="00000000" w:rsidRPr="00000000" w14:paraId="000002E8">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0" w:val="nil"/>
              <w:right w:color="000000" w:space="0" w:sz="0" w:val="nil"/>
            </w:tcBorders>
            <w:shd w:fill="d9d9d9" w:val="clear"/>
            <w:vAlign w:val="center"/>
          </w:tcPr>
          <w:p w:rsidR="00000000" w:rsidDel="00000000" w:rsidP="00000000" w:rsidRDefault="00000000" w:rsidRPr="00000000" w14:paraId="000002E9">
            <w:pPr>
              <w:spacing w:after="0" w:line="240" w:lineRule="auto"/>
              <w:jc w:val="right"/>
              <w:rPr>
                <w:sz w:val="20"/>
                <w:szCs w:val="20"/>
              </w:rPr>
            </w:pPr>
            <w:r w:rsidDel="00000000" w:rsidR="00000000" w:rsidRPr="00000000">
              <w:rPr>
                <w:sz w:val="20"/>
                <w:szCs w:val="20"/>
                <w:rtl w:val="0"/>
              </w:rPr>
              <w:t xml:space="preserve"> </w:t>
            </w:r>
          </w:p>
        </w:tc>
      </w:tr>
      <w:tr>
        <w:trPr>
          <w:cantSplit w:val="0"/>
          <w:trHeight w:val="315" w:hRule="atLeast"/>
          <w:tblHeader w:val="0"/>
        </w:trPr>
        <w:tc>
          <w:tcPr>
            <w:tcBorders>
              <w:top w:color="000000" w:space="0" w:sz="4" w:val="single"/>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2EA">
            <w:pPr>
              <w:spacing w:after="0" w:line="240" w:lineRule="auto"/>
              <w:rPr>
                <w:b w:val="1"/>
                <w:sz w:val="20"/>
                <w:szCs w:val="20"/>
              </w:rPr>
            </w:pPr>
            <w:r w:rsidDel="00000000" w:rsidR="00000000" w:rsidRPr="00000000">
              <w:rPr>
                <w:b w:val="1"/>
                <w:sz w:val="20"/>
                <w:szCs w:val="20"/>
                <w:rtl w:val="0"/>
              </w:rPr>
              <w:t xml:space="preserve">Leinster</w:t>
            </w:r>
          </w:p>
        </w:tc>
        <w:tc>
          <w:tcPr>
            <w:tcBorders>
              <w:top w:color="000000" w:space="0" w:sz="4" w:val="single"/>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2EB">
            <w:pPr>
              <w:spacing w:after="0" w:line="240" w:lineRule="auto"/>
              <w:jc w:val="right"/>
              <w:rPr>
                <w:b w:val="1"/>
                <w:sz w:val="20"/>
                <w:szCs w:val="20"/>
              </w:rPr>
            </w:pPr>
            <w:r w:rsidDel="00000000" w:rsidR="00000000" w:rsidRPr="00000000">
              <w:rPr>
                <w:b w:val="1"/>
                <w:sz w:val="20"/>
                <w:szCs w:val="20"/>
                <w:rtl w:val="0"/>
              </w:rPr>
              <w:t xml:space="preserve">3</w:t>
            </w:r>
          </w:p>
        </w:tc>
        <w:tc>
          <w:tcPr>
            <w:tcBorders>
              <w:top w:color="000000" w:space="0" w:sz="4" w:val="single"/>
              <w:left w:color="000000" w:space="0" w:sz="0" w:val="nil"/>
              <w:bottom w:color="000000" w:space="0" w:sz="4" w:val="single"/>
              <w:right w:color="000000" w:space="0" w:sz="0" w:val="nil"/>
            </w:tcBorders>
            <w:shd w:fill="fff2cc" w:val="clear"/>
            <w:vAlign w:val="center"/>
          </w:tcPr>
          <w:p w:rsidR="00000000" w:rsidDel="00000000" w:rsidP="00000000" w:rsidRDefault="00000000" w:rsidRPr="00000000" w14:paraId="000002EC">
            <w:pPr>
              <w:spacing w:after="0" w:line="240" w:lineRule="auto"/>
              <w:jc w:val="right"/>
              <w:rPr>
                <w:b w:val="1"/>
                <w:sz w:val="20"/>
                <w:szCs w:val="20"/>
              </w:rPr>
            </w:pPr>
            <w:r w:rsidDel="00000000" w:rsidR="00000000" w:rsidRPr="00000000">
              <w:rPr>
                <w:b w:val="1"/>
                <w:sz w:val="20"/>
                <w:szCs w:val="20"/>
                <w:rtl w:val="0"/>
              </w:rPr>
              <w:t xml:space="preserve">1</w:t>
            </w:r>
          </w:p>
        </w:tc>
        <w:tc>
          <w:tcPr>
            <w:tcBorders>
              <w:top w:color="000000" w:space="0" w:sz="4" w:val="single"/>
              <w:left w:color="000000" w:space="0" w:sz="0" w:val="nil"/>
              <w:bottom w:color="000000" w:space="0" w:sz="4" w:val="single"/>
              <w:right w:color="000000" w:space="0" w:sz="0" w:val="nil"/>
            </w:tcBorders>
            <w:shd w:fill="fff2cc" w:val="clear"/>
            <w:vAlign w:val="center"/>
          </w:tcPr>
          <w:p w:rsidR="00000000" w:rsidDel="00000000" w:rsidP="00000000" w:rsidRDefault="00000000" w:rsidRPr="00000000" w14:paraId="000002ED">
            <w:pPr>
              <w:spacing w:after="0" w:line="240" w:lineRule="auto"/>
              <w:jc w:val="right"/>
              <w:rPr>
                <w:b w:val="1"/>
                <w:sz w:val="20"/>
                <w:szCs w:val="20"/>
              </w:rPr>
            </w:pPr>
            <w:r w:rsidDel="00000000" w:rsidR="00000000" w:rsidRPr="00000000">
              <w:rPr>
                <w:b w:val="1"/>
                <w:sz w:val="20"/>
                <w:szCs w:val="20"/>
                <w:rtl w:val="0"/>
              </w:rPr>
              <w:t xml:space="preserve"> </w:t>
            </w:r>
          </w:p>
        </w:tc>
        <w:tc>
          <w:tcPr>
            <w:tcBorders>
              <w:top w:color="000000" w:space="0" w:sz="4" w:val="single"/>
              <w:left w:color="000000" w:space="0" w:sz="0" w:val="nil"/>
              <w:bottom w:color="000000" w:space="0" w:sz="4" w:val="single"/>
              <w:right w:color="000000" w:space="0" w:sz="0" w:val="nil"/>
            </w:tcBorders>
            <w:shd w:fill="d9e1f2" w:val="clear"/>
            <w:vAlign w:val="center"/>
          </w:tcPr>
          <w:p w:rsidR="00000000" w:rsidDel="00000000" w:rsidP="00000000" w:rsidRDefault="00000000" w:rsidRPr="00000000" w14:paraId="000002EE">
            <w:pPr>
              <w:spacing w:after="0" w:line="240" w:lineRule="auto"/>
              <w:jc w:val="right"/>
              <w:rPr>
                <w:b w:val="1"/>
                <w:sz w:val="20"/>
                <w:szCs w:val="20"/>
              </w:rPr>
            </w:pPr>
            <w:r w:rsidDel="00000000" w:rsidR="00000000" w:rsidRPr="00000000">
              <w:rPr>
                <w:b w:val="1"/>
                <w:sz w:val="20"/>
                <w:szCs w:val="20"/>
                <w:rtl w:val="0"/>
              </w:rPr>
              <w:t xml:space="preserve">1</w:t>
            </w:r>
          </w:p>
        </w:tc>
        <w:tc>
          <w:tcPr>
            <w:tcBorders>
              <w:top w:color="000000" w:space="0" w:sz="4" w:val="single"/>
              <w:left w:color="000000" w:space="0" w:sz="0" w:val="nil"/>
              <w:bottom w:color="000000" w:space="0" w:sz="4" w:val="single"/>
              <w:right w:color="000000" w:space="0" w:sz="0" w:val="nil"/>
            </w:tcBorders>
            <w:shd w:fill="d9e1f2" w:val="clear"/>
            <w:vAlign w:val="center"/>
          </w:tcPr>
          <w:p w:rsidR="00000000" w:rsidDel="00000000" w:rsidP="00000000" w:rsidRDefault="00000000" w:rsidRPr="00000000" w14:paraId="000002EF">
            <w:pPr>
              <w:spacing w:after="0" w:line="240" w:lineRule="auto"/>
              <w:jc w:val="right"/>
              <w:rPr>
                <w:b w:val="1"/>
                <w:sz w:val="20"/>
                <w:szCs w:val="20"/>
              </w:rPr>
            </w:pPr>
            <w:r w:rsidDel="00000000" w:rsidR="00000000" w:rsidRPr="00000000">
              <w:rPr>
                <w:b w:val="1"/>
                <w:sz w:val="20"/>
                <w:szCs w:val="20"/>
                <w:rtl w:val="0"/>
              </w:rPr>
              <w:t xml:space="preserve"> </w:t>
            </w:r>
          </w:p>
        </w:tc>
        <w:tc>
          <w:tcPr>
            <w:tcBorders>
              <w:top w:color="000000" w:space="0" w:sz="4" w:val="single"/>
              <w:left w:color="000000" w:space="0" w:sz="0" w:val="nil"/>
              <w:bottom w:color="000000" w:space="0" w:sz="4" w:val="single"/>
              <w:right w:color="000000" w:space="0" w:sz="0" w:val="nil"/>
            </w:tcBorders>
            <w:shd w:fill="d9d9d9" w:val="clear"/>
            <w:vAlign w:val="center"/>
          </w:tcPr>
          <w:p w:rsidR="00000000" w:rsidDel="00000000" w:rsidP="00000000" w:rsidRDefault="00000000" w:rsidRPr="00000000" w14:paraId="000002F0">
            <w:pPr>
              <w:spacing w:after="0" w:line="240" w:lineRule="auto"/>
              <w:jc w:val="right"/>
              <w:rPr>
                <w:b w:val="1"/>
                <w:sz w:val="20"/>
                <w:szCs w:val="20"/>
              </w:rPr>
            </w:pPr>
            <w:r w:rsidDel="00000000" w:rsidR="00000000" w:rsidRPr="00000000">
              <w:rPr>
                <w:b w:val="1"/>
                <w:sz w:val="20"/>
                <w:szCs w:val="20"/>
                <w:rtl w:val="0"/>
              </w:rPr>
              <w:t xml:space="preserve">1</w:t>
            </w:r>
          </w:p>
        </w:tc>
        <w:tc>
          <w:tcPr>
            <w:tcBorders>
              <w:top w:color="000000" w:space="0" w:sz="4" w:val="single"/>
              <w:left w:color="000000" w:space="0" w:sz="0" w:val="nil"/>
              <w:bottom w:color="000000" w:space="0" w:sz="4" w:val="single"/>
              <w:right w:color="000000" w:space="0" w:sz="0" w:val="nil"/>
            </w:tcBorders>
            <w:shd w:fill="d9d9d9" w:val="clear"/>
            <w:vAlign w:val="center"/>
          </w:tcPr>
          <w:p w:rsidR="00000000" w:rsidDel="00000000" w:rsidP="00000000" w:rsidRDefault="00000000" w:rsidRPr="00000000" w14:paraId="000002F1">
            <w:pPr>
              <w:spacing w:after="0" w:line="240" w:lineRule="auto"/>
              <w:jc w:val="right"/>
              <w:rPr>
                <w:b w:val="1"/>
                <w:sz w:val="20"/>
                <w:szCs w:val="20"/>
              </w:rPr>
            </w:pPr>
            <w:r w:rsidDel="00000000" w:rsidR="00000000" w:rsidRPr="00000000">
              <w:rPr>
                <w:b w:val="1"/>
                <w:sz w:val="20"/>
                <w:szCs w:val="20"/>
                <w:rtl w:val="0"/>
              </w:rPr>
              <w:t xml:space="preserve"> </w:t>
            </w:r>
          </w:p>
        </w:tc>
      </w:tr>
      <w:tr>
        <w:trPr>
          <w:cantSplit w:val="0"/>
          <w:trHeight w:val="31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2F2">
            <w:pPr>
              <w:spacing w:after="0" w:line="240" w:lineRule="auto"/>
              <w:rPr>
                <w:sz w:val="20"/>
                <w:szCs w:val="20"/>
              </w:rPr>
            </w:pPr>
            <w:r w:rsidDel="00000000" w:rsidR="00000000" w:rsidRPr="00000000">
              <w:rPr>
                <w:sz w:val="20"/>
                <w:szCs w:val="20"/>
                <w:rtl w:val="0"/>
              </w:rPr>
              <w:t xml:space="preserve">Finglas</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2F3">
            <w:pPr>
              <w:spacing w:after="0" w:line="240" w:lineRule="auto"/>
              <w:jc w:val="right"/>
              <w:rPr>
                <w:sz w:val="20"/>
                <w:szCs w:val="20"/>
              </w:rPr>
            </w:pPr>
            <w:r w:rsidDel="00000000" w:rsidR="00000000" w:rsidRPr="00000000">
              <w:rPr>
                <w:sz w:val="20"/>
                <w:szCs w:val="20"/>
                <w:rtl w:val="0"/>
              </w:rPr>
              <w:t xml:space="preserve">1</w:t>
            </w:r>
          </w:p>
        </w:tc>
        <w:tc>
          <w:tcPr>
            <w:tcBorders>
              <w:top w:color="000000" w:space="0" w:sz="0" w:val="nil"/>
              <w:left w:color="000000" w:space="0" w:sz="0" w:val="nil"/>
              <w:bottom w:color="000000" w:space="0" w:sz="0" w:val="nil"/>
              <w:right w:color="000000" w:space="0" w:sz="0" w:val="nil"/>
            </w:tcBorders>
            <w:shd w:fill="fff2cc" w:val="clear"/>
            <w:vAlign w:val="center"/>
          </w:tcPr>
          <w:p w:rsidR="00000000" w:rsidDel="00000000" w:rsidP="00000000" w:rsidRDefault="00000000" w:rsidRPr="00000000" w14:paraId="000002F4">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0" w:val="nil"/>
              <w:right w:color="000000" w:space="0" w:sz="0" w:val="nil"/>
            </w:tcBorders>
            <w:shd w:fill="fff2cc" w:val="clear"/>
            <w:vAlign w:val="center"/>
          </w:tcPr>
          <w:p w:rsidR="00000000" w:rsidDel="00000000" w:rsidP="00000000" w:rsidRDefault="00000000" w:rsidRPr="00000000" w14:paraId="000002F5">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0" w:val="nil"/>
              <w:right w:color="000000" w:space="0" w:sz="0" w:val="nil"/>
            </w:tcBorders>
            <w:shd w:fill="d9e1f2" w:val="clear"/>
            <w:vAlign w:val="center"/>
          </w:tcPr>
          <w:p w:rsidR="00000000" w:rsidDel="00000000" w:rsidP="00000000" w:rsidRDefault="00000000" w:rsidRPr="00000000" w14:paraId="000002F6">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0" w:val="nil"/>
              <w:right w:color="000000" w:space="0" w:sz="0" w:val="nil"/>
            </w:tcBorders>
            <w:shd w:fill="d9e1f2" w:val="clear"/>
            <w:vAlign w:val="center"/>
          </w:tcPr>
          <w:p w:rsidR="00000000" w:rsidDel="00000000" w:rsidP="00000000" w:rsidRDefault="00000000" w:rsidRPr="00000000" w14:paraId="000002F7">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0" w:val="nil"/>
              <w:right w:color="000000" w:space="0" w:sz="0" w:val="nil"/>
            </w:tcBorders>
            <w:shd w:fill="d9d9d9" w:val="clear"/>
            <w:vAlign w:val="center"/>
          </w:tcPr>
          <w:p w:rsidR="00000000" w:rsidDel="00000000" w:rsidP="00000000" w:rsidRDefault="00000000" w:rsidRPr="00000000" w14:paraId="000002F8">
            <w:pPr>
              <w:spacing w:after="0" w:line="240" w:lineRule="auto"/>
              <w:jc w:val="right"/>
              <w:rPr>
                <w:sz w:val="20"/>
                <w:szCs w:val="20"/>
              </w:rPr>
            </w:pPr>
            <w:r w:rsidDel="00000000" w:rsidR="00000000" w:rsidRPr="00000000">
              <w:rPr>
                <w:sz w:val="20"/>
                <w:szCs w:val="20"/>
                <w:rtl w:val="0"/>
              </w:rPr>
              <w:t xml:space="preserve">1</w:t>
            </w:r>
          </w:p>
        </w:tc>
        <w:tc>
          <w:tcPr>
            <w:tcBorders>
              <w:top w:color="000000" w:space="0" w:sz="0" w:val="nil"/>
              <w:left w:color="000000" w:space="0" w:sz="0" w:val="nil"/>
              <w:bottom w:color="000000" w:space="0" w:sz="0" w:val="nil"/>
              <w:right w:color="000000" w:space="0" w:sz="0" w:val="nil"/>
            </w:tcBorders>
            <w:shd w:fill="d9d9d9" w:val="clear"/>
            <w:vAlign w:val="center"/>
          </w:tcPr>
          <w:p w:rsidR="00000000" w:rsidDel="00000000" w:rsidP="00000000" w:rsidRDefault="00000000" w:rsidRPr="00000000" w14:paraId="000002F9">
            <w:pPr>
              <w:spacing w:after="0" w:line="240" w:lineRule="auto"/>
              <w:jc w:val="right"/>
              <w:rPr>
                <w:sz w:val="20"/>
                <w:szCs w:val="20"/>
              </w:rPr>
            </w:pPr>
            <w:r w:rsidDel="00000000" w:rsidR="00000000" w:rsidRPr="00000000">
              <w:rPr>
                <w:sz w:val="20"/>
                <w:szCs w:val="20"/>
                <w:rtl w:val="0"/>
              </w:rPr>
              <w:t xml:space="preserve"> </w:t>
            </w:r>
          </w:p>
        </w:tc>
      </w:tr>
      <w:tr>
        <w:trPr>
          <w:cantSplit w:val="0"/>
          <w:trHeight w:val="31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2FA">
            <w:pPr>
              <w:spacing w:after="0" w:line="240" w:lineRule="auto"/>
              <w:rPr>
                <w:sz w:val="20"/>
                <w:szCs w:val="20"/>
              </w:rPr>
            </w:pPr>
            <w:r w:rsidDel="00000000" w:rsidR="00000000" w:rsidRPr="00000000">
              <w:rPr>
                <w:sz w:val="20"/>
                <w:szCs w:val="20"/>
                <w:rtl w:val="0"/>
              </w:rPr>
              <w:t xml:space="preserve">Islandbridge</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2FB">
            <w:pPr>
              <w:spacing w:after="0" w:line="240" w:lineRule="auto"/>
              <w:jc w:val="right"/>
              <w:rPr>
                <w:sz w:val="20"/>
                <w:szCs w:val="20"/>
              </w:rPr>
            </w:pPr>
            <w:r w:rsidDel="00000000" w:rsidR="00000000" w:rsidRPr="00000000">
              <w:rPr>
                <w:sz w:val="20"/>
                <w:szCs w:val="20"/>
                <w:rtl w:val="0"/>
              </w:rPr>
              <w:t xml:space="preserve">1</w:t>
            </w:r>
          </w:p>
        </w:tc>
        <w:tc>
          <w:tcPr>
            <w:tcBorders>
              <w:top w:color="000000" w:space="0" w:sz="0" w:val="nil"/>
              <w:left w:color="000000" w:space="0" w:sz="0" w:val="nil"/>
              <w:bottom w:color="000000" w:space="0" w:sz="0" w:val="nil"/>
              <w:right w:color="000000" w:space="0" w:sz="0" w:val="nil"/>
            </w:tcBorders>
            <w:shd w:fill="fff2cc" w:val="clear"/>
            <w:vAlign w:val="center"/>
          </w:tcPr>
          <w:p w:rsidR="00000000" w:rsidDel="00000000" w:rsidP="00000000" w:rsidRDefault="00000000" w:rsidRPr="00000000" w14:paraId="000002FC">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0" w:val="nil"/>
              <w:right w:color="000000" w:space="0" w:sz="0" w:val="nil"/>
            </w:tcBorders>
            <w:shd w:fill="fff2cc" w:val="clear"/>
            <w:vAlign w:val="center"/>
          </w:tcPr>
          <w:p w:rsidR="00000000" w:rsidDel="00000000" w:rsidP="00000000" w:rsidRDefault="00000000" w:rsidRPr="00000000" w14:paraId="000002FD">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0" w:val="nil"/>
              <w:right w:color="000000" w:space="0" w:sz="0" w:val="nil"/>
            </w:tcBorders>
            <w:shd w:fill="d9e1f2" w:val="clear"/>
            <w:vAlign w:val="center"/>
          </w:tcPr>
          <w:p w:rsidR="00000000" w:rsidDel="00000000" w:rsidP="00000000" w:rsidRDefault="00000000" w:rsidRPr="00000000" w14:paraId="000002FE">
            <w:pPr>
              <w:spacing w:after="0" w:line="240" w:lineRule="auto"/>
              <w:jc w:val="right"/>
              <w:rPr>
                <w:sz w:val="20"/>
                <w:szCs w:val="20"/>
              </w:rPr>
            </w:pPr>
            <w:r w:rsidDel="00000000" w:rsidR="00000000" w:rsidRPr="00000000">
              <w:rPr>
                <w:sz w:val="20"/>
                <w:szCs w:val="20"/>
                <w:rtl w:val="0"/>
              </w:rPr>
              <w:t xml:space="preserve">1</w:t>
            </w:r>
          </w:p>
        </w:tc>
        <w:tc>
          <w:tcPr>
            <w:tcBorders>
              <w:top w:color="000000" w:space="0" w:sz="0" w:val="nil"/>
              <w:left w:color="000000" w:space="0" w:sz="0" w:val="nil"/>
              <w:bottom w:color="000000" w:space="0" w:sz="0" w:val="nil"/>
              <w:right w:color="000000" w:space="0" w:sz="0" w:val="nil"/>
            </w:tcBorders>
            <w:shd w:fill="d9e1f2" w:val="clear"/>
            <w:vAlign w:val="center"/>
          </w:tcPr>
          <w:p w:rsidR="00000000" w:rsidDel="00000000" w:rsidP="00000000" w:rsidRDefault="00000000" w:rsidRPr="00000000" w14:paraId="000002FF">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0" w:val="nil"/>
              <w:right w:color="000000" w:space="0" w:sz="0" w:val="nil"/>
            </w:tcBorders>
            <w:shd w:fill="d9d9d9" w:val="clear"/>
            <w:vAlign w:val="center"/>
          </w:tcPr>
          <w:p w:rsidR="00000000" w:rsidDel="00000000" w:rsidP="00000000" w:rsidRDefault="00000000" w:rsidRPr="00000000" w14:paraId="00000300">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0" w:val="nil"/>
              <w:right w:color="000000" w:space="0" w:sz="0" w:val="nil"/>
            </w:tcBorders>
            <w:shd w:fill="d9d9d9" w:val="clear"/>
            <w:vAlign w:val="center"/>
          </w:tcPr>
          <w:p w:rsidR="00000000" w:rsidDel="00000000" w:rsidP="00000000" w:rsidRDefault="00000000" w:rsidRPr="00000000" w14:paraId="00000301">
            <w:pPr>
              <w:spacing w:after="0" w:line="240" w:lineRule="auto"/>
              <w:jc w:val="right"/>
              <w:rPr>
                <w:sz w:val="20"/>
                <w:szCs w:val="20"/>
              </w:rPr>
            </w:pPr>
            <w:r w:rsidDel="00000000" w:rsidR="00000000" w:rsidRPr="00000000">
              <w:rPr>
                <w:sz w:val="20"/>
                <w:szCs w:val="20"/>
                <w:rtl w:val="0"/>
              </w:rPr>
              <w:t xml:space="preserve"> </w:t>
            </w:r>
          </w:p>
        </w:tc>
      </w:tr>
      <w:tr>
        <w:trPr>
          <w:cantSplit w:val="0"/>
          <w:trHeight w:val="315" w:hRule="atLeast"/>
          <w:tblHeader w:val="0"/>
        </w:trPr>
        <w:tc>
          <w:tcPr>
            <w:tcBorders>
              <w:top w:color="000000" w:space="0" w:sz="0" w:val="nil"/>
              <w:left w:color="000000" w:space="0" w:sz="0" w:val="nil"/>
              <w:bottom w:color="305496" w:space="0" w:sz="4" w:val="single"/>
              <w:right w:color="000000" w:space="0" w:sz="0" w:val="nil"/>
            </w:tcBorders>
            <w:shd w:fill="auto" w:val="clear"/>
            <w:vAlign w:val="center"/>
          </w:tcPr>
          <w:p w:rsidR="00000000" w:rsidDel="00000000" w:rsidP="00000000" w:rsidRDefault="00000000" w:rsidRPr="00000000" w14:paraId="00000302">
            <w:pPr>
              <w:spacing w:after="0" w:line="240" w:lineRule="auto"/>
              <w:rPr>
                <w:sz w:val="20"/>
                <w:szCs w:val="20"/>
              </w:rPr>
            </w:pPr>
            <w:r w:rsidDel="00000000" w:rsidR="00000000" w:rsidRPr="00000000">
              <w:rPr>
                <w:sz w:val="20"/>
                <w:szCs w:val="20"/>
                <w:rtl w:val="0"/>
              </w:rPr>
              <w:t xml:space="preserve">Ship Street Great</w:t>
            </w:r>
          </w:p>
        </w:tc>
        <w:tc>
          <w:tcPr>
            <w:tcBorders>
              <w:top w:color="000000" w:space="0" w:sz="0" w:val="nil"/>
              <w:left w:color="000000" w:space="0" w:sz="0" w:val="nil"/>
              <w:bottom w:color="305496" w:space="0" w:sz="4" w:val="single"/>
              <w:right w:color="000000" w:space="0" w:sz="0" w:val="nil"/>
            </w:tcBorders>
            <w:shd w:fill="auto" w:val="clear"/>
            <w:vAlign w:val="center"/>
          </w:tcPr>
          <w:p w:rsidR="00000000" w:rsidDel="00000000" w:rsidP="00000000" w:rsidRDefault="00000000" w:rsidRPr="00000000" w14:paraId="00000303">
            <w:pPr>
              <w:spacing w:after="0" w:line="240" w:lineRule="auto"/>
              <w:jc w:val="right"/>
              <w:rPr>
                <w:sz w:val="20"/>
                <w:szCs w:val="20"/>
              </w:rPr>
            </w:pPr>
            <w:r w:rsidDel="00000000" w:rsidR="00000000" w:rsidRPr="00000000">
              <w:rPr>
                <w:sz w:val="20"/>
                <w:szCs w:val="20"/>
                <w:rtl w:val="0"/>
              </w:rPr>
              <w:t xml:space="preserve">1</w:t>
            </w:r>
          </w:p>
        </w:tc>
        <w:tc>
          <w:tcPr>
            <w:tcBorders>
              <w:top w:color="000000" w:space="0" w:sz="0" w:val="nil"/>
              <w:left w:color="000000" w:space="0" w:sz="0" w:val="nil"/>
              <w:bottom w:color="305496" w:space="0" w:sz="4" w:val="single"/>
              <w:right w:color="000000" w:space="0" w:sz="0" w:val="nil"/>
            </w:tcBorders>
            <w:shd w:fill="fff2cc" w:val="clear"/>
            <w:vAlign w:val="center"/>
          </w:tcPr>
          <w:p w:rsidR="00000000" w:rsidDel="00000000" w:rsidP="00000000" w:rsidRDefault="00000000" w:rsidRPr="00000000" w14:paraId="00000304">
            <w:pPr>
              <w:spacing w:after="0" w:line="240" w:lineRule="auto"/>
              <w:jc w:val="right"/>
              <w:rPr>
                <w:sz w:val="20"/>
                <w:szCs w:val="20"/>
              </w:rPr>
            </w:pPr>
            <w:r w:rsidDel="00000000" w:rsidR="00000000" w:rsidRPr="00000000">
              <w:rPr>
                <w:sz w:val="20"/>
                <w:szCs w:val="20"/>
                <w:rtl w:val="0"/>
              </w:rPr>
              <w:t xml:space="preserve">1</w:t>
            </w:r>
          </w:p>
        </w:tc>
        <w:tc>
          <w:tcPr>
            <w:tcBorders>
              <w:top w:color="000000" w:space="0" w:sz="0" w:val="nil"/>
              <w:left w:color="000000" w:space="0" w:sz="0" w:val="nil"/>
              <w:bottom w:color="305496" w:space="0" w:sz="4" w:val="single"/>
              <w:right w:color="000000" w:space="0" w:sz="0" w:val="nil"/>
            </w:tcBorders>
            <w:shd w:fill="fff2cc" w:val="clear"/>
            <w:vAlign w:val="center"/>
          </w:tcPr>
          <w:p w:rsidR="00000000" w:rsidDel="00000000" w:rsidP="00000000" w:rsidRDefault="00000000" w:rsidRPr="00000000" w14:paraId="00000305">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305496" w:space="0" w:sz="4" w:val="single"/>
              <w:right w:color="000000" w:space="0" w:sz="0" w:val="nil"/>
            </w:tcBorders>
            <w:shd w:fill="d9e1f2" w:val="clear"/>
            <w:vAlign w:val="center"/>
          </w:tcPr>
          <w:p w:rsidR="00000000" w:rsidDel="00000000" w:rsidP="00000000" w:rsidRDefault="00000000" w:rsidRPr="00000000" w14:paraId="00000306">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305496" w:space="0" w:sz="4" w:val="single"/>
              <w:right w:color="000000" w:space="0" w:sz="0" w:val="nil"/>
            </w:tcBorders>
            <w:shd w:fill="d9e1f2" w:val="clear"/>
            <w:vAlign w:val="center"/>
          </w:tcPr>
          <w:p w:rsidR="00000000" w:rsidDel="00000000" w:rsidP="00000000" w:rsidRDefault="00000000" w:rsidRPr="00000000" w14:paraId="00000307">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305496" w:space="0" w:sz="4" w:val="single"/>
              <w:right w:color="000000" w:space="0" w:sz="0" w:val="nil"/>
            </w:tcBorders>
            <w:shd w:fill="d9d9d9" w:val="clear"/>
            <w:vAlign w:val="center"/>
          </w:tcPr>
          <w:p w:rsidR="00000000" w:rsidDel="00000000" w:rsidP="00000000" w:rsidRDefault="00000000" w:rsidRPr="00000000" w14:paraId="00000308">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305496" w:space="0" w:sz="4" w:val="single"/>
              <w:right w:color="000000" w:space="0" w:sz="0" w:val="nil"/>
            </w:tcBorders>
            <w:shd w:fill="d9d9d9" w:val="clear"/>
            <w:vAlign w:val="center"/>
          </w:tcPr>
          <w:p w:rsidR="00000000" w:rsidDel="00000000" w:rsidP="00000000" w:rsidRDefault="00000000" w:rsidRPr="00000000" w14:paraId="00000309">
            <w:pPr>
              <w:spacing w:after="0" w:line="240" w:lineRule="auto"/>
              <w:jc w:val="right"/>
              <w:rPr>
                <w:sz w:val="20"/>
                <w:szCs w:val="20"/>
              </w:rPr>
            </w:pPr>
            <w:r w:rsidDel="00000000" w:rsidR="00000000" w:rsidRPr="00000000">
              <w:rPr>
                <w:sz w:val="20"/>
                <w:szCs w:val="20"/>
                <w:rtl w:val="0"/>
              </w:rPr>
              <w:t xml:space="preserve"> </w:t>
            </w:r>
          </w:p>
        </w:tc>
      </w:tr>
      <w:tr>
        <w:trPr>
          <w:cantSplit w:val="0"/>
          <w:trHeight w:val="315" w:hRule="atLeast"/>
          <w:tblHeader w:val="0"/>
        </w:trPr>
        <w:tc>
          <w:tcPr>
            <w:tcBorders>
              <w:top w:color="000000" w:space="0" w:sz="0" w:val="nil"/>
              <w:left w:color="000000" w:space="0" w:sz="0" w:val="nil"/>
              <w:bottom w:color="8ea9db" w:space="0" w:sz="4" w:val="single"/>
              <w:right w:color="000000" w:space="0" w:sz="0" w:val="nil"/>
            </w:tcBorders>
            <w:shd w:fill="ffffff" w:val="clear"/>
            <w:vAlign w:val="center"/>
          </w:tcPr>
          <w:p w:rsidR="00000000" w:rsidDel="00000000" w:rsidP="00000000" w:rsidRDefault="00000000" w:rsidRPr="00000000" w14:paraId="0000030A">
            <w:pPr>
              <w:spacing w:after="0" w:line="240" w:lineRule="auto"/>
              <w:jc w:val="center"/>
              <w:rPr>
                <w:b w:val="1"/>
                <w:sz w:val="20"/>
                <w:szCs w:val="20"/>
              </w:rPr>
            </w:pPr>
            <w:r w:rsidDel="00000000" w:rsidR="00000000" w:rsidRPr="00000000">
              <w:rPr>
                <w:b w:val="1"/>
                <w:sz w:val="20"/>
                <w:szCs w:val="20"/>
                <w:rtl w:val="0"/>
              </w:rPr>
              <w:t xml:space="preserve">Ireland_MA</w:t>
            </w:r>
          </w:p>
        </w:tc>
        <w:tc>
          <w:tcPr>
            <w:tcBorders>
              <w:top w:color="000000" w:space="0" w:sz="0" w:val="nil"/>
              <w:left w:color="000000" w:space="0" w:sz="0" w:val="nil"/>
              <w:bottom w:color="8ea9db" w:space="0" w:sz="4" w:val="single"/>
              <w:right w:color="000000" w:space="0" w:sz="0" w:val="nil"/>
            </w:tcBorders>
            <w:shd w:fill="ffffff" w:val="clear"/>
            <w:vAlign w:val="center"/>
          </w:tcPr>
          <w:p w:rsidR="00000000" w:rsidDel="00000000" w:rsidP="00000000" w:rsidRDefault="00000000" w:rsidRPr="00000000" w14:paraId="0000030B">
            <w:pPr>
              <w:spacing w:after="0" w:line="240" w:lineRule="auto"/>
              <w:jc w:val="right"/>
              <w:rPr>
                <w:b w:val="1"/>
                <w:sz w:val="20"/>
                <w:szCs w:val="20"/>
              </w:rPr>
            </w:pPr>
            <w:r w:rsidDel="00000000" w:rsidR="00000000" w:rsidRPr="00000000">
              <w:rPr>
                <w:b w:val="1"/>
                <w:sz w:val="20"/>
                <w:szCs w:val="20"/>
                <w:rtl w:val="0"/>
              </w:rPr>
              <w:t xml:space="preserve">38</w:t>
            </w:r>
          </w:p>
        </w:tc>
        <w:tc>
          <w:tcPr>
            <w:tcBorders>
              <w:top w:color="000000" w:space="0" w:sz="0" w:val="nil"/>
              <w:left w:color="000000" w:space="0" w:sz="0" w:val="nil"/>
              <w:bottom w:color="8ea9db" w:space="0" w:sz="4" w:val="single"/>
              <w:right w:color="000000" w:space="0" w:sz="0" w:val="nil"/>
            </w:tcBorders>
            <w:shd w:fill="ffffff" w:val="clear"/>
            <w:vAlign w:val="center"/>
          </w:tcPr>
          <w:p w:rsidR="00000000" w:rsidDel="00000000" w:rsidP="00000000" w:rsidRDefault="00000000" w:rsidRPr="00000000" w14:paraId="0000030C">
            <w:pPr>
              <w:spacing w:after="0" w:line="240" w:lineRule="auto"/>
              <w:jc w:val="right"/>
              <w:rPr>
                <w:b w:val="1"/>
                <w:sz w:val="20"/>
                <w:szCs w:val="20"/>
              </w:rPr>
            </w:pPr>
            <w:r w:rsidDel="00000000" w:rsidR="00000000" w:rsidRPr="00000000">
              <w:rPr>
                <w:b w:val="1"/>
                <w:sz w:val="20"/>
                <w:szCs w:val="20"/>
                <w:rtl w:val="0"/>
              </w:rPr>
              <w:t xml:space="preserve">7</w:t>
            </w:r>
          </w:p>
        </w:tc>
        <w:tc>
          <w:tcPr>
            <w:tcBorders>
              <w:top w:color="000000" w:space="0" w:sz="0" w:val="nil"/>
              <w:left w:color="000000" w:space="0" w:sz="0" w:val="nil"/>
              <w:bottom w:color="8ea9db" w:space="0" w:sz="4" w:val="single"/>
              <w:right w:color="000000" w:space="0" w:sz="0" w:val="nil"/>
            </w:tcBorders>
            <w:shd w:fill="ffffff" w:val="clear"/>
            <w:vAlign w:val="center"/>
          </w:tcPr>
          <w:p w:rsidR="00000000" w:rsidDel="00000000" w:rsidP="00000000" w:rsidRDefault="00000000" w:rsidRPr="00000000" w14:paraId="0000030D">
            <w:pPr>
              <w:spacing w:after="0" w:line="240" w:lineRule="auto"/>
              <w:jc w:val="right"/>
              <w:rPr>
                <w:b w:val="1"/>
                <w:sz w:val="20"/>
                <w:szCs w:val="20"/>
              </w:rPr>
            </w:pPr>
            <w:r w:rsidDel="00000000" w:rsidR="00000000" w:rsidRPr="00000000">
              <w:rPr>
                <w:b w:val="1"/>
                <w:sz w:val="20"/>
                <w:szCs w:val="20"/>
                <w:rtl w:val="0"/>
              </w:rPr>
              <w:t xml:space="preserve">18</w:t>
            </w:r>
          </w:p>
        </w:tc>
        <w:tc>
          <w:tcPr>
            <w:tcBorders>
              <w:top w:color="000000" w:space="0" w:sz="0" w:val="nil"/>
              <w:left w:color="000000" w:space="0" w:sz="0" w:val="nil"/>
              <w:bottom w:color="8ea9db" w:space="0" w:sz="4" w:val="single"/>
              <w:right w:color="000000" w:space="0" w:sz="0" w:val="nil"/>
            </w:tcBorders>
            <w:shd w:fill="ffffff" w:val="clear"/>
            <w:vAlign w:val="center"/>
          </w:tcPr>
          <w:p w:rsidR="00000000" w:rsidDel="00000000" w:rsidP="00000000" w:rsidRDefault="00000000" w:rsidRPr="00000000" w14:paraId="0000030E">
            <w:pPr>
              <w:spacing w:after="0" w:line="240" w:lineRule="auto"/>
              <w:jc w:val="right"/>
              <w:rPr>
                <w:b w:val="1"/>
                <w:sz w:val="20"/>
                <w:szCs w:val="20"/>
              </w:rPr>
            </w:pPr>
            <w:r w:rsidDel="00000000" w:rsidR="00000000" w:rsidRPr="00000000">
              <w:rPr>
                <w:b w:val="1"/>
                <w:sz w:val="20"/>
                <w:szCs w:val="20"/>
                <w:rtl w:val="0"/>
              </w:rPr>
              <w:t xml:space="preserve">3</w:t>
            </w:r>
          </w:p>
        </w:tc>
        <w:tc>
          <w:tcPr>
            <w:tcBorders>
              <w:top w:color="000000" w:space="0" w:sz="0" w:val="nil"/>
              <w:left w:color="000000" w:space="0" w:sz="0" w:val="nil"/>
              <w:bottom w:color="8ea9db" w:space="0" w:sz="4" w:val="single"/>
              <w:right w:color="000000" w:space="0" w:sz="0" w:val="nil"/>
            </w:tcBorders>
            <w:shd w:fill="ffffff" w:val="clear"/>
            <w:vAlign w:val="center"/>
          </w:tcPr>
          <w:p w:rsidR="00000000" w:rsidDel="00000000" w:rsidP="00000000" w:rsidRDefault="00000000" w:rsidRPr="00000000" w14:paraId="0000030F">
            <w:pPr>
              <w:spacing w:after="0" w:line="240" w:lineRule="auto"/>
              <w:jc w:val="right"/>
              <w:rPr>
                <w:b w:val="1"/>
                <w:sz w:val="20"/>
                <w:szCs w:val="20"/>
              </w:rPr>
            </w:pPr>
            <w:r w:rsidDel="00000000" w:rsidR="00000000" w:rsidRPr="00000000">
              <w:rPr>
                <w:b w:val="1"/>
                <w:sz w:val="20"/>
                <w:szCs w:val="20"/>
                <w:rtl w:val="0"/>
              </w:rPr>
              <w:t xml:space="preserve">8</w:t>
            </w:r>
          </w:p>
        </w:tc>
        <w:tc>
          <w:tcPr>
            <w:tcBorders>
              <w:top w:color="000000" w:space="0" w:sz="0" w:val="nil"/>
              <w:left w:color="000000" w:space="0" w:sz="0" w:val="nil"/>
              <w:bottom w:color="8ea9db" w:space="0" w:sz="4" w:val="single"/>
              <w:right w:color="000000" w:space="0" w:sz="0" w:val="nil"/>
            </w:tcBorders>
            <w:shd w:fill="ffffff" w:val="clear"/>
            <w:vAlign w:val="center"/>
          </w:tcPr>
          <w:p w:rsidR="00000000" w:rsidDel="00000000" w:rsidP="00000000" w:rsidRDefault="00000000" w:rsidRPr="00000000" w14:paraId="00000310">
            <w:pPr>
              <w:spacing w:after="0" w:line="240" w:lineRule="auto"/>
              <w:jc w:val="right"/>
              <w:rPr>
                <w:b w:val="1"/>
                <w:sz w:val="20"/>
                <w:szCs w:val="20"/>
              </w:rPr>
            </w:pPr>
            <w:r w:rsidDel="00000000" w:rsidR="00000000" w:rsidRPr="00000000">
              <w:rPr>
                <w:b w:val="1"/>
                <w:sz w:val="20"/>
                <w:szCs w:val="20"/>
                <w:rtl w:val="0"/>
              </w:rPr>
              <w:t xml:space="preserve">28</w:t>
            </w:r>
          </w:p>
        </w:tc>
        <w:tc>
          <w:tcPr>
            <w:tcBorders>
              <w:top w:color="000000" w:space="0" w:sz="0" w:val="nil"/>
              <w:left w:color="000000" w:space="0" w:sz="0" w:val="nil"/>
              <w:bottom w:color="8ea9db" w:space="0" w:sz="4" w:val="single"/>
              <w:right w:color="000000" w:space="0" w:sz="0" w:val="nil"/>
            </w:tcBorders>
            <w:shd w:fill="ffffff" w:val="clear"/>
            <w:vAlign w:val="center"/>
          </w:tcPr>
          <w:p w:rsidR="00000000" w:rsidDel="00000000" w:rsidP="00000000" w:rsidRDefault="00000000" w:rsidRPr="00000000" w14:paraId="00000311">
            <w:pPr>
              <w:spacing w:after="0" w:line="240" w:lineRule="auto"/>
              <w:jc w:val="right"/>
              <w:rPr>
                <w:b w:val="1"/>
                <w:sz w:val="20"/>
                <w:szCs w:val="20"/>
              </w:rPr>
            </w:pPr>
            <w:r w:rsidDel="00000000" w:rsidR="00000000" w:rsidRPr="00000000">
              <w:rPr>
                <w:b w:val="1"/>
                <w:sz w:val="20"/>
                <w:szCs w:val="20"/>
                <w:rtl w:val="0"/>
              </w:rPr>
              <w:t xml:space="preserve">74</w:t>
            </w:r>
          </w:p>
        </w:tc>
      </w:tr>
      <w:tr>
        <w:trPr>
          <w:cantSplit w:val="0"/>
          <w:trHeight w:val="315" w:hRule="atLeast"/>
          <w:tblHeader w:val="0"/>
        </w:trPr>
        <w:tc>
          <w:tcPr>
            <w:tcBorders>
              <w:top w:color="000000" w:space="0" w:sz="0" w:val="nil"/>
              <w:left w:color="000000" w:space="0" w:sz="0" w:val="nil"/>
              <w:bottom w:color="8ea9db" w:space="0" w:sz="4" w:val="single"/>
              <w:right w:color="000000" w:space="0" w:sz="0" w:val="nil"/>
            </w:tcBorders>
            <w:shd w:fill="f2f2f2" w:val="clear"/>
            <w:vAlign w:val="center"/>
          </w:tcPr>
          <w:p w:rsidR="00000000" w:rsidDel="00000000" w:rsidP="00000000" w:rsidRDefault="00000000" w:rsidRPr="00000000" w14:paraId="00000312">
            <w:pPr>
              <w:spacing w:after="0" w:line="240" w:lineRule="auto"/>
              <w:rPr>
                <w:b w:val="1"/>
                <w:sz w:val="20"/>
                <w:szCs w:val="20"/>
              </w:rPr>
            </w:pPr>
            <w:r w:rsidDel="00000000" w:rsidR="00000000" w:rsidRPr="00000000">
              <w:rPr>
                <w:b w:val="1"/>
                <w:sz w:val="20"/>
                <w:szCs w:val="20"/>
                <w:rtl w:val="0"/>
              </w:rPr>
              <w:t xml:space="preserve">Ireland</w:t>
            </w:r>
          </w:p>
        </w:tc>
        <w:tc>
          <w:tcPr>
            <w:tcBorders>
              <w:top w:color="000000" w:space="0" w:sz="0" w:val="nil"/>
              <w:left w:color="000000" w:space="0" w:sz="0" w:val="nil"/>
              <w:bottom w:color="8ea9db" w:space="0" w:sz="4" w:val="single"/>
              <w:right w:color="000000" w:space="0" w:sz="0" w:val="nil"/>
            </w:tcBorders>
            <w:shd w:fill="f2f2f2" w:val="clear"/>
            <w:vAlign w:val="center"/>
          </w:tcPr>
          <w:p w:rsidR="00000000" w:rsidDel="00000000" w:rsidP="00000000" w:rsidRDefault="00000000" w:rsidRPr="00000000" w14:paraId="00000313">
            <w:pPr>
              <w:spacing w:after="0" w:line="240" w:lineRule="auto"/>
              <w:jc w:val="right"/>
              <w:rPr>
                <w:b w:val="1"/>
                <w:sz w:val="20"/>
                <w:szCs w:val="20"/>
              </w:rPr>
            </w:pPr>
            <w:r w:rsidDel="00000000" w:rsidR="00000000" w:rsidRPr="00000000">
              <w:rPr>
                <w:b w:val="1"/>
                <w:sz w:val="20"/>
                <w:szCs w:val="20"/>
                <w:rtl w:val="0"/>
              </w:rPr>
              <w:t xml:space="preserve">38</w:t>
            </w:r>
          </w:p>
        </w:tc>
        <w:tc>
          <w:tcPr>
            <w:tcBorders>
              <w:top w:color="000000" w:space="0" w:sz="0" w:val="nil"/>
              <w:left w:color="000000" w:space="0" w:sz="0" w:val="nil"/>
              <w:bottom w:color="8ea9db" w:space="0" w:sz="4" w:val="single"/>
              <w:right w:color="000000" w:space="0" w:sz="0" w:val="nil"/>
            </w:tcBorders>
            <w:shd w:fill="f2f2f2" w:val="clear"/>
            <w:vAlign w:val="center"/>
          </w:tcPr>
          <w:p w:rsidR="00000000" w:rsidDel="00000000" w:rsidP="00000000" w:rsidRDefault="00000000" w:rsidRPr="00000000" w14:paraId="00000314">
            <w:pPr>
              <w:spacing w:after="0" w:line="240" w:lineRule="auto"/>
              <w:jc w:val="right"/>
              <w:rPr>
                <w:b w:val="1"/>
                <w:sz w:val="20"/>
                <w:szCs w:val="20"/>
              </w:rPr>
            </w:pPr>
            <w:r w:rsidDel="00000000" w:rsidR="00000000" w:rsidRPr="00000000">
              <w:rPr>
                <w:b w:val="1"/>
                <w:sz w:val="20"/>
                <w:szCs w:val="20"/>
                <w:rtl w:val="0"/>
              </w:rPr>
              <w:t xml:space="preserve">7</w:t>
            </w:r>
          </w:p>
        </w:tc>
        <w:tc>
          <w:tcPr>
            <w:tcBorders>
              <w:top w:color="000000" w:space="0" w:sz="0" w:val="nil"/>
              <w:left w:color="000000" w:space="0" w:sz="0" w:val="nil"/>
              <w:bottom w:color="8ea9db" w:space="0" w:sz="4" w:val="single"/>
              <w:right w:color="000000" w:space="0" w:sz="0" w:val="nil"/>
            </w:tcBorders>
            <w:shd w:fill="f2f2f2" w:val="clear"/>
            <w:vAlign w:val="center"/>
          </w:tcPr>
          <w:p w:rsidR="00000000" w:rsidDel="00000000" w:rsidP="00000000" w:rsidRDefault="00000000" w:rsidRPr="00000000" w14:paraId="00000315">
            <w:pPr>
              <w:spacing w:after="0" w:line="240" w:lineRule="auto"/>
              <w:jc w:val="right"/>
              <w:rPr>
                <w:b w:val="1"/>
                <w:sz w:val="20"/>
                <w:szCs w:val="20"/>
              </w:rPr>
            </w:pPr>
            <w:r w:rsidDel="00000000" w:rsidR="00000000" w:rsidRPr="00000000">
              <w:rPr>
                <w:b w:val="1"/>
                <w:sz w:val="20"/>
                <w:szCs w:val="20"/>
                <w:rtl w:val="0"/>
              </w:rPr>
              <w:t xml:space="preserve">18</w:t>
            </w:r>
          </w:p>
        </w:tc>
        <w:tc>
          <w:tcPr>
            <w:tcBorders>
              <w:top w:color="000000" w:space="0" w:sz="0" w:val="nil"/>
              <w:left w:color="000000" w:space="0" w:sz="0" w:val="nil"/>
              <w:bottom w:color="8ea9db" w:space="0" w:sz="4" w:val="single"/>
              <w:right w:color="000000" w:space="0" w:sz="0" w:val="nil"/>
            </w:tcBorders>
            <w:shd w:fill="f2f2f2" w:val="clear"/>
            <w:vAlign w:val="center"/>
          </w:tcPr>
          <w:p w:rsidR="00000000" w:rsidDel="00000000" w:rsidP="00000000" w:rsidRDefault="00000000" w:rsidRPr="00000000" w14:paraId="00000316">
            <w:pPr>
              <w:spacing w:after="0" w:line="240" w:lineRule="auto"/>
              <w:jc w:val="right"/>
              <w:rPr>
                <w:b w:val="1"/>
                <w:sz w:val="20"/>
                <w:szCs w:val="20"/>
              </w:rPr>
            </w:pPr>
            <w:r w:rsidDel="00000000" w:rsidR="00000000" w:rsidRPr="00000000">
              <w:rPr>
                <w:b w:val="1"/>
                <w:sz w:val="20"/>
                <w:szCs w:val="20"/>
                <w:rtl w:val="0"/>
              </w:rPr>
              <w:t xml:space="preserve">3</w:t>
            </w:r>
          </w:p>
        </w:tc>
        <w:tc>
          <w:tcPr>
            <w:tcBorders>
              <w:top w:color="000000" w:space="0" w:sz="0" w:val="nil"/>
              <w:left w:color="000000" w:space="0" w:sz="0" w:val="nil"/>
              <w:bottom w:color="8ea9db" w:space="0" w:sz="4" w:val="single"/>
              <w:right w:color="000000" w:space="0" w:sz="0" w:val="nil"/>
            </w:tcBorders>
            <w:shd w:fill="f2f2f2" w:val="clear"/>
            <w:vAlign w:val="center"/>
          </w:tcPr>
          <w:p w:rsidR="00000000" w:rsidDel="00000000" w:rsidP="00000000" w:rsidRDefault="00000000" w:rsidRPr="00000000" w14:paraId="00000317">
            <w:pPr>
              <w:spacing w:after="0" w:line="240" w:lineRule="auto"/>
              <w:jc w:val="right"/>
              <w:rPr>
                <w:b w:val="1"/>
                <w:sz w:val="20"/>
                <w:szCs w:val="20"/>
              </w:rPr>
            </w:pPr>
            <w:r w:rsidDel="00000000" w:rsidR="00000000" w:rsidRPr="00000000">
              <w:rPr>
                <w:b w:val="1"/>
                <w:sz w:val="20"/>
                <w:szCs w:val="20"/>
                <w:rtl w:val="0"/>
              </w:rPr>
              <w:t xml:space="preserve">8</w:t>
            </w:r>
          </w:p>
        </w:tc>
        <w:tc>
          <w:tcPr>
            <w:tcBorders>
              <w:top w:color="000000" w:space="0" w:sz="0" w:val="nil"/>
              <w:left w:color="000000" w:space="0" w:sz="0" w:val="nil"/>
              <w:bottom w:color="8ea9db" w:space="0" w:sz="4" w:val="single"/>
              <w:right w:color="000000" w:space="0" w:sz="0" w:val="nil"/>
            </w:tcBorders>
            <w:shd w:fill="f2f2f2" w:val="clear"/>
            <w:vAlign w:val="center"/>
          </w:tcPr>
          <w:p w:rsidR="00000000" w:rsidDel="00000000" w:rsidP="00000000" w:rsidRDefault="00000000" w:rsidRPr="00000000" w14:paraId="00000318">
            <w:pPr>
              <w:spacing w:after="0" w:line="240" w:lineRule="auto"/>
              <w:jc w:val="right"/>
              <w:rPr>
                <w:b w:val="1"/>
                <w:sz w:val="20"/>
                <w:szCs w:val="20"/>
              </w:rPr>
            </w:pPr>
            <w:r w:rsidDel="00000000" w:rsidR="00000000" w:rsidRPr="00000000">
              <w:rPr>
                <w:b w:val="1"/>
                <w:sz w:val="20"/>
                <w:szCs w:val="20"/>
                <w:rtl w:val="0"/>
              </w:rPr>
              <w:t xml:space="preserve">28</w:t>
            </w:r>
          </w:p>
        </w:tc>
        <w:tc>
          <w:tcPr>
            <w:tcBorders>
              <w:top w:color="000000" w:space="0" w:sz="0" w:val="nil"/>
              <w:left w:color="000000" w:space="0" w:sz="0" w:val="nil"/>
              <w:bottom w:color="8ea9db" w:space="0" w:sz="4" w:val="single"/>
              <w:right w:color="000000" w:space="0" w:sz="0" w:val="nil"/>
            </w:tcBorders>
            <w:shd w:fill="f2f2f2" w:val="clear"/>
            <w:vAlign w:val="center"/>
          </w:tcPr>
          <w:p w:rsidR="00000000" w:rsidDel="00000000" w:rsidP="00000000" w:rsidRDefault="00000000" w:rsidRPr="00000000" w14:paraId="00000319">
            <w:pPr>
              <w:spacing w:after="0" w:line="240" w:lineRule="auto"/>
              <w:jc w:val="right"/>
              <w:rPr>
                <w:b w:val="1"/>
                <w:sz w:val="20"/>
                <w:szCs w:val="20"/>
              </w:rPr>
            </w:pPr>
            <w:r w:rsidDel="00000000" w:rsidR="00000000" w:rsidRPr="00000000">
              <w:rPr>
                <w:b w:val="1"/>
                <w:sz w:val="20"/>
                <w:szCs w:val="20"/>
                <w:rtl w:val="0"/>
              </w:rPr>
              <w:t xml:space="preserve">74</w:t>
            </w:r>
          </w:p>
        </w:tc>
      </w:tr>
      <w:tr>
        <w:trPr>
          <w:cantSplit w:val="0"/>
          <w:trHeight w:val="315" w:hRule="atLeast"/>
          <w:tblHeader w:val="0"/>
        </w:trPr>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31A">
            <w:pPr>
              <w:spacing w:after="0" w:line="240" w:lineRule="auto"/>
              <w:rPr>
                <w:b w:val="1"/>
                <w:sz w:val="20"/>
                <w:szCs w:val="20"/>
              </w:rPr>
            </w:pPr>
            <w:r w:rsidDel="00000000" w:rsidR="00000000" w:rsidRPr="00000000">
              <w:rPr>
                <w:b w:val="1"/>
                <w:sz w:val="20"/>
                <w:szCs w:val="20"/>
                <w:rtl w:val="0"/>
              </w:rPr>
              <w:t xml:space="preserve">Connaught</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31B">
            <w:pPr>
              <w:spacing w:after="0" w:line="240" w:lineRule="auto"/>
              <w:jc w:val="right"/>
              <w:rPr>
                <w:b w:val="1"/>
                <w:sz w:val="20"/>
                <w:szCs w:val="20"/>
              </w:rPr>
            </w:pPr>
            <w:r w:rsidDel="00000000" w:rsidR="00000000" w:rsidRPr="00000000">
              <w:rPr>
                <w:b w:val="1"/>
                <w:sz w:val="20"/>
                <w:szCs w:val="20"/>
                <w:rtl w:val="0"/>
              </w:rPr>
              <w:t xml:space="preserve">38</w:t>
            </w:r>
          </w:p>
        </w:tc>
        <w:tc>
          <w:tcPr>
            <w:tcBorders>
              <w:top w:color="000000" w:space="0" w:sz="0" w:val="nil"/>
              <w:left w:color="000000" w:space="0" w:sz="0" w:val="nil"/>
              <w:bottom w:color="000000" w:space="0" w:sz="4" w:val="single"/>
              <w:right w:color="000000" w:space="0" w:sz="0" w:val="nil"/>
            </w:tcBorders>
            <w:shd w:fill="fff2cc" w:val="clear"/>
            <w:vAlign w:val="center"/>
          </w:tcPr>
          <w:p w:rsidR="00000000" w:rsidDel="00000000" w:rsidP="00000000" w:rsidRDefault="00000000" w:rsidRPr="00000000" w14:paraId="0000031C">
            <w:pPr>
              <w:spacing w:after="0" w:line="240" w:lineRule="auto"/>
              <w:jc w:val="right"/>
              <w:rPr>
                <w:b w:val="1"/>
                <w:sz w:val="20"/>
                <w:szCs w:val="20"/>
              </w:rPr>
            </w:pPr>
            <w:r w:rsidDel="00000000" w:rsidR="00000000" w:rsidRPr="00000000">
              <w:rPr>
                <w:b w:val="1"/>
                <w:sz w:val="20"/>
                <w:szCs w:val="20"/>
                <w:rtl w:val="0"/>
              </w:rPr>
              <w:t xml:space="preserve">7</w:t>
            </w:r>
          </w:p>
        </w:tc>
        <w:tc>
          <w:tcPr>
            <w:tcBorders>
              <w:top w:color="000000" w:space="0" w:sz="0" w:val="nil"/>
              <w:left w:color="000000" w:space="0" w:sz="0" w:val="nil"/>
              <w:bottom w:color="000000" w:space="0" w:sz="4" w:val="single"/>
              <w:right w:color="000000" w:space="0" w:sz="0" w:val="nil"/>
            </w:tcBorders>
            <w:shd w:fill="fff2cc" w:val="clear"/>
            <w:vAlign w:val="center"/>
          </w:tcPr>
          <w:p w:rsidR="00000000" w:rsidDel="00000000" w:rsidP="00000000" w:rsidRDefault="00000000" w:rsidRPr="00000000" w14:paraId="0000031D">
            <w:pPr>
              <w:spacing w:after="0" w:line="240" w:lineRule="auto"/>
              <w:jc w:val="right"/>
              <w:rPr>
                <w:b w:val="1"/>
                <w:sz w:val="20"/>
                <w:szCs w:val="20"/>
              </w:rPr>
            </w:pPr>
            <w:r w:rsidDel="00000000" w:rsidR="00000000" w:rsidRPr="00000000">
              <w:rPr>
                <w:b w:val="1"/>
                <w:sz w:val="20"/>
                <w:szCs w:val="20"/>
                <w:rtl w:val="0"/>
              </w:rPr>
              <w:t xml:space="preserve">18</w:t>
            </w:r>
          </w:p>
        </w:tc>
        <w:tc>
          <w:tcPr>
            <w:tcBorders>
              <w:top w:color="000000" w:space="0" w:sz="0" w:val="nil"/>
              <w:left w:color="000000" w:space="0" w:sz="0" w:val="nil"/>
              <w:bottom w:color="000000" w:space="0" w:sz="4" w:val="single"/>
              <w:right w:color="000000" w:space="0" w:sz="0" w:val="nil"/>
            </w:tcBorders>
            <w:shd w:fill="d9e1f2" w:val="clear"/>
            <w:vAlign w:val="center"/>
          </w:tcPr>
          <w:p w:rsidR="00000000" w:rsidDel="00000000" w:rsidP="00000000" w:rsidRDefault="00000000" w:rsidRPr="00000000" w14:paraId="0000031E">
            <w:pPr>
              <w:spacing w:after="0" w:line="240" w:lineRule="auto"/>
              <w:jc w:val="right"/>
              <w:rPr>
                <w:b w:val="1"/>
                <w:sz w:val="20"/>
                <w:szCs w:val="20"/>
              </w:rPr>
            </w:pPr>
            <w:r w:rsidDel="00000000" w:rsidR="00000000" w:rsidRPr="00000000">
              <w:rPr>
                <w:b w:val="1"/>
                <w:sz w:val="20"/>
                <w:szCs w:val="20"/>
                <w:rtl w:val="0"/>
              </w:rPr>
              <w:t xml:space="preserve">3</w:t>
            </w:r>
          </w:p>
        </w:tc>
        <w:tc>
          <w:tcPr>
            <w:tcBorders>
              <w:top w:color="000000" w:space="0" w:sz="0" w:val="nil"/>
              <w:left w:color="000000" w:space="0" w:sz="0" w:val="nil"/>
              <w:bottom w:color="000000" w:space="0" w:sz="4" w:val="single"/>
              <w:right w:color="000000" w:space="0" w:sz="0" w:val="nil"/>
            </w:tcBorders>
            <w:shd w:fill="d9e1f2" w:val="clear"/>
            <w:vAlign w:val="center"/>
          </w:tcPr>
          <w:p w:rsidR="00000000" w:rsidDel="00000000" w:rsidP="00000000" w:rsidRDefault="00000000" w:rsidRPr="00000000" w14:paraId="0000031F">
            <w:pPr>
              <w:spacing w:after="0" w:line="240" w:lineRule="auto"/>
              <w:jc w:val="right"/>
              <w:rPr>
                <w:b w:val="1"/>
                <w:sz w:val="20"/>
                <w:szCs w:val="20"/>
              </w:rPr>
            </w:pPr>
            <w:r w:rsidDel="00000000" w:rsidR="00000000" w:rsidRPr="00000000">
              <w:rPr>
                <w:b w:val="1"/>
                <w:sz w:val="20"/>
                <w:szCs w:val="20"/>
                <w:rtl w:val="0"/>
              </w:rPr>
              <w:t xml:space="preserve">8</w:t>
            </w:r>
          </w:p>
        </w:tc>
        <w:tc>
          <w:tcPr>
            <w:tcBorders>
              <w:top w:color="000000" w:space="0" w:sz="0" w:val="nil"/>
              <w:left w:color="000000" w:space="0" w:sz="0" w:val="nil"/>
              <w:bottom w:color="000000" w:space="0" w:sz="4" w:val="single"/>
              <w:right w:color="000000" w:space="0" w:sz="0" w:val="nil"/>
            </w:tcBorders>
            <w:shd w:fill="d9d9d9" w:val="clear"/>
            <w:vAlign w:val="center"/>
          </w:tcPr>
          <w:p w:rsidR="00000000" w:rsidDel="00000000" w:rsidP="00000000" w:rsidRDefault="00000000" w:rsidRPr="00000000" w14:paraId="00000320">
            <w:pPr>
              <w:spacing w:after="0" w:line="240" w:lineRule="auto"/>
              <w:jc w:val="right"/>
              <w:rPr>
                <w:b w:val="1"/>
                <w:sz w:val="20"/>
                <w:szCs w:val="20"/>
              </w:rPr>
            </w:pPr>
            <w:r w:rsidDel="00000000" w:rsidR="00000000" w:rsidRPr="00000000">
              <w:rPr>
                <w:b w:val="1"/>
                <w:sz w:val="20"/>
                <w:szCs w:val="20"/>
                <w:rtl w:val="0"/>
              </w:rPr>
              <w:t xml:space="preserve">28</w:t>
            </w:r>
          </w:p>
        </w:tc>
        <w:tc>
          <w:tcPr>
            <w:tcBorders>
              <w:top w:color="000000" w:space="0" w:sz="0" w:val="nil"/>
              <w:left w:color="000000" w:space="0" w:sz="0" w:val="nil"/>
              <w:bottom w:color="000000" w:space="0" w:sz="4" w:val="single"/>
              <w:right w:color="000000" w:space="0" w:sz="0" w:val="nil"/>
            </w:tcBorders>
            <w:shd w:fill="d9d9d9" w:val="clear"/>
            <w:vAlign w:val="center"/>
          </w:tcPr>
          <w:p w:rsidR="00000000" w:rsidDel="00000000" w:rsidP="00000000" w:rsidRDefault="00000000" w:rsidRPr="00000000" w14:paraId="00000321">
            <w:pPr>
              <w:spacing w:after="0" w:line="240" w:lineRule="auto"/>
              <w:jc w:val="right"/>
              <w:rPr>
                <w:b w:val="1"/>
                <w:sz w:val="20"/>
                <w:szCs w:val="20"/>
              </w:rPr>
            </w:pPr>
            <w:r w:rsidDel="00000000" w:rsidR="00000000" w:rsidRPr="00000000">
              <w:rPr>
                <w:b w:val="1"/>
                <w:sz w:val="20"/>
                <w:szCs w:val="20"/>
                <w:rtl w:val="0"/>
              </w:rPr>
              <w:t xml:space="preserve">74</w:t>
            </w:r>
          </w:p>
        </w:tc>
      </w:tr>
      <w:tr>
        <w:trPr>
          <w:cantSplit w:val="0"/>
          <w:trHeight w:val="315" w:hRule="atLeast"/>
          <w:tblHeader w:val="0"/>
        </w:trPr>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322">
            <w:pPr>
              <w:spacing w:after="0" w:line="240" w:lineRule="auto"/>
              <w:rPr>
                <w:sz w:val="20"/>
                <w:szCs w:val="20"/>
              </w:rPr>
            </w:pPr>
            <w:r w:rsidDel="00000000" w:rsidR="00000000" w:rsidRPr="00000000">
              <w:rPr>
                <w:sz w:val="20"/>
                <w:szCs w:val="20"/>
                <w:rtl w:val="0"/>
              </w:rPr>
              <w:t xml:space="preserve">Kilteasheen, The Bishop’s Seat</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323">
            <w:pPr>
              <w:spacing w:after="0" w:line="240" w:lineRule="auto"/>
              <w:jc w:val="right"/>
              <w:rPr>
                <w:sz w:val="20"/>
                <w:szCs w:val="20"/>
              </w:rPr>
            </w:pPr>
            <w:r w:rsidDel="00000000" w:rsidR="00000000" w:rsidRPr="00000000">
              <w:rPr>
                <w:sz w:val="20"/>
                <w:szCs w:val="20"/>
                <w:rtl w:val="0"/>
              </w:rPr>
              <w:t xml:space="preserve">38</w:t>
            </w:r>
          </w:p>
        </w:tc>
        <w:tc>
          <w:tcPr>
            <w:tcBorders>
              <w:top w:color="000000" w:space="0" w:sz="0" w:val="nil"/>
              <w:left w:color="000000" w:space="0" w:sz="0" w:val="nil"/>
              <w:bottom w:color="000000" w:space="0" w:sz="4" w:val="single"/>
              <w:right w:color="000000" w:space="0" w:sz="0" w:val="nil"/>
            </w:tcBorders>
            <w:shd w:fill="fff2cc" w:val="clear"/>
            <w:vAlign w:val="center"/>
          </w:tcPr>
          <w:p w:rsidR="00000000" w:rsidDel="00000000" w:rsidP="00000000" w:rsidRDefault="00000000" w:rsidRPr="00000000" w14:paraId="00000324">
            <w:pPr>
              <w:spacing w:after="0" w:line="240" w:lineRule="auto"/>
              <w:jc w:val="right"/>
              <w:rPr>
                <w:sz w:val="20"/>
                <w:szCs w:val="20"/>
              </w:rPr>
            </w:pPr>
            <w:r w:rsidDel="00000000" w:rsidR="00000000" w:rsidRPr="00000000">
              <w:rPr>
                <w:sz w:val="20"/>
                <w:szCs w:val="20"/>
                <w:rtl w:val="0"/>
              </w:rPr>
              <w:t xml:space="preserve">7</w:t>
            </w:r>
          </w:p>
        </w:tc>
        <w:tc>
          <w:tcPr>
            <w:tcBorders>
              <w:top w:color="000000" w:space="0" w:sz="0" w:val="nil"/>
              <w:left w:color="000000" w:space="0" w:sz="0" w:val="nil"/>
              <w:bottom w:color="000000" w:space="0" w:sz="4" w:val="single"/>
              <w:right w:color="000000" w:space="0" w:sz="0" w:val="nil"/>
            </w:tcBorders>
            <w:shd w:fill="fff2cc" w:val="clear"/>
            <w:vAlign w:val="center"/>
          </w:tcPr>
          <w:p w:rsidR="00000000" w:rsidDel="00000000" w:rsidP="00000000" w:rsidRDefault="00000000" w:rsidRPr="00000000" w14:paraId="00000325">
            <w:pPr>
              <w:spacing w:after="0" w:line="240" w:lineRule="auto"/>
              <w:jc w:val="right"/>
              <w:rPr>
                <w:sz w:val="20"/>
                <w:szCs w:val="20"/>
              </w:rPr>
            </w:pPr>
            <w:r w:rsidDel="00000000" w:rsidR="00000000" w:rsidRPr="00000000">
              <w:rPr>
                <w:sz w:val="20"/>
                <w:szCs w:val="20"/>
                <w:rtl w:val="0"/>
              </w:rPr>
              <w:t xml:space="preserve">18</w:t>
            </w:r>
          </w:p>
        </w:tc>
        <w:tc>
          <w:tcPr>
            <w:tcBorders>
              <w:top w:color="000000" w:space="0" w:sz="0" w:val="nil"/>
              <w:left w:color="000000" w:space="0" w:sz="0" w:val="nil"/>
              <w:bottom w:color="000000" w:space="0" w:sz="4" w:val="single"/>
              <w:right w:color="000000" w:space="0" w:sz="0" w:val="nil"/>
            </w:tcBorders>
            <w:shd w:fill="d9e1f2" w:val="clear"/>
            <w:vAlign w:val="center"/>
          </w:tcPr>
          <w:p w:rsidR="00000000" w:rsidDel="00000000" w:rsidP="00000000" w:rsidRDefault="00000000" w:rsidRPr="00000000" w14:paraId="00000326">
            <w:pPr>
              <w:spacing w:after="0" w:line="240" w:lineRule="auto"/>
              <w:jc w:val="right"/>
              <w:rPr>
                <w:sz w:val="20"/>
                <w:szCs w:val="20"/>
              </w:rPr>
            </w:pPr>
            <w:r w:rsidDel="00000000" w:rsidR="00000000" w:rsidRPr="00000000">
              <w:rPr>
                <w:sz w:val="20"/>
                <w:szCs w:val="20"/>
                <w:rtl w:val="0"/>
              </w:rPr>
              <w:t xml:space="preserve">3</w:t>
            </w:r>
          </w:p>
        </w:tc>
        <w:tc>
          <w:tcPr>
            <w:tcBorders>
              <w:top w:color="000000" w:space="0" w:sz="0" w:val="nil"/>
              <w:left w:color="000000" w:space="0" w:sz="0" w:val="nil"/>
              <w:bottom w:color="000000" w:space="0" w:sz="4" w:val="single"/>
              <w:right w:color="000000" w:space="0" w:sz="0" w:val="nil"/>
            </w:tcBorders>
            <w:shd w:fill="d9e1f2" w:val="clear"/>
            <w:vAlign w:val="center"/>
          </w:tcPr>
          <w:p w:rsidR="00000000" w:rsidDel="00000000" w:rsidP="00000000" w:rsidRDefault="00000000" w:rsidRPr="00000000" w14:paraId="00000327">
            <w:pPr>
              <w:spacing w:after="0" w:line="240" w:lineRule="auto"/>
              <w:jc w:val="right"/>
              <w:rPr>
                <w:sz w:val="20"/>
                <w:szCs w:val="20"/>
              </w:rPr>
            </w:pPr>
            <w:r w:rsidDel="00000000" w:rsidR="00000000" w:rsidRPr="00000000">
              <w:rPr>
                <w:sz w:val="20"/>
                <w:szCs w:val="20"/>
                <w:rtl w:val="0"/>
              </w:rPr>
              <w:t xml:space="preserve">8</w:t>
            </w:r>
          </w:p>
        </w:tc>
        <w:tc>
          <w:tcPr>
            <w:tcBorders>
              <w:top w:color="000000" w:space="0" w:sz="0" w:val="nil"/>
              <w:left w:color="000000" w:space="0" w:sz="0" w:val="nil"/>
              <w:bottom w:color="000000" w:space="0" w:sz="4" w:val="single"/>
              <w:right w:color="000000" w:space="0" w:sz="0" w:val="nil"/>
            </w:tcBorders>
            <w:shd w:fill="d9d9d9" w:val="clear"/>
            <w:vAlign w:val="center"/>
          </w:tcPr>
          <w:p w:rsidR="00000000" w:rsidDel="00000000" w:rsidP="00000000" w:rsidRDefault="00000000" w:rsidRPr="00000000" w14:paraId="00000328">
            <w:pPr>
              <w:spacing w:after="0" w:line="240" w:lineRule="auto"/>
              <w:jc w:val="right"/>
              <w:rPr>
                <w:sz w:val="20"/>
                <w:szCs w:val="20"/>
              </w:rPr>
            </w:pPr>
            <w:r w:rsidDel="00000000" w:rsidR="00000000" w:rsidRPr="00000000">
              <w:rPr>
                <w:sz w:val="20"/>
                <w:szCs w:val="20"/>
                <w:rtl w:val="0"/>
              </w:rPr>
              <w:t xml:space="preserve">28</w:t>
            </w:r>
          </w:p>
        </w:tc>
        <w:tc>
          <w:tcPr>
            <w:tcBorders>
              <w:top w:color="000000" w:space="0" w:sz="0" w:val="nil"/>
              <w:left w:color="000000" w:space="0" w:sz="0" w:val="nil"/>
              <w:bottom w:color="000000" w:space="0" w:sz="4" w:val="single"/>
              <w:right w:color="000000" w:space="0" w:sz="0" w:val="nil"/>
            </w:tcBorders>
            <w:shd w:fill="d9d9d9" w:val="clear"/>
            <w:vAlign w:val="center"/>
          </w:tcPr>
          <w:p w:rsidR="00000000" w:rsidDel="00000000" w:rsidP="00000000" w:rsidRDefault="00000000" w:rsidRPr="00000000" w14:paraId="00000329">
            <w:pPr>
              <w:spacing w:after="0" w:line="240" w:lineRule="auto"/>
              <w:jc w:val="right"/>
              <w:rPr>
                <w:sz w:val="20"/>
                <w:szCs w:val="20"/>
              </w:rPr>
            </w:pPr>
            <w:r w:rsidDel="00000000" w:rsidR="00000000" w:rsidRPr="00000000">
              <w:rPr>
                <w:sz w:val="20"/>
                <w:szCs w:val="20"/>
                <w:rtl w:val="0"/>
              </w:rPr>
              <w:t xml:space="preserve">74</w:t>
            </w:r>
          </w:p>
        </w:tc>
      </w:tr>
      <w:tr>
        <w:trPr>
          <w:cantSplit w:val="0"/>
          <w:trHeight w:val="315" w:hRule="atLeast"/>
          <w:tblHeader w:val="0"/>
        </w:trPr>
        <w:tc>
          <w:tcPr>
            <w:tcBorders>
              <w:top w:color="000000" w:space="0" w:sz="4" w:val="single"/>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32A">
            <w:pPr>
              <w:spacing w:after="0" w:line="240" w:lineRule="auto"/>
              <w:rPr>
                <w:sz w:val="20"/>
                <w:szCs w:val="20"/>
              </w:rPr>
            </w:pPr>
            <w:r w:rsidDel="00000000" w:rsidR="00000000" w:rsidRPr="00000000">
              <w:rPr>
                <w:sz w:val="18"/>
                <w:szCs w:val="18"/>
                <w:vertAlign w:val="superscript"/>
                <w:rtl w:val="0"/>
              </w:rPr>
              <w:t xml:space="preserve">a</w:t>
            </w:r>
            <w:r w:rsidDel="00000000" w:rsidR="00000000" w:rsidRPr="00000000">
              <w:rPr>
                <w:sz w:val="18"/>
                <w:szCs w:val="18"/>
                <w:rtl w:val="0"/>
              </w:rPr>
              <w:t xml:space="preserve"> Percentages are displayed only when </w:t>
            </w:r>
            <w:r w:rsidDel="00000000" w:rsidR="00000000" w:rsidRPr="00000000">
              <w:rPr>
                <w:i w:val="1"/>
                <w:sz w:val="18"/>
                <w:szCs w:val="18"/>
                <w:rtl w:val="0"/>
              </w:rPr>
              <w:t xml:space="preserve">n</w:t>
            </w:r>
            <w:r w:rsidDel="00000000" w:rsidR="00000000" w:rsidRPr="00000000">
              <w:rPr>
                <w:sz w:val="18"/>
                <w:szCs w:val="18"/>
                <w:rtl w:val="0"/>
              </w:rPr>
              <w:t xml:space="preserve"> ≥ 10</w:t>
            </w: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32B">
            <w:pPr>
              <w:spacing w:after="0" w:line="240" w:lineRule="auto"/>
              <w:jc w:val="center"/>
              <w:rPr>
                <w:sz w:val="20"/>
                <w:szCs w:val="20"/>
              </w:rPr>
            </w:pP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32C">
            <w:pPr>
              <w:spacing w:after="0" w:line="240" w:lineRule="auto"/>
              <w:jc w:val="center"/>
              <w:rPr>
                <w:sz w:val="20"/>
                <w:szCs w:val="20"/>
              </w:rPr>
            </w:pP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32D">
            <w:pPr>
              <w:spacing w:after="0" w:line="240" w:lineRule="auto"/>
              <w:jc w:val="center"/>
              <w:rPr>
                <w:sz w:val="20"/>
                <w:szCs w:val="20"/>
              </w:rPr>
            </w:pP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32E">
            <w:pPr>
              <w:spacing w:after="0" w:line="240" w:lineRule="auto"/>
              <w:jc w:val="center"/>
              <w:rPr>
                <w:sz w:val="20"/>
                <w:szCs w:val="20"/>
              </w:rPr>
            </w:pP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32F">
            <w:pPr>
              <w:spacing w:after="0" w:line="240" w:lineRule="auto"/>
              <w:jc w:val="center"/>
              <w:rPr>
                <w:sz w:val="20"/>
                <w:szCs w:val="20"/>
              </w:rPr>
            </w:pP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330">
            <w:pPr>
              <w:spacing w:after="0" w:line="240" w:lineRule="auto"/>
              <w:jc w:val="center"/>
              <w:rPr>
                <w:sz w:val="20"/>
                <w:szCs w:val="20"/>
              </w:rPr>
            </w:pP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331">
            <w:pPr>
              <w:spacing w:after="0" w:line="240" w:lineRule="auto"/>
              <w:jc w:val="center"/>
              <w:rPr>
                <w:sz w:val="20"/>
                <w:szCs w:val="20"/>
              </w:rPr>
            </w:pPr>
            <w:r w:rsidDel="00000000" w:rsidR="00000000" w:rsidRPr="00000000">
              <w:rPr>
                <w:rtl w:val="0"/>
              </w:rPr>
            </w:r>
          </w:p>
        </w:tc>
      </w:tr>
    </w:tbl>
    <w:p w:rsidR="00000000" w:rsidDel="00000000" w:rsidP="00000000" w:rsidRDefault="00000000" w:rsidRPr="00000000" w14:paraId="00000332">
      <w:pPr>
        <w:spacing w:after="120" w:before="240" w:lineRule="auto"/>
        <w:jc w:val="both"/>
        <w:rPr/>
      </w:pPr>
      <w:r w:rsidDel="00000000" w:rsidR="00000000" w:rsidRPr="00000000">
        <w:rPr>
          <w:rtl w:val="0"/>
        </w:rPr>
        <w:t xml:space="preserve">A notable exception to this overall pattern is England Southwest, here mostly represented by a single site, Worth Matravers, where local lineages are carried by 83% of the sampled individuals, while only 17% carry lineages of putative continental medieval origin (there are no Unassigned lineages among the sampled individuals). Note, however, that, uniquely amongst our dataset, Worth Matravers is a post-Roman cemetery that would be expected to have minimal North Sea influence (as reflected in both the genome-wide and Y-chromosome analyses, which indicate ~6% and 18% North Sea impact respectively). Therefore, its extreme position here also broadly corroborates our heuristic approach to the mtDNA analysis whilst, if anything, suggesting that we might be slightly over-estimating the scale of the North Sea fraction.</w:t>
      </w:r>
    </w:p>
    <w:p w:rsidR="00000000" w:rsidDel="00000000" w:rsidP="00000000" w:rsidRDefault="00000000" w:rsidRPr="00000000" w14:paraId="00000333">
      <w:pPr>
        <w:spacing w:after="120" w:before="240" w:lineRule="auto"/>
        <w:jc w:val="both"/>
        <w:rPr/>
      </w:pPr>
      <w:r w:rsidDel="00000000" w:rsidR="00000000" w:rsidRPr="00000000">
        <w:rPr>
          <w:rtl w:val="0"/>
        </w:rPr>
        <w:t xml:space="preserve">The group representing the Vikings from Britain and Ireland, mostly represented by the English sample, shows a similar pattern to Eng_EMA, with comparable representation of local </w:t>
      </w:r>
      <w:r w:rsidDel="00000000" w:rsidR="00000000" w:rsidRPr="00000000">
        <w:rPr>
          <w:i w:val="1"/>
          <w:rtl w:val="0"/>
        </w:rPr>
        <w:t xml:space="preserve">vs</w:t>
      </w:r>
      <w:r w:rsidDel="00000000" w:rsidR="00000000" w:rsidRPr="00000000">
        <w:rPr>
          <w:rtl w:val="0"/>
        </w:rPr>
        <w:t xml:space="preserve"> continental haplogroups among its individuals. However, it is important to note that most of the sampled individuals (~71%) carry lineages that remain unassigned (Supp. Figure 2.5).</w:t>
      </w:r>
    </w:p>
    <w:p w:rsidR="00000000" w:rsidDel="00000000" w:rsidP="00000000" w:rsidRDefault="00000000" w:rsidRPr="00000000" w14:paraId="00000334">
      <w:pPr>
        <w:spacing w:after="120" w:before="240" w:lineRule="auto"/>
        <w:jc w:val="both"/>
        <w:rPr/>
      </w:pPr>
      <w:r w:rsidDel="00000000" w:rsidR="00000000" w:rsidRPr="00000000">
        <w:rPr>
          <w:rtl w:val="0"/>
        </w:rPr>
        <w:t xml:space="preserve">Medieval Ireland, which appears as carrying almost 100% WBI ancestry according to the genome-wide results, here also shows a higher frequency of local </w:t>
      </w:r>
      <w:r w:rsidDel="00000000" w:rsidR="00000000" w:rsidRPr="00000000">
        <w:rPr>
          <w:i w:val="1"/>
          <w:rtl w:val="0"/>
        </w:rPr>
        <w:t xml:space="preserve">vs</w:t>
      </w:r>
      <w:r w:rsidDel="00000000" w:rsidR="00000000" w:rsidRPr="00000000">
        <w:rPr>
          <w:rtl w:val="0"/>
        </w:rPr>
        <w:t xml:space="preserve"> continental mitochondrial lineages (18% Loc. </w:t>
      </w:r>
      <w:r w:rsidDel="00000000" w:rsidR="00000000" w:rsidRPr="00000000">
        <w:rPr>
          <w:i w:val="1"/>
          <w:rtl w:val="0"/>
        </w:rPr>
        <w:t xml:space="preserve">vs</w:t>
      </w:r>
      <w:r w:rsidDel="00000000" w:rsidR="00000000" w:rsidRPr="00000000">
        <w:rPr>
          <w:rtl w:val="0"/>
        </w:rPr>
        <w:t xml:space="preserve"> 8% Cont.), although, in this case as well, a large proportion (74%) of sampled individuals carry Unassigned lineages.</w:t>
      </w:r>
    </w:p>
    <w:p w:rsidR="00000000" w:rsidDel="00000000" w:rsidP="00000000" w:rsidRDefault="00000000" w:rsidRPr="00000000" w14:paraId="00000335">
      <w:pPr>
        <w:keepNext w:val="1"/>
        <w:spacing w:before="240" w:lineRule="auto"/>
        <w:jc w:val="both"/>
        <w:rPr/>
      </w:pPr>
      <w:r w:rsidDel="00000000" w:rsidR="00000000" w:rsidRPr="00000000">
        <w:rPr/>
        <w:drawing>
          <wp:inline distB="114300" distT="114300" distL="114300" distR="114300">
            <wp:extent cx="5760410" cy="3390900"/>
            <wp:effectExtent b="0" l="0" r="0" t="0"/>
            <wp:docPr id="171" name="image61.png"/>
            <a:graphic>
              <a:graphicData uri="http://schemas.openxmlformats.org/drawingml/2006/picture">
                <pic:pic>
                  <pic:nvPicPr>
                    <pic:cNvPr id="0" name="image61.png"/>
                    <pic:cNvPicPr preferRelativeResize="0"/>
                  </pic:nvPicPr>
                  <pic:blipFill>
                    <a:blip r:embed="rId87"/>
                    <a:srcRect b="0" l="0" r="0" t="0"/>
                    <a:stretch>
                      <a:fillRect/>
                    </a:stretch>
                  </pic:blipFill>
                  <pic:spPr>
                    <a:xfrm>
                      <a:off x="0" y="0"/>
                      <a:ext cx="5760410" cy="3390900"/>
                    </a:xfrm>
                    <a:prstGeom prst="rect"/>
                    <a:ln/>
                  </pic:spPr>
                </pic:pic>
              </a:graphicData>
            </a:graphic>
          </wp:inline>
        </w:drawing>
      </w:r>
      <w:r w:rsidDel="00000000" w:rsidR="00000000" w:rsidRPr="00000000">
        <w:rPr>
          <w:rtl w:val="0"/>
        </w:rPr>
      </w:r>
    </w:p>
    <w:p w:rsidR="00000000" w:rsidDel="00000000" w:rsidP="00000000" w:rsidRDefault="00000000" w:rsidRPr="00000000" w14:paraId="00000336">
      <w:pPr>
        <w:spacing w:after="200" w:line="240" w:lineRule="auto"/>
        <w:jc w:val="both"/>
        <w:rPr>
          <w:b w:val="1"/>
          <w:i w:val="1"/>
          <w:sz w:val="18"/>
          <w:szCs w:val="18"/>
        </w:rPr>
      </w:pPr>
      <w:r w:rsidDel="00000000" w:rsidR="00000000" w:rsidRPr="00000000">
        <w:rPr>
          <w:b w:val="1"/>
          <w:i w:val="1"/>
          <w:sz w:val="18"/>
          <w:szCs w:val="18"/>
          <w:rtl w:val="0"/>
        </w:rPr>
        <w:t xml:space="preserve">Supp. Figure 2.5. Distribution of the individuals carrying “Local”, “Medieval”, and “Unassigned” mitochondrial lineages across the major geographic regions of the Eng_EMA, British and Irish Vikings, and Ireland_MA groups.</w:t>
      </w:r>
    </w:p>
    <w:p w:rsidR="00000000" w:rsidDel="00000000" w:rsidP="00000000" w:rsidRDefault="00000000" w:rsidRPr="00000000" w14:paraId="00000337">
      <w:pPr>
        <w:spacing w:before="240" w:lineRule="auto"/>
        <w:jc w:val="both"/>
        <w:rPr/>
      </w:pPr>
      <w:r w:rsidDel="00000000" w:rsidR="00000000" w:rsidRPr="00000000">
        <w:rPr>
          <w:rtl w:val="0"/>
        </w:rPr>
        <w:t xml:space="preserve">To isolate the possible medieval signal further and investigate its sources, we excluded all lineages detected in pre-medieval Britain (BritLoc, </w:t>
      </w:r>
      <w:r w:rsidDel="00000000" w:rsidR="00000000" w:rsidRPr="00000000">
        <w:rPr>
          <w:i w:val="1"/>
          <w:rtl w:val="0"/>
        </w:rPr>
        <w:t xml:space="preserve">n </w:t>
      </w:r>
      <w:r w:rsidDel="00000000" w:rsidR="00000000" w:rsidRPr="00000000">
        <w:rPr>
          <w:rtl w:val="0"/>
        </w:rPr>
        <w:t xml:space="preserve">= 239) and focused our attention on the remaining 293 lineages shared or unique to the Eng_EMA and the medieval groups from the North Sea region and Scandinavian Peninsula (Supp. Figure 2.4). During this filtering we left the Irish medieval (Ire_MA), and British and Irish Viking (VK_Brit&amp;Ire) groups unconstrained, under the assumption that, once all British pre-medieval lineages had been filtered out, any remaining shared lineages with the three target populations should be considered as deriving from one of the three.</w:t>
      </w:r>
    </w:p>
    <w:p w:rsidR="00000000" w:rsidDel="00000000" w:rsidP="00000000" w:rsidRDefault="00000000" w:rsidRPr="00000000" w14:paraId="00000338">
      <w:pPr>
        <w:spacing w:before="240" w:lineRule="auto"/>
        <w:jc w:val="both"/>
        <w:rPr/>
      </w:pPr>
      <w:r w:rsidDel="00000000" w:rsidR="00000000" w:rsidRPr="00000000">
        <w:rPr>
          <w:rtl w:val="0"/>
        </w:rPr>
        <w:t xml:space="preserve">Following the filtering, Eng_EMA included 119 mitochondrial lineages (Supp. Figure 2.6), of which 74 were unique to the group, 26 were uniquely shared between Eng_EMA and the continental North Sea region (NorthSea), eleven were uniquely shared with the Scandinavian Peninsula (Scand), and eight were shared across the three groups. 91 lineages were unique to the NorthSea group, 66 to the Scand group and 17 were shared between the two.</w:t>
      </w:r>
    </w:p>
    <w:p w:rsidR="00000000" w:rsidDel="00000000" w:rsidP="00000000" w:rsidRDefault="00000000" w:rsidRPr="00000000" w14:paraId="00000339">
      <w:pPr>
        <w:keepNext w:val="1"/>
        <w:jc w:val="center"/>
        <w:rPr/>
      </w:pPr>
      <w:r w:rsidDel="00000000" w:rsidR="00000000" w:rsidRPr="00000000">
        <w:rPr/>
        <w:drawing>
          <wp:inline distB="114300" distT="114300" distL="114300" distR="114300">
            <wp:extent cx="3616163" cy="3497450"/>
            <wp:effectExtent b="0" l="0" r="0" t="0"/>
            <wp:docPr id="173" name="image53.png"/>
            <a:graphic>
              <a:graphicData uri="http://schemas.openxmlformats.org/drawingml/2006/picture">
                <pic:pic>
                  <pic:nvPicPr>
                    <pic:cNvPr id="0" name="image53.png"/>
                    <pic:cNvPicPr preferRelativeResize="0"/>
                  </pic:nvPicPr>
                  <pic:blipFill>
                    <a:blip r:embed="rId88"/>
                    <a:srcRect b="0" l="0" r="0" t="0"/>
                    <a:stretch>
                      <a:fillRect/>
                    </a:stretch>
                  </pic:blipFill>
                  <pic:spPr>
                    <a:xfrm>
                      <a:off x="0" y="0"/>
                      <a:ext cx="3616163" cy="3497450"/>
                    </a:xfrm>
                    <a:prstGeom prst="rect"/>
                    <a:ln/>
                  </pic:spPr>
                </pic:pic>
              </a:graphicData>
            </a:graphic>
          </wp:inline>
        </w:drawing>
      </w:r>
      <w:r w:rsidDel="00000000" w:rsidR="00000000" w:rsidRPr="00000000">
        <w:rPr>
          <w:rtl w:val="0"/>
        </w:rPr>
      </w:r>
    </w:p>
    <w:p w:rsidR="00000000" w:rsidDel="00000000" w:rsidP="00000000" w:rsidRDefault="00000000" w:rsidRPr="00000000" w14:paraId="0000033A">
      <w:pPr>
        <w:spacing w:after="200" w:line="240" w:lineRule="auto"/>
        <w:jc w:val="both"/>
        <w:rPr>
          <w:b w:val="1"/>
          <w:i w:val="1"/>
          <w:sz w:val="18"/>
          <w:szCs w:val="18"/>
        </w:rPr>
      </w:pPr>
      <w:r w:rsidDel="00000000" w:rsidR="00000000" w:rsidRPr="00000000">
        <w:rPr>
          <w:b w:val="1"/>
          <w:i w:val="1"/>
          <w:sz w:val="18"/>
          <w:szCs w:val="18"/>
          <w:rtl w:val="0"/>
        </w:rPr>
        <w:t xml:space="preserve">Supplementary Figure 2.6. Mitochondrial lineage sharing between EngEMA and the two Continental Medieval sources: the NorthSea region and Scand (Scandinavian Peninsula). </w:t>
      </w:r>
    </w:p>
    <w:p w:rsidR="00000000" w:rsidDel="00000000" w:rsidP="00000000" w:rsidRDefault="00000000" w:rsidRPr="00000000" w14:paraId="0000033B">
      <w:pPr>
        <w:spacing w:before="160" w:lineRule="auto"/>
        <w:jc w:val="both"/>
        <w:rPr/>
      </w:pPr>
      <w:r w:rsidDel="00000000" w:rsidR="00000000" w:rsidRPr="00000000">
        <w:rPr>
          <w:rtl w:val="0"/>
        </w:rPr>
        <w:t xml:space="preserve">Of the 26 lineages exclusively shared between Eng_EMA and the NorthSea region (Supp. Table 2.3), we found 21 among the larger NorthSea_BA_IA group (</w:t>
      </w:r>
      <w:r w:rsidDel="00000000" w:rsidR="00000000" w:rsidRPr="00000000">
        <w:rPr>
          <w:i w:val="1"/>
          <w:rtl w:val="0"/>
        </w:rPr>
        <w:t xml:space="preserve">n </w:t>
      </w:r>
      <w:r w:rsidDel="00000000" w:rsidR="00000000" w:rsidRPr="00000000">
        <w:rPr>
          <w:rtl w:val="0"/>
        </w:rPr>
        <w:t xml:space="preserve">= 199); of these, 17 were uniquely shared, while four were also present in the smaller VK_NorthSea group (</w:t>
      </w:r>
      <w:r w:rsidDel="00000000" w:rsidR="00000000" w:rsidRPr="00000000">
        <w:rPr>
          <w:i w:val="1"/>
          <w:rtl w:val="0"/>
        </w:rPr>
        <w:t xml:space="preserve">n </w:t>
      </w:r>
      <w:r w:rsidDel="00000000" w:rsidR="00000000" w:rsidRPr="00000000">
        <w:rPr>
          <w:rtl w:val="0"/>
        </w:rPr>
        <w:t xml:space="preserve">= 83). The remaining five were exclusively shared between Eng_EMA and the VK_NorthSea group. Among the 26 lineages, we labelled five (H1b, U5a1a1+16362, U5a1a1d, V+@16298 and X2b4) as “uncertain” as they were either too nodal to be geographically restricted and/or were nested within clusters of lineages that had been detected in pre-medieval Britain. We also detected several NorthSea linked lineages among the Ire_MA group (two occurrences), and British and Irish Vikings (five occurrences from England, Scotland and Ireland).</w:t>
      </w:r>
    </w:p>
    <w:p w:rsidR="00000000" w:rsidDel="00000000" w:rsidP="00000000" w:rsidRDefault="00000000" w:rsidRPr="00000000" w14:paraId="0000033C">
      <w:pPr>
        <w:keepNext w:val="1"/>
        <w:spacing w:after="200" w:line="240" w:lineRule="auto"/>
        <w:jc w:val="both"/>
        <w:rPr>
          <w:i w:val="1"/>
          <w:sz w:val="18"/>
          <w:szCs w:val="18"/>
        </w:rPr>
      </w:pPr>
      <w:bookmarkStart w:colFirst="0" w:colLast="0" w:name="_heading=h.46r0co2" w:id="50"/>
      <w:bookmarkEnd w:id="50"/>
      <w:r w:rsidDel="00000000" w:rsidR="00000000" w:rsidRPr="00000000">
        <w:rPr>
          <w:i w:val="1"/>
          <w:sz w:val="18"/>
          <w:szCs w:val="18"/>
          <w:rtl w:val="0"/>
        </w:rPr>
        <w:t xml:space="preserve">Supp. Table 2.3. Mitochondrial lineages exclusively shared between Eng_EMA and the continental North Sea region. Underlined lineages are classed as “uncertain” as they are either too nodal, or not supported by the sharing pattern of other sister lineages or subclades. Tabulated numbers represent the number of individuals carrying each lineage.</w:t>
      </w:r>
    </w:p>
    <w:tbl>
      <w:tblPr>
        <w:tblStyle w:val="Table2"/>
        <w:tblW w:w="9645.0" w:type="dxa"/>
        <w:jc w:val="center"/>
        <w:tblLayout w:type="fixed"/>
        <w:tblLook w:val="0400"/>
      </w:tblPr>
      <w:tblGrid>
        <w:gridCol w:w="1530"/>
        <w:gridCol w:w="960"/>
        <w:gridCol w:w="1275"/>
        <w:gridCol w:w="1230"/>
        <w:gridCol w:w="990"/>
        <w:gridCol w:w="1605"/>
        <w:gridCol w:w="1215"/>
        <w:gridCol w:w="840"/>
        <w:tblGridChange w:id="0">
          <w:tblGrid>
            <w:gridCol w:w="1530"/>
            <w:gridCol w:w="960"/>
            <w:gridCol w:w="1275"/>
            <w:gridCol w:w="1230"/>
            <w:gridCol w:w="990"/>
            <w:gridCol w:w="1605"/>
            <w:gridCol w:w="1215"/>
            <w:gridCol w:w="840"/>
          </w:tblGrid>
        </w:tblGridChange>
      </w:tblGrid>
      <w:tr>
        <w:trPr>
          <w:cantSplit w:val="1"/>
          <w:trHeight w:val="2481" w:hRule="atLeast"/>
          <w:tblHeader w:val="0"/>
        </w:trPr>
        <w:tc>
          <w:tcPr>
            <w:tcBorders>
              <w:bottom w:color="000000" w:space="0" w:sz="4" w:val="single"/>
              <w:right w:color="000000" w:space="0" w:sz="4" w:val="single"/>
            </w:tcBorders>
            <w:shd w:fill="auto" w:val="clear"/>
            <w:vAlign w:val="bottom"/>
          </w:tcPr>
          <w:p w:rsidR="00000000" w:rsidDel="00000000" w:rsidP="00000000" w:rsidRDefault="00000000" w:rsidRPr="00000000" w14:paraId="0000033D">
            <w:pPr>
              <w:spacing w:after="0" w:line="240" w:lineRule="auto"/>
              <w:jc w:val="center"/>
              <w:rPr>
                <w:b w:val="1"/>
                <w:sz w:val="20"/>
                <w:szCs w:val="20"/>
              </w:rPr>
            </w:pPr>
            <w:r w:rsidDel="00000000" w:rsidR="00000000" w:rsidRPr="00000000">
              <w:rPr>
                <w:b w:val="1"/>
                <w:sz w:val="20"/>
                <w:szCs w:val="20"/>
                <w:rtl w:val="0"/>
              </w:rPr>
              <w:t xml:space="preserve">Lineages</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33E">
            <w:pPr>
              <w:spacing w:after="0" w:line="240" w:lineRule="auto"/>
              <w:ind w:right="-197"/>
              <w:rPr>
                <w:b w:val="1"/>
                <w:color w:val="ed7d31"/>
                <w:sz w:val="20"/>
                <w:szCs w:val="20"/>
              </w:rPr>
            </w:pPr>
            <w:r w:rsidDel="00000000" w:rsidR="00000000" w:rsidRPr="00000000">
              <w:rPr>
                <w:b w:val="1"/>
                <w:color w:val="ed7d31"/>
                <w:sz w:val="20"/>
                <w:szCs w:val="20"/>
                <w:rtl w:val="0"/>
              </w:rPr>
              <w:t xml:space="preserve">Eng_EMA (</w:t>
            </w:r>
            <w:r w:rsidDel="00000000" w:rsidR="00000000" w:rsidRPr="00000000">
              <w:rPr>
                <w:b w:val="1"/>
                <w:i w:val="1"/>
                <w:color w:val="ed7d31"/>
                <w:sz w:val="20"/>
                <w:szCs w:val="20"/>
                <w:rtl w:val="0"/>
              </w:rPr>
              <w:t xml:space="preserve">n</w:t>
            </w:r>
            <w:r w:rsidDel="00000000" w:rsidR="00000000" w:rsidRPr="00000000">
              <w:rPr>
                <w:b w:val="1"/>
                <w:color w:val="ed7d31"/>
                <w:sz w:val="20"/>
                <w:szCs w:val="20"/>
                <w:rtl w:val="0"/>
              </w:rPr>
              <w:t xml:space="preserve">=249)</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33F">
            <w:pPr>
              <w:spacing w:after="0" w:line="240" w:lineRule="auto"/>
              <w:ind w:right="61"/>
              <w:rPr>
                <w:color w:val="375623"/>
                <w:sz w:val="20"/>
                <w:szCs w:val="20"/>
              </w:rPr>
            </w:pPr>
            <w:r w:rsidDel="00000000" w:rsidR="00000000" w:rsidRPr="00000000">
              <w:rPr>
                <w:color w:val="375623"/>
                <w:sz w:val="20"/>
                <w:szCs w:val="20"/>
                <w:rtl w:val="0"/>
              </w:rPr>
              <w:t xml:space="preserve">NorthSea_</w:t>
            </w:r>
          </w:p>
          <w:p w:rsidR="00000000" w:rsidDel="00000000" w:rsidP="00000000" w:rsidRDefault="00000000" w:rsidRPr="00000000" w14:paraId="00000340">
            <w:pPr>
              <w:spacing w:after="0" w:line="240" w:lineRule="auto"/>
              <w:ind w:right="61"/>
              <w:rPr>
                <w:color w:val="375623"/>
                <w:sz w:val="20"/>
                <w:szCs w:val="20"/>
              </w:rPr>
            </w:pPr>
            <w:r w:rsidDel="00000000" w:rsidR="00000000" w:rsidRPr="00000000">
              <w:rPr>
                <w:color w:val="375623"/>
                <w:sz w:val="20"/>
                <w:szCs w:val="20"/>
                <w:rtl w:val="0"/>
              </w:rPr>
              <w:t xml:space="preserve">BA_IA_EMA </w:t>
            </w:r>
          </w:p>
          <w:p w:rsidR="00000000" w:rsidDel="00000000" w:rsidP="00000000" w:rsidRDefault="00000000" w:rsidRPr="00000000" w14:paraId="00000341">
            <w:pPr>
              <w:spacing w:after="0" w:line="240" w:lineRule="auto"/>
              <w:ind w:right="61"/>
              <w:rPr>
                <w:color w:val="375623"/>
                <w:sz w:val="20"/>
                <w:szCs w:val="20"/>
              </w:rPr>
            </w:pPr>
            <w:r w:rsidDel="00000000" w:rsidR="00000000" w:rsidRPr="00000000">
              <w:rPr>
                <w:color w:val="375623"/>
                <w:sz w:val="20"/>
                <w:szCs w:val="20"/>
                <w:rtl w:val="0"/>
              </w:rPr>
              <w:t xml:space="preserve">(</w:t>
            </w:r>
            <w:r w:rsidDel="00000000" w:rsidR="00000000" w:rsidRPr="00000000">
              <w:rPr>
                <w:i w:val="1"/>
                <w:color w:val="375623"/>
                <w:sz w:val="20"/>
                <w:szCs w:val="20"/>
                <w:rtl w:val="0"/>
              </w:rPr>
              <w:t xml:space="preserve">n</w:t>
            </w:r>
            <w:r w:rsidDel="00000000" w:rsidR="00000000" w:rsidRPr="00000000">
              <w:rPr>
                <w:color w:val="375623"/>
                <w:sz w:val="20"/>
                <w:szCs w:val="20"/>
                <w:rtl w:val="0"/>
              </w:rPr>
              <w:t xml:space="preserve">=199)</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342">
            <w:pPr>
              <w:spacing w:after="0" w:line="240" w:lineRule="auto"/>
              <w:ind w:left="-18" w:right="-118" w:firstLine="0"/>
              <w:rPr>
                <w:color w:val="548235"/>
                <w:sz w:val="20"/>
                <w:szCs w:val="20"/>
              </w:rPr>
            </w:pPr>
            <w:r w:rsidDel="00000000" w:rsidR="00000000" w:rsidRPr="00000000">
              <w:rPr>
                <w:color w:val="548235"/>
                <w:sz w:val="20"/>
                <w:szCs w:val="20"/>
                <w:rtl w:val="0"/>
              </w:rPr>
              <w:t xml:space="preserve">VK_NorthSea (</w:t>
            </w:r>
            <w:r w:rsidDel="00000000" w:rsidR="00000000" w:rsidRPr="00000000">
              <w:rPr>
                <w:i w:val="1"/>
                <w:color w:val="548235"/>
                <w:sz w:val="20"/>
                <w:szCs w:val="20"/>
                <w:rtl w:val="0"/>
              </w:rPr>
              <w:t xml:space="preserve">n</w:t>
            </w:r>
            <w:r w:rsidDel="00000000" w:rsidR="00000000" w:rsidRPr="00000000">
              <w:rPr>
                <w:color w:val="548235"/>
                <w:sz w:val="20"/>
                <w:szCs w:val="20"/>
                <w:rtl w:val="0"/>
              </w:rPr>
              <w:t xml:space="preserve">=83)</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43">
            <w:pPr>
              <w:spacing w:after="0" w:line="240" w:lineRule="auto"/>
              <w:ind w:right="-116"/>
              <w:rPr>
                <w:color w:val="0000ff"/>
                <w:sz w:val="20"/>
                <w:szCs w:val="20"/>
              </w:rPr>
            </w:pPr>
            <w:r w:rsidDel="00000000" w:rsidR="00000000" w:rsidRPr="00000000">
              <w:rPr>
                <w:color w:val="0000ff"/>
                <w:sz w:val="20"/>
                <w:szCs w:val="20"/>
                <w:rtl w:val="0"/>
              </w:rPr>
              <w:t xml:space="preserve">VK_Scand (</w:t>
            </w:r>
            <w:r w:rsidDel="00000000" w:rsidR="00000000" w:rsidRPr="00000000">
              <w:rPr>
                <w:i w:val="1"/>
                <w:color w:val="0000ff"/>
                <w:sz w:val="20"/>
                <w:szCs w:val="20"/>
                <w:rtl w:val="0"/>
              </w:rPr>
              <w:t xml:space="preserve">n</w:t>
            </w:r>
            <w:r w:rsidDel="00000000" w:rsidR="00000000" w:rsidRPr="00000000">
              <w:rPr>
                <w:color w:val="0000ff"/>
                <w:sz w:val="20"/>
                <w:szCs w:val="20"/>
                <w:rtl w:val="0"/>
              </w:rPr>
              <w:t xml:space="preserve">=170)</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44">
            <w:pPr>
              <w:spacing w:after="0" w:line="240" w:lineRule="auto"/>
              <w:ind w:right="113"/>
              <w:rPr>
                <w:color w:val="2e75b5"/>
                <w:sz w:val="20"/>
                <w:szCs w:val="20"/>
              </w:rPr>
            </w:pPr>
            <w:r w:rsidDel="00000000" w:rsidR="00000000" w:rsidRPr="00000000">
              <w:rPr>
                <w:color w:val="2e75b5"/>
                <w:sz w:val="20"/>
                <w:szCs w:val="20"/>
                <w:rtl w:val="0"/>
              </w:rPr>
              <w:t xml:space="preserve">Scand_IA_EMA</w:t>
            </w:r>
          </w:p>
          <w:p w:rsidR="00000000" w:rsidDel="00000000" w:rsidP="00000000" w:rsidRDefault="00000000" w:rsidRPr="00000000" w14:paraId="00000345">
            <w:pPr>
              <w:spacing w:after="0" w:line="240" w:lineRule="auto"/>
              <w:ind w:right="113"/>
              <w:rPr>
                <w:color w:val="0000ff"/>
                <w:sz w:val="20"/>
                <w:szCs w:val="20"/>
              </w:rPr>
            </w:pPr>
            <w:r w:rsidDel="00000000" w:rsidR="00000000" w:rsidRPr="00000000">
              <w:rPr>
                <w:color w:val="2e75b5"/>
                <w:sz w:val="20"/>
                <w:szCs w:val="20"/>
                <w:rtl w:val="0"/>
              </w:rPr>
              <w:t xml:space="preserve">(</w:t>
            </w:r>
            <w:r w:rsidDel="00000000" w:rsidR="00000000" w:rsidRPr="00000000">
              <w:rPr>
                <w:i w:val="1"/>
                <w:color w:val="2e75b5"/>
                <w:sz w:val="20"/>
                <w:szCs w:val="20"/>
                <w:rtl w:val="0"/>
              </w:rPr>
              <w:t xml:space="preserve">n</w:t>
            </w:r>
            <w:r w:rsidDel="00000000" w:rsidR="00000000" w:rsidRPr="00000000">
              <w:rPr>
                <w:color w:val="2e75b5"/>
                <w:sz w:val="20"/>
                <w:szCs w:val="20"/>
                <w:rtl w:val="0"/>
              </w:rPr>
              <w:t xml:space="preserve">=14)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346">
            <w:pPr>
              <w:spacing w:after="0" w:line="240" w:lineRule="auto"/>
              <w:ind w:right="-133"/>
              <w:rPr>
                <w:color w:val="cc0099"/>
                <w:sz w:val="20"/>
                <w:szCs w:val="20"/>
              </w:rPr>
            </w:pPr>
            <w:r w:rsidDel="00000000" w:rsidR="00000000" w:rsidRPr="00000000">
              <w:rPr>
                <w:color w:val="7030a0"/>
                <w:rtl w:val="0"/>
              </w:rPr>
              <w:t xml:space="preserve">VK_Brit&amp;Ire</w:t>
            </w:r>
            <w:r w:rsidDel="00000000" w:rsidR="00000000" w:rsidRPr="00000000">
              <w:rPr>
                <w:color w:val="7030a0"/>
                <w:sz w:val="20"/>
                <w:szCs w:val="20"/>
                <w:rtl w:val="0"/>
              </w:rPr>
              <w:t xml:space="preserve"> (</w:t>
            </w:r>
            <w:r w:rsidDel="00000000" w:rsidR="00000000" w:rsidRPr="00000000">
              <w:rPr>
                <w:i w:val="1"/>
                <w:color w:val="7030a0"/>
                <w:sz w:val="20"/>
                <w:szCs w:val="20"/>
                <w:rtl w:val="0"/>
              </w:rPr>
              <w:t xml:space="preserve">n</w:t>
            </w:r>
            <w:r w:rsidDel="00000000" w:rsidR="00000000" w:rsidRPr="00000000">
              <w:rPr>
                <w:color w:val="7030a0"/>
                <w:sz w:val="20"/>
                <w:szCs w:val="20"/>
                <w:rtl w:val="0"/>
              </w:rPr>
              <w:t xml:space="preserve">=44)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347">
            <w:pPr>
              <w:spacing w:after="0" w:line="240" w:lineRule="auto"/>
              <w:ind w:right="-96"/>
              <w:rPr>
                <w:color w:val="cc0099"/>
                <w:sz w:val="20"/>
                <w:szCs w:val="20"/>
              </w:rPr>
            </w:pPr>
            <w:r w:rsidDel="00000000" w:rsidR="00000000" w:rsidRPr="00000000">
              <w:rPr>
                <w:color w:val="cc0099"/>
                <w:sz w:val="20"/>
                <w:szCs w:val="20"/>
                <w:rtl w:val="0"/>
              </w:rPr>
              <w:t xml:space="preserve">Ire_MA (</w:t>
            </w:r>
            <w:r w:rsidDel="00000000" w:rsidR="00000000" w:rsidRPr="00000000">
              <w:rPr>
                <w:i w:val="1"/>
                <w:color w:val="cc0099"/>
                <w:sz w:val="20"/>
                <w:szCs w:val="20"/>
                <w:rtl w:val="0"/>
              </w:rPr>
              <w:t xml:space="preserve">n</w:t>
            </w:r>
            <w:r w:rsidDel="00000000" w:rsidR="00000000" w:rsidRPr="00000000">
              <w:rPr>
                <w:color w:val="cc0099"/>
                <w:sz w:val="20"/>
                <w:szCs w:val="20"/>
                <w:rtl w:val="0"/>
              </w:rPr>
              <w:t xml:space="preserve">=38)</w:t>
            </w:r>
          </w:p>
        </w:tc>
      </w:tr>
      <w:tr>
        <w:trPr>
          <w:cantSplit w:val="0"/>
          <w:trHeight w:val="300" w:hRule="atLeast"/>
          <w:tblHeader w:val="0"/>
        </w:trPr>
        <w:tc>
          <w:tcPr>
            <w:tcBorders>
              <w:top w:color="000000" w:space="0" w:sz="4" w:val="single"/>
              <w:bottom w:color="000000" w:space="0" w:sz="0" w:val="nil"/>
              <w:right w:color="000000" w:space="0" w:sz="4" w:val="single"/>
            </w:tcBorders>
            <w:shd w:fill="auto" w:val="clear"/>
          </w:tcPr>
          <w:p w:rsidR="00000000" w:rsidDel="00000000" w:rsidP="00000000" w:rsidRDefault="00000000" w:rsidRPr="00000000" w14:paraId="00000348">
            <w:pPr>
              <w:spacing w:after="0" w:line="240" w:lineRule="auto"/>
              <w:rPr>
                <w:sz w:val="20"/>
                <w:szCs w:val="20"/>
                <w:u w:val="single"/>
              </w:rPr>
            </w:pPr>
            <w:r w:rsidDel="00000000" w:rsidR="00000000" w:rsidRPr="00000000">
              <w:rPr>
                <w:sz w:val="20"/>
                <w:szCs w:val="20"/>
                <w:u w:val="single"/>
                <w:rtl w:val="0"/>
              </w:rPr>
              <w:t xml:space="preserve">V+@16298</w:t>
            </w:r>
          </w:p>
        </w:tc>
        <w:tc>
          <w:tcPr>
            <w:tcBorders>
              <w:top w:color="000000" w:space="0" w:sz="4" w:val="single"/>
              <w:left w:color="000000" w:space="0" w:sz="4" w:val="single"/>
              <w:bottom w:color="000000" w:space="0" w:sz="0" w:val="nil"/>
              <w:right w:color="000000" w:space="0" w:sz="4" w:val="single"/>
            </w:tcBorders>
            <w:shd w:fill="e2efda" w:val="clear"/>
          </w:tcPr>
          <w:p w:rsidR="00000000" w:rsidDel="00000000" w:rsidP="00000000" w:rsidRDefault="00000000" w:rsidRPr="00000000" w14:paraId="00000349">
            <w:pPr>
              <w:spacing w:after="0" w:line="240" w:lineRule="auto"/>
              <w:jc w:val="right"/>
              <w:rPr>
                <w:b w:val="1"/>
                <w:sz w:val="20"/>
                <w:szCs w:val="20"/>
              </w:rPr>
            </w:pPr>
            <w:r w:rsidDel="00000000" w:rsidR="00000000" w:rsidRPr="00000000">
              <w:rPr>
                <w:b w:val="1"/>
                <w:sz w:val="20"/>
                <w:szCs w:val="20"/>
                <w:rtl w:val="0"/>
              </w:rPr>
              <w:t xml:space="preserve">1</w:t>
            </w:r>
          </w:p>
        </w:tc>
        <w:tc>
          <w:tcPr>
            <w:tcBorders>
              <w:top w:color="000000" w:space="0" w:sz="4" w:val="single"/>
              <w:left w:color="000000" w:space="0" w:sz="4" w:val="single"/>
              <w:bottom w:color="000000" w:space="0" w:sz="0" w:val="nil"/>
              <w:right w:color="000000" w:space="0" w:sz="4" w:val="single"/>
            </w:tcBorders>
            <w:shd w:fill="e2efd9" w:val="clear"/>
          </w:tcPr>
          <w:p w:rsidR="00000000" w:rsidDel="00000000" w:rsidP="00000000" w:rsidRDefault="00000000" w:rsidRPr="00000000" w14:paraId="0000034A">
            <w:pPr>
              <w:spacing w:after="0" w:line="240" w:lineRule="auto"/>
              <w:jc w:val="right"/>
              <w:rPr>
                <w:sz w:val="20"/>
                <w:szCs w:val="20"/>
              </w:rPr>
            </w:pPr>
            <w:r w:rsidDel="00000000" w:rsidR="00000000" w:rsidRPr="00000000">
              <w:rPr>
                <w:sz w:val="20"/>
                <w:szCs w:val="20"/>
                <w:rtl w:val="0"/>
              </w:rPr>
              <w:t xml:space="preserve">1</w:t>
            </w:r>
          </w:p>
        </w:tc>
        <w:tc>
          <w:tcPr>
            <w:tcBorders>
              <w:top w:color="000000" w:space="0" w:sz="4" w:val="single"/>
              <w:left w:color="000000" w:space="0" w:sz="4" w:val="single"/>
              <w:bottom w:color="000000" w:space="0" w:sz="0" w:val="nil"/>
              <w:right w:color="000000" w:space="0" w:sz="4" w:val="single"/>
            </w:tcBorders>
            <w:shd w:fill="auto" w:val="clear"/>
          </w:tcPr>
          <w:p w:rsidR="00000000" w:rsidDel="00000000" w:rsidP="00000000" w:rsidRDefault="00000000" w:rsidRPr="00000000" w14:paraId="0000034B">
            <w:pPr>
              <w:spacing w:after="0" w:line="240" w:lineRule="auto"/>
              <w:jc w:val="right"/>
              <w:rPr>
                <w:sz w:val="20"/>
                <w:szCs w:val="20"/>
              </w:rPr>
            </w:pPr>
            <w:r w:rsidDel="00000000" w:rsidR="00000000" w:rsidRPr="00000000">
              <w:rPr>
                <w:rtl w:val="0"/>
              </w:rPr>
            </w:r>
          </w:p>
        </w:tc>
        <w:tc>
          <w:tcPr>
            <w:tcBorders>
              <w:top w:color="000000" w:space="0" w:sz="4" w:val="single"/>
              <w:left w:color="000000" w:space="0" w:sz="4" w:val="single"/>
              <w:bottom w:color="000000" w:space="0" w:sz="0" w:val="nil"/>
              <w:right w:color="000000" w:space="0" w:sz="4" w:val="single"/>
            </w:tcBorders>
            <w:shd w:fill="auto" w:val="clear"/>
          </w:tcPr>
          <w:p w:rsidR="00000000" w:rsidDel="00000000" w:rsidP="00000000" w:rsidRDefault="00000000" w:rsidRPr="00000000" w14:paraId="0000034C">
            <w:pPr>
              <w:spacing w:after="0" w:line="240" w:lineRule="auto"/>
              <w:jc w:val="right"/>
              <w:rPr>
                <w:sz w:val="20"/>
                <w:szCs w:val="20"/>
              </w:rPr>
            </w:pPr>
            <w:r w:rsidDel="00000000" w:rsidR="00000000" w:rsidRPr="00000000">
              <w:rPr>
                <w:rtl w:val="0"/>
              </w:rPr>
            </w:r>
          </w:p>
        </w:tc>
        <w:tc>
          <w:tcPr>
            <w:tcBorders>
              <w:top w:color="000000" w:space="0" w:sz="4" w:val="single"/>
              <w:left w:color="000000" w:space="0" w:sz="4" w:val="single"/>
              <w:bottom w:color="000000" w:space="0" w:sz="0" w:val="nil"/>
              <w:right w:color="000000" w:space="0" w:sz="4" w:val="single"/>
            </w:tcBorders>
            <w:shd w:fill="auto" w:val="clear"/>
          </w:tcPr>
          <w:p w:rsidR="00000000" w:rsidDel="00000000" w:rsidP="00000000" w:rsidRDefault="00000000" w:rsidRPr="00000000" w14:paraId="0000034D">
            <w:pPr>
              <w:spacing w:after="0" w:line="240" w:lineRule="auto"/>
              <w:jc w:val="right"/>
              <w:rPr>
                <w:rFonts w:ascii="Times New Roman" w:cs="Times New Roman" w:eastAsia="Times New Roman" w:hAnsi="Times New Roman"/>
                <w:sz w:val="18"/>
                <w:szCs w:val="18"/>
              </w:rPr>
            </w:pPr>
            <w:r w:rsidDel="00000000" w:rsidR="00000000" w:rsidRPr="00000000">
              <w:rPr>
                <w:rtl w:val="0"/>
              </w:rPr>
            </w:r>
          </w:p>
        </w:tc>
        <w:tc>
          <w:tcPr>
            <w:tcBorders>
              <w:top w:color="000000" w:space="0" w:sz="4" w:val="single"/>
              <w:left w:color="000000" w:space="0" w:sz="4" w:val="single"/>
              <w:bottom w:color="000000" w:space="0" w:sz="0" w:val="nil"/>
              <w:right w:color="000000" w:space="0" w:sz="4" w:val="single"/>
            </w:tcBorders>
          </w:tcPr>
          <w:p w:rsidR="00000000" w:rsidDel="00000000" w:rsidP="00000000" w:rsidRDefault="00000000" w:rsidRPr="00000000" w14:paraId="0000034E">
            <w:pPr>
              <w:spacing w:after="0" w:line="240" w:lineRule="auto"/>
              <w:jc w:val="right"/>
              <w:rPr>
                <w:sz w:val="20"/>
                <w:szCs w:val="20"/>
              </w:rPr>
            </w:pPr>
            <w:r w:rsidDel="00000000" w:rsidR="00000000" w:rsidRPr="00000000">
              <w:rPr>
                <w:rtl w:val="0"/>
              </w:rPr>
            </w:r>
          </w:p>
        </w:tc>
        <w:tc>
          <w:tcPr>
            <w:tcBorders>
              <w:top w:color="000000" w:space="0" w:sz="4" w:val="single"/>
              <w:left w:color="000000" w:space="0" w:sz="4" w:val="single"/>
              <w:bottom w:color="000000" w:space="0" w:sz="0" w:val="nil"/>
              <w:right w:color="000000" w:space="0" w:sz="4" w:val="single"/>
            </w:tcBorders>
            <w:shd w:fill="auto" w:val="clear"/>
          </w:tcPr>
          <w:p w:rsidR="00000000" w:rsidDel="00000000" w:rsidP="00000000" w:rsidRDefault="00000000" w:rsidRPr="00000000" w14:paraId="0000034F">
            <w:pPr>
              <w:spacing w:after="0" w:line="240" w:lineRule="auto"/>
              <w:jc w:val="right"/>
              <w:rPr>
                <w:sz w:val="20"/>
                <w:szCs w:val="20"/>
              </w:rPr>
            </w:pPr>
            <w:r w:rsidDel="00000000" w:rsidR="00000000" w:rsidRPr="00000000">
              <w:rPr>
                <w:rtl w:val="0"/>
              </w:rPr>
            </w:r>
          </w:p>
        </w:tc>
      </w:tr>
      <w:tr>
        <w:trPr>
          <w:cantSplit w:val="0"/>
          <w:trHeight w:val="300" w:hRule="atLeast"/>
          <w:tblHeader w:val="0"/>
        </w:trPr>
        <w:tc>
          <w:tcPr>
            <w:tcBorders>
              <w:top w:color="000000" w:space="0" w:sz="0" w:val="nil"/>
              <w:bottom w:color="000000" w:space="0" w:sz="0" w:val="nil"/>
              <w:right w:color="000000" w:space="0" w:sz="4" w:val="single"/>
            </w:tcBorders>
            <w:shd w:fill="auto" w:val="clear"/>
          </w:tcPr>
          <w:p w:rsidR="00000000" w:rsidDel="00000000" w:rsidP="00000000" w:rsidRDefault="00000000" w:rsidRPr="00000000" w14:paraId="00000350">
            <w:pPr>
              <w:spacing w:after="0" w:line="240" w:lineRule="auto"/>
              <w:rPr>
                <w:sz w:val="20"/>
                <w:szCs w:val="20"/>
              </w:rPr>
            </w:pPr>
            <w:r w:rsidDel="00000000" w:rsidR="00000000" w:rsidRPr="00000000">
              <w:rPr>
                <w:sz w:val="20"/>
                <w:szCs w:val="20"/>
                <w:rtl w:val="0"/>
              </w:rPr>
              <w:t xml:space="preserve">HV6</w:t>
            </w:r>
          </w:p>
        </w:tc>
        <w:tc>
          <w:tcPr>
            <w:tcBorders>
              <w:top w:color="000000" w:space="0" w:sz="0" w:val="nil"/>
              <w:left w:color="000000" w:space="0" w:sz="4" w:val="single"/>
              <w:bottom w:color="000000" w:space="0" w:sz="0" w:val="nil"/>
              <w:right w:color="000000" w:space="0" w:sz="4" w:val="single"/>
            </w:tcBorders>
            <w:shd w:fill="e2efda" w:val="clear"/>
          </w:tcPr>
          <w:p w:rsidR="00000000" w:rsidDel="00000000" w:rsidP="00000000" w:rsidRDefault="00000000" w:rsidRPr="00000000" w14:paraId="00000351">
            <w:pPr>
              <w:spacing w:after="0" w:line="240" w:lineRule="auto"/>
              <w:jc w:val="right"/>
              <w:rPr>
                <w:b w:val="1"/>
                <w:sz w:val="20"/>
                <w:szCs w:val="20"/>
              </w:rPr>
            </w:pPr>
            <w:r w:rsidDel="00000000" w:rsidR="00000000" w:rsidRPr="00000000">
              <w:rPr>
                <w:b w:val="1"/>
                <w:sz w:val="20"/>
                <w:szCs w:val="20"/>
                <w:rtl w:val="0"/>
              </w:rPr>
              <w:t xml:space="preserve">4</w:t>
            </w:r>
          </w:p>
        </w:tc>
        <w:tc>
          <w:tcPr>
            <w:tcBorders>
              <w:top w:color="000000" w:space="0" w:sz="0" w:val="nil"/>
              <w:left w:color="000000" w:space="0" w:sz="4" w:val="single"/>
              <w:bottom w:color="000000" w:space="0" w:sz="0" w:val="nil"/>
              <w:right w:color="000000" w:space="0" w:sz="4" w:val="single"/>
            </w:tcBorders>
            <w:shd w:fill="auto" w:val="clear"/>
          </w:tcPr>
          <w:p w:rsidR="00000000" w:rsidDel="00000000" w:rsidP="00000000" w:rsidRDefault="00000000" w:rsidRPr="00000000" w14:paraId="00000352">
            <w:pPr>
              <w:spacing w:after="0" w:line="240" w:lineRule="auto"/>
              <w:jc w:val="right"/>
              <w:rPr>
                <w:sz w:val="20"/>
                <w:szCs w:val="20"/>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shd w:fill="e2efd9" w:val="clear"/>
          </w:tcPr>
          <w:p w:rsidR="00000000" w:rsidDel="00000000" w:rsidP="00000000" w:rsidRDefault="00000000" w:rsidRPr="00000000" w14:paraId="00000353">
            <w:pPr>
              <w:spacing w:after="0" w:line="240" w:lineRule="auto"/>
              <w:jc w:val="right"/>
              <w:rPr>
                <w:sz w:val="20"/>
                <w:szCs w:val="20"/>
              </w:rPr>
            </w:pPr>
            <w:r w:rsidDel="00000000" w:rsidR="00000000" w:rsidRPr="00000000">
              <w:rPr>
                <w:sz w:val="20"/>
                <w:szCs w:val="20"/>
                <w:rtl w:val="0"/>
              </w:rPr>
              <w:t xml:space="preserve">1</w:t>
            </w:r>
          </w:p>
        </w:tc>
        <w:tc>
          <w:tcPr>
            <w:tcBorders>
              <w:top w:color="000000" w:space="0" w:sz="0" w:val="nil"/>
              <w:left w:color="000000" w:space="0" w:sz="4" w:val="single"/>
              <w:bottom w:color="000000" w:space="0" w:sz="0" w:val="nil"/>
              <w:right w:color="000000" w:space="0" w:sz="4" w:val="single"/>
            </w:tcBorders>
            <w:shd w:fill="auto" w:val="clear"/>
          </w:tcPr>
          <w:p w:rsidR="00000000" w:rsidDel="00000000" w:rsidP="00000000" w:rsidRDefault="00000000" w:rsidRPr="00000000" w14:paraId="00000354">
            <w:pPr>
              <w:spacing w:after="0" w:line="240" w:lineRule="auto"/>
              <w:jc w:val="right"/>
              <w:rPr>
                <w:rFonts w:ascii="Times New Roman" w:cs="Times New Roman" w:eastAsia="Times New Roman" w:hAnsi="Times New Roman"/>
                <w:sz w:val="18"/>
                <w:szCs w:val="18"/>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shd w:fill="auto" w:val="clear"/>
          </w:tcPr>
          <w:p w:rsidR="00000000" w:rsidDel="00000000" w:rsidP="00000000" w:rsidRDefault="00000000" w:rsidRPr="00000000" w14:paraId="00000355">
            <w:pPr>
              <w:spacing w:after="0" w:line="240" w:lineRule="auto"/>
              <w:jc w:val="right"/>
              <w:rPr>
                <w:rFonts w:ascii="Times New Roman" w:cs="Times New Roman" w:eastAsia="Times New Roman" w:hAnsi="Times New Roman"/>
                <w:sz w:val="18"/>
                <w:szCs w:val="18"/>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shd w:fill="e2efd9" w:val="clear"/>
          </w:tcPr>
          <w:p w:rsidR="00000000" w:rsidDel="00000000" w:rsidP="00000000" w:rsidRDefault="00000000" w:rsidRPr="00000000" w14:paraId="00000356">
            <w:pPr>
              <w:spacing w:after="0" w:line="240" w:lineRule="auto"/>
              <w:jc w:val="right"/>
              <w:rPr>
                <w:rFonts w:ascii="Times New Roman" w:cs="Times New Roman" w:eastAsia="Times New Roman" w:hAnsi="Times New Roman"/>
                <w:sz w:val="18"/>
                <w:szCs w:val="18"/>
              </w:rPr>
            </w:pPr>
            <w:r w:rsidDel="00000000" w:rsidR="00000000" w:rsidRPr="00000000">
              <w:rPr>
                <w:sz w:val="20"/>
                <w:szCs w:val="20"/>
                <w:rtl w:val="0"/>
              </w:rPr>
              <w:t xml:space="preserve">1</w:t>
            </w: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shd w:fill="auto" w:val="clear"/>
          </w:tcPr>
          <w:p w:rsidR="00000000" w:rsidDel="00000000" w:rsidP="00000000" w:rsidRDefault="00000000" w:rsidRPr="00000000" w14:paraId="00000357">
            <w:pPr>
              <w:spacing w:after="0" w:line="240" w:lineRule="auto"/>
              <w:jc w:val="right"/>
              <w:rPr>
                <w:rFonts w:ascii="Times New Roman" w:cs="Times New Roman" w:eastAsia="Times New Roman" w:hAnsi="Times New Roman"/>
                <w:sz w:val="18"/>
                <w:szCs w:val="18"/>
              </w:rPr>
            </w:pPr>
            <w:r w:rsidDel="00000000" w:rsidR="00000000" w:rsidRPr="00000000">
              <w:rPr>
                <w:rtl w:val="0"/>
              </w:rPr>
            </w:r>
          </w:p>
        </w:tc>
      </w:tr>
      <w:tr>
        <w:trPr>
          <w:cantSplit w:val="0"/>
          <w:trHeight w:val="300" w:hRule="atLeast"/>
          <w:tblHeader w:val="0"/>
        </w:trPr>
        <w:tc>
          <w:tcPr>
            <w:tcBorders>
              <w:top w:color="000000" w:space="0" w:sz="0" w:val="nil"/>
              <w:bottom w:color="000000" w:space="0" w:sz="0" w:val="nil"/>
              <w:right w:color="000000" w:space="0" w:sz="4" w:val="single"/>
            </w:tcBorders>
            <w:shd w:fill="auto" w:val="clear"/>
          </w:tcPr>
          <w:p w:rsidR="00000000" w:rsidDel="00000000" w:rsidP="00000000" w:rsidRDefault="00000000" w:rsidRPr="00000000" w14:paraId="00000358">
            <w:pPr>
              <w:spacing w:after="0" w:line="240" w:lineRule="auto"/>
              <w:rPr>
                <w:sz w:val="20"/>
                <w:szCs w:val="20"/>
              </w:rPr>
            </w:pPr>
            <w:r w:rsidDel="00000000" w:rsidR="00000000" w:rsidRPr="00000000">
              <w:rPr>
                <w:sz w:val="20"/>
                <w:szCs w:val="20"/>
                <w:rtl w:val="0"/>
              </w:rPr>
              <w:t xml:space="preserve">HV9a1a</w:t>
            </w:r>
          </w:p>
        </w:tc>
        <w:tc>
          <w:tcPr>
            <w:tcBorders>
              <w:top w:color="000000" w:space="0" w:sz="0" w:val="nil"/>
              <w:left w:color="000000" w:space="0" w:sz="4" w:val="single"/>
              <w:bottom w:color="000000" w:space="0" w:sz="0" w:val="nil"/>
              <w:right w:color="000000" w:space="0" w:sz="4" w:val="single"/>
            </w:tcBorders>
            <w:shd w:fill="e2efda" w:val="clear"/>
          </w:tcPr>
          <w:p w:rsidR="00000000" w:rsidDel="00000000" w:rsidP="00000000" w:rsidRDefault="00000000" w:rsidRPr="00000000" w14:paraId="00000359">
            <w:pPr>
              <w:spacing w:after="0" w:line="240" w:lineRule="auto"/>
              <w:jc w:val="right"/>
              <w:rPr>
                <w:b w:val="1"/>
                <w:sz w:val="20"/>
                <w:szCs w:val="20"/>
              </w:rPr>
            </w:pPr>
            <w:r w:rsidDel="00000000" w:rsidR="00000000" w:rsidRPr="00000000">
              <w:rPr>
                <w:b w:val="1"/>
                <w:sz w:val="20"/>
                <w:szCs w:val="20"/>
                <w:rtl w:val="0"/>
              </w:rPr>
              <w:t xml:space="preserve">3</w:t>
            </w:r>
          </w:p>
        </w:tc>
        <w:tc>
          <w:tcPr>
            <w:tcBorders>
              <w:top w:color="000000" w:space="0" w:sz="0" w:val="nil"/>
              <w:left w:color="000000" w:space="0" w:sz="4" w:val="single"/>
              <w:bottom w:color="000000" w:space="0" w:sz="0" w:val="nil"/>
              <w:right w:color="000000" w:space="0" w:sz="4" w:val="single"/>
            </w:tcBorders>
            <w:shd w:fill="e2efd9" w:val="clear"/>
          </w:tcPr>
          <w:p w:rsidR="00000000" w:rsidDel="00000000" w:rsidP="00000000" w:rsidRDefault="00000000" w:rsidRPr="00000000" w14:paraId="0000035A">
            <w:pPr>
              <w:spacing w:after="0" w:line="240" w:lineRule="auto"/>
              <w:jc w:val="right"/>
              <w:rPr>
                <w:sz w:val="20"/>
                <w:szCs w:val="20"/>
              </w:rPr>
            </w:pPr>
            <w:r w:rsidDel="00000000" w:rsidR="00000000" w:rsidRPr="00000000">
              <w:rPr>
                <w:sz w:val="20"/>
                <w:szCs w:val="20"/>
                <w:rtl w:val="0"/>
              </w:rPr>
              <w:t xml:space="preserve">1</w:t>
            </w:r>
          </w:p>
        </w:tc>
        <w:tc>
          <w:tcPr>
            <w:tcBorders>
              <w:top w:color="000000" w:space="0" w:sz="0" w:val="nil"/>
              <w:left w:color="000000" w:space="0" w:sz="4" w:val="single"/>
              <w:bottom w:color="000000" w:space="0" w:sz="0" w:val="nil"/>
              <w:right w:color="000000" w:space="0" w:sz="4" w:val="single"/>
            </w:tcBorders>
            <w:shd w:fill="auto" w:val="clear"/>
          </w:tcPr>
          <w:p w:rsidR="00000000" w:rsidDel="00000000" w:rsidP="00000000" w:rsidRDefault="00000000" w:rsidRPr="00000000" w14:paraId="0000035B">
            <w:pPr>
              <w:spacing w:after="0" w:line="240" w:lineRule="auto"/>
              <w:jc w:val="right"/>
              <w:rPr>
                <w:sz w:val="20"/>
                <w:szCs w:val="20"/>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shd w:fill="auto" w:val="clear"/>
          </w:tcPr>
          <w:p w:rsidR="00000000" w:rsidDel="00000000" w:rsidP="00000000" w:rsidRDefault="00000000" w:rsidRPr="00000000" w14:paraId="0000035C">
            <w:pPr>
              <w:spacing w:after="0" w:line="240" w:lineRule="auto"/>
              <w:jc w:val="right"/>
              <w:rPr>
                <w:sz w:val="20"/>
                <w:szCs w:val="20"/>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shd w:fill="auto" w:val="clear"/>
          </w:tcPr>
          <w:p w:rsidR="00000000" w:rsidDel="00000000" w:rsidP="00000000" w:rsidRDefault="00000000" w:rsidRPr="00000000" w14:paraId="0000035D">
            <w:pPr>
              <w:spacing w:after="0" w:line="240" w:lineRule="auto"/>
              <w:jc w:val="right"/>
              <w:rPr>
                <w:rFonts w:ascii="Times New Roman" w:cs="Times New Roman" w:eastAsia="Times New Roman" w:hAnsi="Times New Roman"/>
                <w:sz w:val="18"/>
                <w:szCs w:val="18"/>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tcPr>
          <w:p w:rsidR="00000000" w:rsidDel="00000000" w:rsidP="00000000" w:rsidRDefault="00000000" w:rsidRPr="00000000" w14:paraId="0000035E">
            <w:pPr>
              <w:spacing w:after="0" w:line="240" w:lineRule="auto"/>
              <w:jc w:val="right"/>
              <w:rPr>
                <w:rFonts w:ascii="Times New Roman" w:cs="Times New Roman" w:eastAsia="Times New Roman" w:hAnsi="Times New Roman"/>
                <w:sz w:val="18"/>
                <w:szCs w:val="18"/>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shd w:fill="auto" w:val="clear"/>
          </w:tcPr>
          <w:p w:rsidR="00000000" w:rsidDel="00000000" w:rsidP="00000000" w:rsidRDefault="00000000" w:rsidRPr="00000000" w14:paraId="0000035F">
            <w:pPr>
              <w:spacing w:after="0" w:line="240" w:lineRule="auto"/>
              <w:jc w:val="right"/>
              <w:rPr>
                <w:rFonts w:ascii="Times New Roman" w:cs="Times New Roman" w:eastAsia="Times New Roman" w:hAnsi="Times New Roman"/>
                <w:sz w:val="18"/>
                <w:szCs w:val="18"/>
              </w:rPr>
            </w:pPr>
            <w:r w:rsidDel="00000000" w:rsidR="00000000" w:rsidRPr="00000000">
              <w:rPr>
                <w:rtl w:val="0"/>
              </w:rPr>
            </w:r>
          </w:p>
        </w:tc>
      </w:tr>
      <w:tr>
        <w:trPr>
          <w:cantSplit w:val="0"/>
          <w:trHeight w:val="300" w:hRule="atLeast"/>
          <w:tblHeader w:val="0"/>
        </w:trPr>
        <w:tc>
          <w:tcPr>
            <w:tcBorders>
              <w:top w:color="000000" w:space="0" w:sz="0" w:val="nil"/>
              <w:bottom w:color="000000" w:space="0" w:sz="0" w:val="nil"/>
              <w:right w:color="000000" w:space="0" w:sz="4" w:val="single"/>
            </w:tcBorders>
            <w:shd w:fill="auto" w:val="clear"/>
          </w:tcPr>
          <w:p w:rsidR="00000000" w:rsidDel="00000000" w:rsidP="00000000" w:rsidRDefault="00000000" w:rsidRPr="00000000" w14:paraId="00000360">
            <w:pPr>
              <w:spacing w:after="0" w:line="240" w:lineRule="auto"/>
              <w:rPr>
                <w:sz w:val="20"/>
                <w:szCs w:val="20"/>
                <w:u w:val="single"/>
              </w:rPr>
            </w:pPr>
            <w:r w:rsidDel="00000000" w:rsidR="00000000" w:rsidRPr="00000000">
              <w:rPr>
                <w:sz w:val="20"/>
                <w:szCs w:val="20"/>
                <w:u w:val="single"/>
                <w:rtl w:val="0"/>
              </w:rPr>
              <w:t xml:space="preserve">H1b</w:t>
            </w:r>
          </w:p>
        </w:tc>
        <w:tc>
          <w:tcPr>
            <w:tcBorders>
              <w:top w:color="000000" w:space="0" w:sz="0" w:val="nil"/>
              <w:left w:color="000000" w:space="0" w:sz="4" w:val="single"/>
              <w:bottom w:color="000000" w:space="0" w:sz="0" w:val="nil"/>
              <w:right w:color="000000" w:space="0" w:sz="4" w:val="single"/>
            </w:tcBorders>
            <w:shd w:fill="e2efda" w:val="clear"/>
          </w:tcPr>
          <w:p w:rsidR="00000000" w:rsidDel="00000000" w:rsidP="00000000" w:rsidRDefault="00000000" w:rsidRPr="00000000" w14:paraId="00000361">
            <w:pPr>
              <w:spacing w:after="0" w:line="240" w:lineRule="auto"/>
              <w:jc w:val="right"/>
              <w:rPr>
                <w:b w:val="1"/>
                <w:sz w:val="20"/>
                <w:szCs w:val="20"/>
              </w:rPr>
            </w:pPr>
            <w:r w:rsidDel="00000000" w:rsidR="00000000" w:rsidRPr="00000000">
              <w:rPr>
                <w:b w:val="1"/>
                <w:sz w:val="20"/>
                <w:szCs w:val="20"/>
                <w:rtl w:val="0"/>
              </w:rPr>
              <w:t xml:space="preserve">1</w:t>
            </w:r>
          </w:p>
        </w:tc>
        <w:tc>
          <w:tcPr>
            <w:tcBorders>
              <w:top w:color="000000" w:space="0" w:sz="0" w:val="nil"/>
              <w:left w:color="000000" w:space="0" w:sz="4" w:val="single"/>
              <w:bottom w:color="000000" w:space="0" w:sz="0" w:val="nil"/>
              <w:right w:color="000000" w:space="0" w:sz="4" w:val="single"/>
            </w:tcBorders>
            <w:shd w:fill="e2efd9" w:val="clear"/>
          </w:tcPr>
          <w:p w:rsidR="00000000" w:rsidDel="00000000" w:rsidP="00000000" w:rsidRDefault="00000000" w:rsidRPr="00000000" w14:paraId="00000362">
            <w:pPr>
              <w:spacing w:after="0" w:line="240" w:lineRule="auto"/>
              <w:jc w:val="right"/>
              <w:rPr>
                <w:sz w:val="20"/>
                <w:szCs w:val="20"/>
              </w:rPr>
            </w:pPr>
            <w:r w:rsidDel="00000000" w:rsidR="00000000" w:rsidRPr="00000000">
              <w:rPr>
                <w:sz w:val="20"/>
                <w:szCs w:val="20"/>
                <w:rtl w:val="0"/>
              </w:rPr>
              <w:t xml:space="preserve">2</w:t>
            </w:r>
          </w:p>
        </w:tc>
        <w:tc>
          <w:tcPr>
            <w:tcBorders>
              <w:top w:color="000000" w:space="0" w:sz="0" w:val="nil"/>
              <w:left w:color="000000" w:space="0" w:sz="4" w:val="single"/>
              <w:bottom w:color="000000" w:space="0" w:sz="0" w:val="nil"/>
              <w:right w:color="000000" w:space="0" w:sz="4" w:val="single"/>
            </w:tcBorders>
            <w:shd w:fill="e2efd9" w:val="clear"/>
          </w:tcPr>
          <w:p w:rsidR="00000000" w:rsidDel="00000000" w:rsidP="00000000" w:rsidRDefault="00000000" w:rsidRPr="00000000" w14:paraId="00000363">
            <w:pPr>
              <w:spacing w:after="0" w:line="240" w:lineRule="auto"/>
              <w:jc w:val="right"/>
              <w:rPr>
                <w:sz w:val="20"/>
                <w:szCs w:val="20"/>
              </w:rPr>
            </w:pPr>
            <w:r w:rsidDel="00000000" w:rsidR="00000000" w:rsidRPr="00000000">
              <w:rPr>
                <w:sz w:val="20"/>
                <w:szCs w:val="20"/>
                <w:rtl w:val="0"/>
              </w:rPr>
              <w:t xml:space="preserve">1</w:t>
            </w:r>
          </w:p>
        </w:tc>
        <w:tc>
          <w:tcPr>
            <w:tcBorders>
              <w:top w:color="000000" w:space="0" w:sz="0" w:val="nil"/>
              <w:left w:color="000000" w:space="0" w:sz="4" w:val="single"/>
              <w:bottom w:color="000000" w:space="0" w:sz="0" w:val="nil"/>
              <w:right w:color="000000" w:space="0" w:sz="4" w:val="single"/>
            </w:tcBorders>
            <w:shd w:fill="auto" w:val="clear"/>
          </w:tcPr>
          <w:p w:rsidR="00000000" w:rsidDel="00000000" w:rsidP="00000000" w:rsidRDefault="00000000" w:rsidRPr="00000000" w14:paraId="00000364">
            <w:pPr>
              <w:spacing w:after="0" w:line="240" w:lineRule="auto"/>
              <w:jc w:val="right"/>
              <w:rPr>
                <w:rFonts w:ascii="Times New Roman" w:cs="Times New Roman" w:eastAsia="Times New Roman" w:hAnsi="Times New Roman"/>
                <w:sz w:val="18"/>
                <w:szCs w:val="18"/>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shd w:fill="auto" w:val="clear"/>
          </w:tcPr>
          <w:p w:rsidR="00000000" w:rsidDel="00000000" w:rsidP="00000000" w:rsidRDefault="00000000" w:rsidRPr="00000000" w14:paraId="00000365">
            <w:pPr>
              <w:spacing w:after="0" w:line="240" w:lineRule="auto"/>
              <w:jc w:val="right"/>
              <w:rPr>
                <w:rFonts w:ascii="Times New Roman" w:cs="Times New Roman" w:eastAsia="Times New Roman" w:hAnsi="Times New Roman"/>
                <w:sz w:val="18"/>
                <w:szCs w:val="18"/>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tcPr>
          <w:p w:rsidR="00000000" w:rsidDel="00000000" w:rsidP="00000000" w:rsidRDefault="00000000" w:rsidRPr="00000000" w14:paraId="00000366">
            <w:pPr>
              <w:spacing w:after="0" w:line="240" w:lineRule="auto"/>
              <w:jc w:val="right"/>
              <w:rPr>
                <w:rFonts w:ascii="Times New Roman" w:cs="Times New Roman" w:eastAsia="Times New Roman" w:hAnsi="Times New Roman"/>
                <w:sz w:val="18"/>
                <w:szCs w:val="18"/>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shd w:fill="e2efd9" w:val="clear"/>
          </w:tcPr>
          <w:p w:rsidR="00000000" w:rsidDel="00000000" w:rsidP="00000000" w:rsidRDefault="00000000" w:rsidRPr="00000000" w14:paraId="00000367">
            <w:pPr>
              <w:spacing w:after="0" w:line="240" w:lineRule="auto"/>
              <w:jc w:val="right"/>
              <w:rPr>
                <w:rFonts w:ascii="Times New Roman" w:cs="Times New Roman" w:eastAsia="Times New Roman" w:hAnsi="Times New Roman"/>
                <w:sz w:val="18"/>
                <w:szCs w:val="18"/>
              </w:rPr>
            </w:pPr>
            <w:r w:rsidDel="00000000" w:rsidR="00000000" w:rsidRPr="00000000">
              <w:rPr>
                <w:sz w:val="20"/>
                <w:szCs w:val="20"/>
                <w:rtl w:val="0"/>
              </w:rPr>
              <w:t xml:space="preserve">1</w:t>
            </w:r>
            <w:r w:rsidDel="00000000" w:rsidR="00000000" w:rsidRPr="00000000">
              <w:rPr>
                <w:rtl w:val="0"/>
              </w:rPr>
            </w:r>
          </w:p>
        </w:tc>
      </w:tr>
      <w:tr>
        <w:trPr>
          <w:cantSplit w:val="0"/>
          <w:trHeight w:val="300" w:hRule="atLeast"/>
          <w:tblHeader w:val="0"/>
        </w:trPr>
        <w:tc>
          <w:tcPr>
            <w:tcBorders>
              <w:top w:color="000000" w:space="0" w:sz="0" w:val="nil"/>
              <w:bottom w:color="000000" w:space="0" w:sz="0" w:val="nil"/>
              <w:right w:color="000000" w:space="0" w:sz="4" w:val="single"/>
            </w:tcBorders>
            <w:shd w:fill="auto" w:val="clear"/>
          </w:tcPr>
          <w:p w:rsidR="00000000" w:rsidDel="00000000" w:rsidP="00000000" w:rsidRDefault="00000000" w:rsidRPr="00000000" w14:paraId="00000368">
            <w:pPr>
              <w:spacing w:after="0" w:line="240" w:lineRule="auto"/>
              <w:rPr>
                <w:sz w:val="20"/>
                <w:szCs w:val="20"/>
              </w:rPr>
            </w:pPr>
            <w:r w:rsidDel="00000000" w:rsidR="00000000" w:rsidRPr="00000000">
              <w:rPr>
                <w:sz w:val="20"/>
                <w:szCs w:val="20"/>
                <w:rtl w:val="0"/>
              </w:rPr>
              <w:t xml:space="preserve">H1c2</w:t>
            </w:r>
          </w:p>
        </w:tc>
        <w:tc>
          <w:tcPr>
            <w:tcBorders>
              <w:top w:color="000000" w:space="0" w:sz="0" w:val="nil"/>
              <w:left w:color="000000" w:space="0" w:sz="4" w:val="single"/>
              <w:bottom w:color="000000" w:space="0" w:sz="0" w:val="nil"/>
              <w:right w:color="000000" w:space="0" w:sz="4" w:val="single"/>
            </w:tcBorders>
            <w:shd w:fill="e2efda" w:val="clear"/>
          </w:tcPr>
          <w:p w:rsidR="00000000" w:rsidDel="00000000" w:rsidP="00000000" w:rsidRDefault="00000000" w:rsidRPr="00000000" w14:paraId="00000369">
            <w:pPr>
              <w:spacing w:after="0" w:line="240" w:lineRule="auto"/>
              <w:jc w:val="right"/>
              <w:rPr>
                <w:b w:val="1"/>
                <w:sz w:val="20"/>
                <w:szCs w:val="20"/>
              </w:rPr>
            </w:pPr>
            <w:r w:rsidDel="00000000" w:rsidR="00000000" w:rsidRPr="00000000">
              <w:rPr>
                <w:b w:val="1"/>
                <w:sz w:val="20"/>
                <w:szCs w:val="20"/>
                <w:rtl w:val="0"/>
              </w:rPr>
              <w:t xml:space="preserve">3</w:t>
            </w:r>
          </w:p>
        </w:tc>
        <w:tc>
          <w:tcPr>
            <w:tcBorders>
              <w:top w:color="000000" w:space="0" w:sz="0" w:val="nil"/>
              <w:left w:color="000000" w:space="0" w:sz="4" w:val="single"/>
              <w:bottom w:color="000000" w:space="0" w:sz="0" w:val="nil"/>
              <w:right w:color="000000" w:space="0" w:sz="4" w:val="single"/>
            </w:tcBorders>
            <w:shd w:fill="e2efd9" w:val="clear"/>
          </w:tcPr>
          <w:p w:rsidR="00000000" w:rsidDel="00000000" w:rsidP="00000000" w:rsidRDefault="00000000" w:rsidRPr="00000000" w14:paraId="0000036A">
            <w:pPr>
              <w:spacing w:after="0" w:line="240" w:lineRule="auto"/>
              <w:jc w:val="right"/>
              <w:rPr>
                <w:sz w:val="20"/>
                <w:szCs w:val="20"/>
              </w:rPr>
            </w:pPr>
            <w:r w:rsidDel="00000000" w:rsidR="00000000" w:rsidRPr="00000000">
              <w:rPr>
                <w:sz w:val="20"/>
                <w:szCs w:val="20"/>
                <w:rtl w:val="0"/>
              </w:rPr>
              <w:t xml:space="preserve">1</w:t>
            </w:r>
          </w:p>
        </w:tc>
        <w:tc>
          <w:tcPr>
            <w:tcBorders>
              <w:top w:color="000000" w:space="0" w:sz="0" w:val="nil"/>
              <w:left w:color="000000" w:space="0" w:sz="4" w:val="single"/>
              <w:bottom w:color="000000" w:space="0" w:sz="0" w:val="nil"/>
              <w:right w:color="000000" w:space="0" w:sz="4" w:val="single"/>
            </w:tcBorders>
            <w:shd w:fill="auto" w:val="clear"/>
          </w:tcPr>
          <w:p w:rsidR="00000000" w:rsidDel="00000000" w:rsidP="00000000" w:rsidRDefault="00000000" w:rsidRPr="00000000" w14:paraId="0000036B">
            <w:pPr>
              <w:spacing w:after="0" w:line="240" w:lineRule="auto"/>
              <w:jc w:val="right"/>
              <w:rPr>
                <w:sz w:val="20"/>
                <w:szCs w:val="20"/>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shd w:fill="auto" w:val="clear"/>
          </w:tcPr>
          <w:p w:rsidR="00000000" w:rsidDel="00000000" w:rsidP="00000000" w:rsidRDefault="00000000" w:rsidRPr="00000000" w14:paraId="0000036C">
            <w:pPr>
              <w:spacing w:after="0" w:line="240" w:lineRule="auto"/>
              <w:jc w:val="right"/>
              <w:rPr>
                <w:rFonts w:ascii="Times New Roman" w:cs="Times New Roman" w:eastAsia="Times New Roman" w:hAnsi="Times New Roman"/>
                <w:sz w:val="18"/>
                <w:szCs w:val="18"/>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shd w:fill="auto" w:val="clear"/>
          </w:tcPr>
          <w:p w:rsidR="00000000" w:rsidDel="00000000" w:rsidP="00000000" w:rsidRDefault="00000000" w:rsidRPr="00000000" w14:paraId="0000036D">
            <w:pPr>
              <w:spacing w:after="0" w:line="240" w:lineRule="auto"/>
              <w:jc w:val="right"/>
              <w:rPr>
                <w:rFonts w:ascii="Times New Roman" w:cs="Times New Roman" w:eastAsia="Times New Roman" w:hAnsi="Times New Roman"/>
                <w:sz w:val="18"/>
                <w:szCs w:val="18"/>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tcPr>
          <w:p w:rsidR="00000000" w:rsidDel="00000000" w:rsidP="00000000" w:rsidRDefault="00000000" w:rsidRPr="00000000" w14:paraId="0000036E">
            <w:pPr>
              <w:spacing w:after="0" w:line="240" w:lineRule="auto"/>
              <w:jc w:val="right"/>
              <w:rPr>
                <w:rFonts w:ascii="Times New Roman" w:cs="Times New Roman" w:eastAsia="Times New Roman" w:hAnsi="Times New Roman"/>
                <w:sz w:val="18"/>
                <w:szCs w:val="18"/>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shd w:fill="auto" w:val="clear"/>
          </w:tcPr>
          <w:p w:rsidR="00000000" w:rsidDel="00000000" w:rsidP="00000000" w:rsidRDefault="00000000" w:rsidRPr="00000000" w14:paraId="0000036F">
            <w:pPr>
              <w:spacing w:after="0" w:line="240" w:lineRule="auto"/>
              <w:jc w:val="right"/>
              <w:rPr>
                <w:rFonts w:ascii="Times New Roman" w:cs="Times New Roman" w:eastAsia="Times New Roman" w:hAnsi="Times New Roman"/>
                <w:sz w:val="18"/>
                <w:szCs w:val="18"/>
              </w:rPr>
            </w:pPr>
            <w:r w:rsidDel="00000000" w:rsidR="00000000" w:rsidRPr="00000000">
              <w:rPr>
                <w:rtl w:val="0"/>
              </w:rPr>
            </w:r>
          </w:p>
        </w:tc>
      </w:tr>
      <w:tr>
        <w:trPr>
          <w:cantSplit w:val="0"/>
          <w:trHeight w:val="300" w:hRule="atLeast"/>
          <w:tblHeader w:val="0"/>
        </w:trPr>
        <w:tc>
          <w:tcPr>
            <w:tcBorders>
              <w:top w:color="000000" w:space="0" w:sz="0" w:val="nil"/>
              <w:bottom w:color="000000" w:space="0" w:sz="0" w:val="nil"/>
              <w:right w:color="000000" w:space="0" w:sz="4" w:val="single"/>
            </w:tcBorders>
            <w:shd w:fill="auto" w:val="clear"/>
          </w:tcPr>
          <w:p w:rsidR="00000000" w:rsidDel="00000000" w:rsidP="00000000" w:rsidRDefault="00000000" w:rsidRPr="00000000" w14:paraId="00000370">
            <w:pPr>
              <w:spacing w:after="0" w:line="240" w:lineRule="auto"/>
              <w:rPr>
                <w:sz w:val="20"/>
                <w:szCs w:val="20"/>
              </w:rPr>
            </w:pPr>
            <w:r w:rsidDel="00000000" w:rsidR="00000000" w:rsidRPr="00000000">
              <w:rPr>
                <w:sz w:val="20"/>
                <w:szCs w:val="20"/>
                <w:rtl w:val="0"/>
              </w:rPr>
              <w:t xml:space="preserve">H4a1a4b</w:t>
            </w:r>
          </w:p>
        </w:tc>
        <w:tc>
          <w:tcPr>
            <w:tcBorders>
              <w:top w:color="000000" w:space="0" w:sz="0" w:val="nil"/>
              <w:left w:color="000000" w:space="0" w:sz="4" w:val="single"/>
              <w:bottom w:color="000000" w:space="0" w:sz="0" w:val="nil"/>
              <w:right w:color="000000" w:space="0" w:sz="4" w:val="single"/>
            </w:tcBorders>
            <w:shd w:fill="e2efda" w:val="clear"/>
          </w:tcPr>
          <w:p w:rsidR="00000000" w:rsidDel="00000000" w:rsidP="00000000" w:rsidRDefault="00000000" w:rsidRPr="00000000" w14:paraId="00000371">
            <w:pPr>
              <w:spacing w:after="0" w:line="240" w:lineRule="auto"/>
              <w:jc w:val="right"/>
              <w:rPr>
                <w:b w:val="1"/>
                <w:sz w:val="20"/>
                <w:szCs w:val="20"/>
              </w:rPr>
            </w:pPr>
            <w:r w:rsidDel="00000000" w:rsidR="00000000" w:rsidRPr="00000000">
              <w:rPr>
                <w:b w:val="1"/>
                <w:sz w:val="20"/>
                <w:szCs w:val="20"/>
                <w:rtl w:val="0"/>
              </w:rPr>
              <w:t xml:space="preserve">1</w:t>
            </w:r>
          </w:p>
        </w:tc>
        <w:tc>
          <w:tcPr>
            <w:tcBorders>
              <w:top w:color="000000" w:space="0" w:sz="0" w:val="nil"/>
              <w:left w:color="000000" w:space="0" w:sz="4" w:val="single"/>
              <w:bottom w:color="000000" w:space="0" w:sz="0" w:val="nil"/>
              <w:right w:color="000000" w:space="0" w:sz="4" w:val="single"/>
            </w:tcBorders>
            <w:shd w:fill="e2efd9" w:val="clear"/>
          </w:tcPr>
          <w:p w:rsidR="00000000" w:rsidDel="00000000" w:rsidP="00000000" w:rsidRDefault="00000000" w:rsidRPr="00000000" w14:paraId="00000372">
            <w:pPr>
              <w:spacing w:after="0" w:line="240" w:lineRule="auto"/>
              <w:jc w:val="right"/>
              <w:rPr>
                <w:sz w:val="20"/>
                <w:szCs w:val="20"/>
              </w:rPr>
            </w:pPr>
            <w:r w:rsidDel="00000000" w:rsidR="00000000" w:rsidRPr="00000000">
              <w:rPr>
                <w:sz w:val="20"/>
                <w:szCs w:val="20"/>
                <w:rtl w:val="0"/>
              </w:rPr>
              <w:t xml:space="preserve">1</w:t>
            </w:r>
          </w:p>
        </w:tc>
        <w:tc>
          <w:tcPr>
            <w:tcBorders>
              <w:top w:color="000000" w:space="0" w:sz="0" w:val="nil"/>
              <w:left w:color="000000" w:space="0" w:sz="4" w:val="single"/>
              <w:bottom w:color="000000" w:space="0" w:sz="0" w:val="nil"/>
              <w:right w:color="000000" w:space="0" w:sz="4" w:val="single"/>
            </w:tcBorders>
            <w:shd w:fill="e2efd9" w:val="clear"/>
          </w:tcPr>
          <w:p w:rsidR="00000000" w:rsidDel="00000000" w:rsidP="00000000" w:rsidRDefault="00000000" w:rsidRPr="00000000" w14:paraId="00000373">
            <w:pPr>
              <w:spacing w:after="0" w:line="240" w:lineRule="auto"/>
              <w:jc w:val="right"/>
              <w:rPr>
                <w:sz w:val="20"/>
                <w:szCs w:val="20"/>
              </w:rPr>
            </w:pPr>
            <w:r w:rsidDel="00000000" w:rsidR="00000000" w:rsidRPr="00000000">
              <w:rPr>
                <w:sz w:val="20"/>
                <w:szCs w:val="20"/>
                <w:rtl w:val="0"/>
              </w:rPr>
              <w:t xml:space="preserve">1</w:t>
            </w:r>
          </w:p>
        </w:tc>
        <w:tc>
          <w:tcPr>
            <w:tcBorders>
              <w:top w:color="000000" w:space="0" w:sz="0" w:val="nil"/>
              <w:left w:color="000000" w:space="0" w:sz="4" w:val="single"/>
              <w:bottom w:color="000000" w:space="0" w:sz="0" w:val="nil"/>
              <w:right w:color="000000" w:space="0" w:sz="4" w:val="single"/>
            </w:tcBorders>
            <w:shd w:fill="auto" w:val="clear"/>
          </w:tcPr>
          <w:p w:rsidR="00000000" w:rsidDel="00000000" w:rsidP="00000000" w:rsidRDefault="00000000" w:rsidRPr="00000000" w14:paraId="00000374">
            <w:pPr>
              <w:spacing w:after="0" w:line="240" w:lineRule="auto"/>
              <w:jc w:val="right"/>
              <w:rPr>
                <w:rFonts w:ascii="Times New Roman" w:cs="Times New Roman" w:eastAsia="Times New Roman" w:hAnsi="Times New Roman"/>
                <w:sz w:val="18"/>
                <w:szCs w:val="18"/>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shd w:fill="auto" w:val="clear"/>
          </w:tcPr>
          <w:p w:rsidR="00000000" w:rsidDel="00000000" w:rsidP="00000000" w:rsidRDefault="00000000" w:rsidRPr="00000000" w14:paraId="00000375">
            <w:pPr>
              <w:spacing w:after="0" w:line="240" w:lineRule="auto"/>
              <w:jc w:val="right"/>
              <w:rPr>
                <w:rFonts w:ascii="Times New Roman" w:cs="Times New Roman" w:eastAsia="Times New Roman" w:hAnsi="Times New Roman"/>
                <w:sz w:val="18"/>
                <w:szCs w:val="18"/>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shd w:fill="e2efd9" w:val="clear"/>
          </w:tcPr>
          <w:p w:rsidR="00000000" w:rsidDel="00000000" w:rsidP="00000000" w:rsidRDefault="00000000" w:rsidRPr="00000000" w14:paraId="00000376">
            <w:pPr>
              <w:spacing w:after="0" w:line="240" w:lineRule="auto"/>
              <w:jc w:val="right"/>
              <w:rPr>
                <w:rFonts w:ascii="Times New Roman" w:cs="Times New Roman" w:eastAsia="Times New Roman" w:hAnsi="Times New Roman"/>
                <w:sz w:val="18"/>
                <w:szCs w:val="18"/>
              </w:rPr>
            </w:pPr>
            <w:r w:rsidDel="00000000" w:rsidR="00000000" w:rsidRPr="00000000">
              <w:rPr>
                <w:sz w:val="20"/>
                <w:szCs w:val="20"/>
                <w:rtl w:val="0"/>
              </w:rPr>
              <w:t xml:space="preserve">1</w:t>
            </w: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shd w:fill="auto" w:val="clear"/>
          </w:tcPr>
          <w:p w:rsidR="00000000" w:rsidDel="00000000" w:rsidP="00000000" w:rsidRDefault="00000000" w:rsidRPr="00000000" w14:paraId="00000377">
            <w:pPr>
              <w:spacing w:after="0" w:line="240" w:lineRule="auto"/>
              <w:jc w:val="right"/>
              <w:rPr>
                <w:rFonts w:ascii="Times New Roman" w:cs="Times New Roman" w:eastAsia="Times New Roman" w:hAnsi="Times New Roman"/>
                <w:sz w:val="18"/>
                <w:szCs w:val="18"/>
              </w:rPr>
            </w:pPr>
            <w:r w:rsidDel="00000000" w:rsidR="00000000" w:rsidRPr="00000000">
              <w:rPr>
                <w:rtl w:val="0"/>
              </w:rPr>
            </w:r>
          </w:p>
        </w:tc>
      </w:tr>
      <w:tr>
        <w:trPr>
          <w:cantSplit w:val="0"/>
          <w:trHeight w:val="300" w:hRule="atLeast"/>
          <w:tblHeader w:val="0"/>
        </w:trPr>
        <w:tc>
          <w:tcPr>
            <w:tcBorders>
              <w:top w:color="000000" w:space="0" w:sz="0" w:val="nil"/>
              <w:bottom w:color="000000" w:space="0" w:sz="0" w:val="nil"/>
              <w:right w:color="000000" w:space="0" w:sz="4" w:val="single"/>
            </w:tcBorders>
            <w:shd w:fill="auto" w:val="clear"/>
          </w:tcPr>
          <w:p w:rsidR="00000000" w:rsidDel="00000000" w:rsidP="00000000" w:rsidRDefault="00000000" w:rsidRPr="00000000" w14:paraId="00000378">
            <w:pPr>
              <w:spacing w:after="0" w:line="240" w:lineRule="auto"/>
              <w:rPr>
                <w:sz w:val="20"/>
                <w:szCs w:val="20"/>
              </w:rPr>
            </w:pPr>
            <w:r w:rsidDel="00000000" w:rsidR="00000000" w:rsidRPr="00000000">
              <w:rPr>
                <w:sz w:val="20"/>
                <w:szCs w:val="20"/>
                <w:rtl w:val="0"/>
              </w:rPr>
              <w:t xml:space="preserve">H5a1c1a</w:t>
            </w:r>
          </w:p>
        </w:tc>
        <w:tc>
          <w:tcPr>
            <w:tcBorders>
              <w:top w:color="000000" w:space="0" w:sz="0" w:val="nil"/>
              <w:left w:color="000000" w:space="0" w:sz="4" w:val="single"/>
              <w:bottom w:color="000000" w:space="0" w:sz="0" w:val="nil"/>
              <w:right w:color="000000" w:space="0" w:sz="4" w:val="single"/>
            </w:tcBorders>
            <w:shd w:fill="e2efda" w:val="clear"/>
          </w:tcPr>
          <w:p w:rsidR="00000000" w:rsidDel="00000000" w:rsidP="00000000" w:rsidRDefault="00000000" w:rsidRPr="00000000" w14:paraId="00000379">
            <w:pPr>
              <w:spacing w:after="0" w:line="240" w:lineRule="auto"/>
              <w:jc w:val="right"/>
              <w:rPr>
                <w:b w:val="1"/>
                <w:sz w:val="20"/>
                <w:szCs w:val="20"/>
              </w:rPr>
            </w:pPr>
            <w:r w:rsidDel="00000000" w:rsidR="00000000" w:rsidRPr="00000000">
              <w:rPr>
                <w:b w:val="1"/>
                <w:sz w:val="20"/>
                <w:szCs w:val="20"/>
                <w:rtl w:val="0"/>
              </w:rPr>
              <w:t xml:space="preserve">2</w:t>
            </w:r>
          </w:p>
        </w:tc>
        <w:tc>
          <w:tcPr>
            <w:tcBorders>
              <w:top w:color="000000" w:space="0" w:sz="0" w:val="nil"/>
              <w:left w:color="000000" w:space="0" w:sz="4" w:val="single"/>
              <w:bottom w:color="000000" w:space="0" w:sz="0" w:val="nil"/>
              <w:right w:color="000000" w:space="0" w:sz="4" w:val="single"/>
            </w:tcBorders>
            <w:shd w:fill="e2efd9" w:val="clear"/>
          </w:tcPr>
          <w:p w:rsidR="00000000" w:rsidDel="00000000" w:rsidP="00000000" w:rsidRDefault="00000000" w:rsidRPr="00000000" w14:paraId="0000037A">
            <w:pPr>
              <w:spacing w:after="0" w:line="240" w:lineRule="auto"/>
              <w:jc w:val="right"/>
              <w:rPr>
                <w:sz w:val="20"/>
                <w:szCs w:val="20"/>
              </w:rPr>
            </w:pPr>
            <w:r w:rsidDel="00000000" w:rsidR="00000000" w:rsidRPr="00000000">
              <w:rPr>
                <w:sz w:val="20"/>
                <w:szCs w:val="20"/>
                <w:rtl w:val="0"/>
              </w:rPr>
              <w:t xml:space="preserve">1</w:t>
            </w:r>
          </w:p>
        </w:tc>
        <w:tc>
          <w:tcPr>
            <w:tcBorders>
              <w:top w:color="000000" w:space="0" w:sz="0" w:val="nil"/>
              <w:left w:color="000000" w:space="0" w:sz="4" w:val="single"/>
              <w:bottom w:color="000000" w:space="0" w:sz="0" w:val="nil"/>
              <w:right w:color="000000" w:space="0" w:sz="4" w:val="single"/>
            </w:tcBorders>
            <w:shd w:fill="auto" w:val="clear"/>
          </w:tcPr>
          <w:p w:rsidR="00000000" w:rsidDel="00000000" w:rsidP="00000000" w:rsidRDefault="00000000" w:rsidRPr="00000000" w14:paraId="0000037B">
            <w:pPr>
              <w:spacing w:after="0" w:line="240" w:lineRule="auto"/>
              <w:jc w:val="right"/>
              <w:rPr>
                <w:sz w:val="20"/>
                <w:szCs w:val="20"/>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shd w:fill="auto" w:val="clear"/>
          </w:tcPr>
          <w:p w:rsidR="00000000" w:rsidDel="00000000" w:rsidP="00000000" w:rsidRDefault="00000000" w:rsidRPr="00000000" w14:paraId="0000037C">
            <w:pPr>
              <w:spacing w:after="0" w:line="240" w:lineRule="auto"/>
              <w:jc w:val="right"/>
              <w:rPr>
                <w:rFonts w:ascii="Times New Roman" w:cs="Times New Roman" w:eastAsia="Times New Roman" w:hAnsi="Times New Roman"/>
                <w:sz w:val="18"/>
                <w:szCs w:val="18"/>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shd w:fill="auto" w:val="clear"/>
          </w:tcPr>
          <w:p w:rsidR="00000000" w:rsidDel="00000000" w:rsidP="00000000" w:rsidRDefault="00000000" w:rsidRPr="00000000" w14:paraId="0000037D">
            <w:pPr>
              <w:spacing w:after="0" w:line="240" w:lineRule="auto"/>
              <w:jc w:val="right"/>
              <w:rPr>
                <w:rFonts w:ascii="Times New Roman" w:cs="Times New Roman" w:eastAsia="Times New Roman" w:hAnsi="Times New Roman"/>
                <w:sz w:val="18"/>
                <w:szCs w:val="18"/>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shd w:fill="e2efd9" w:val="clear"/>
          </w:tcPr>
          <w:p w:rsidR="00000000" w:rsidDel="00000000" w:rsidP="00000000" w:rsidRDefault="00000000" w:rsidRPr="00000000" w14:paraId="0000037E">
            <w:pPr>
              <w:spacing w:after="0" w:line="240" w:lineRule="auto"/>
              <w:jc w:val="right"/>
              <w:rPr>
                <w:rFonts w:ascii="Times New Roman" w:cs="Times New Roman" w:eastAsia="Times New Roman" w:hAnsi="Times New Roman"/>
                <w:sz w:val="18"/>
                <w:szCs w:val="18"/>
              </w:rPr>
            </w:pPr>
            <w:r w:rsidDel="00000000" w:rsidR="00000000" w:rsidRPr="00000000">
              <w:rPr>
                <w:sz w:val="20"/>
                <w:szCs w:val="20"/>
                <w:rtl w:val="0"/>
              </w:rPr>
              <w:t xml:space="preserve">1</w:t>
            </w: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shd w:fill="auto" w:val="clear"/>
          </w:tcPr>
          <w:p w:rsidR="00000000" w:rsidDel="00000000" w:rsidP="00000000" w:rsidRDefault="00000000" w:rsidRPr="00000000" w14:paraId="0000037F">
            <w:pPr>
              <w:spacing w:after="0" w:line="240" w:lineRule="auto"/>
              <w:jc w:val="right"/>
              <w:rPr>
                <w:rFonts w:ascii="Times New Roman" w:cs="Times New Roman" w:eastAsia="Times New Roman" w:hAnsi="Times New Roman"/>
                <w:sz w:val="18"/>
                <w:szCs w:val="18"/>
              </w:rPr>
            </w:pPr>
            <w:r w:rsidDel="00000000" w:rsidR="00000000" w:rsidRPr="00000000">
              <w:rPr>
                <w:rtl w:val="0"/>
              </w:rPr>
            </w:r>
          </w:p>
        </w:tc>
      </w:tr>
      <w:tr>
        <w:trPr>
          <w:cantSplit w:val="0"/>
          <w:trHeight w:val="300" w:hRule="atLeast"/>
          <w:tblHeader w:val="0"/>
        </w:trPr>
        <w:tc>
          <w:tcPr>
            <w:tcBorders>
              <w:top w:color="000000" w:space="0" w:sz="0" w:val="nil"/>
              <w:bottom w:color="000000" w:space="0" w:sz="0" w:val="nil"/>
              <w:right w:color="000000" w:space="0" w:sz="4" w:val="single"/>
            </w:tcBorders>
            <w:shd w:fill="auto" w:val="clear"/>
          </w:tcPr>
          <w:p w:rsidR="00000000" w:rsidDel="00000000" w:rsidP="00000000" w:rsidRDefault="00000000" w:rsidRPr="00000000" w14:paraId="00000380">
            <w:pPr>
              <w:spacing w:after="0" w:line="240" w:lineRule="auto"/>
              <w:rPr>
                <w:sz w:val="20"/>
                <w:szCs w:val="20"/>
              </w:rPr>
            </w:pPr>
            <w:r w:rsidDel="00000000" w:rsidR="00000000" w:rsidRPr="00000000">
              <w:rPr>
                <w:sz w:val="20"/>
                <w:szCs w:val="20"/>
                <w:rtl w:val="0"/>
              </w:rPr>
              <w:t xml:space="preserve">H5b</w:t>
            </w:r>
          </w:p>
        </w:tc>
        <w:tc>
          <w:tcPr>
            <w:tcBorders>
              <w:top w:color="000000" w:space="0" w:sz="0" w:val="nil"/>
              <w:left w:color="000000" w:space="0" w:sz="4" w:val="single"/>
              <w:bottom w:color="000000" w:space="0" w:sz="0" w:val="nil"/>
              <w:right w:color="000000" w:space="0" w:sz="4" w:val="single"/>
            </w:tcBorders>
            <w:shd w:fill="e2efda" w:val="clear"/>
          </w:tcPr>
          <w:p w:rsidR="00000000" w:rsidDel="00000000" w:rsidP="00000000" w:rsidRDefault="00000000" w:rsidRPr="00000000" w14:paraId="00000381">
            <w:pPr>
              <w:spacing w:after="0" w:line="240" w:lineRule="auto"/>
              <w:jc w:val="right"/>
              <w:rPr>
                <w:b w:val="1"/>
                <w:sz w:val="20"/>
                <w:szCs w:val="20"/>
              </w:rPr>
            </w:pPr>
            <w:r w:rsidDel="00000000" w:rsidR="00000000" w:rsidRPr="00000000">
              <w:rPr>
                <w:b w:val="1"/>
                <w:sz w:val="20"/>
                <w:szCs w:val="20"/>
                <w:rtl w:val="0"/>
              </w:rPr>
              <w:t xml:space="preserve">1</w:t>
            </w:r>
          </w:p>
        </w:tc>
        <w:tc>
          <w:tcPr>
            <w:tcBorders>
              <w:top w:color="000000" w:space="0" w:sz="0" w:val="nil"/>
              <w:left w:color="000000" w:space="0" w:sz="4" w:val="single"/>
              <w:bottom w:color="000000" w:space="0" w:sz="0" w:val="nil"/>
              <w:right w:color="000000" w:space="0" w:sz="4" w:val="single"/>
            </w:tcBorders>
            <w:shd w:fill="e2efd9" w:val="clear"/>
          </w:tcPr>
          <w:p w:rsidR="00000000" w:rsidDel="00000000" w:rsidP="00000000" w:rsidRDefault="00000000" w:rsidRPr="00000000" w14:paraId="00000382">
            <w:pPr>
              <w:spacing w:after="0" w:line="240" w:lineRule="auto"/>
              <w:jc w:val="right"/>
              <w:rPr>
                <w:sz w:val="20"/>
                <w:szCs w:val="20"/>
              </w:rPr>
            </w:pPr>
            <w:r w:rsidDel="00000000" w:rsidR="00000000" w:rsidRPr="00000000">
              <w:rPr>
                <w:sz w:val="20"/>
                <w:szCs w:val="20"/>
                <w:rtl w:val="0"/>
              </w:rPr>
              <w:t xml:space="preserve">1</w:t>
            </w:r>
          </w:p>
        </w:tc>
        <w:tc>
          <w:tcPr>
            <w:tcBorders>
              <w:top w:color="000000" w:space="0" w:sz="0" w:val="nil"/>
              <w:left w:color="000000" w:space="0" w:sz="4" w:val="single"/>
              <w:bottom w:color="000000" w:space="0" w:sz="0" w:val="nil"/>
              <w:right w:color="000000" w:space="0" w:sz="4" w:val="single"/>
            </w:tcBorders>
            <w:shd w:fill="auto" w:val="clear"/>
          </w:tcPr>
          <w:p w:rsidR="00000000" w:rsidDel="00000000" w:rsidP="00000000" w:rsidRDefault="00000000" w:rsidRPr="00000000" w14:paraId="00000383">
            <w:pPr>
              <w:spacing w:after="0" w:line="240" w:lineRule="auto"/>
              <w:jc w:val="right"/>
              <w:rPr>
                <w:sz w:val="20"/>
                <w:szCs w:val="20"/>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shd w:fill="auto" w:val="clear"/>
          </w:tcPr>
          <w:p w:rsidR="00000000" w:rsidDel="00000000" w:rsidP="00000000" w:rsidRDefault="00000000" w:rsidRPr="00000000" w14:paraId="00000384">
            <w:pPr>
              <w:spacing w:after="0" w:line="240" w:lineRule="auto"/>
              <w:jc w:val="right"/>
              <w:rPr>
                <w:rFonts w:ascii="Times New Roman" w:cs="Times New Roman" w:eastAsia="Times New Roman" w:hAnsi="Times New Roman"/>
                <w:sz w:val="18"/>
                <w:szCs w:val="18"/>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shd w:fill="auto" w:val="clear"/>
          </w:tcPr>
          <w:p w:rsidR="00000000" w:rsidDel="00000000" w:rsidP="00000000" w:rsidRDefault="00000000" w:rsidRPr="00000000" w14:paraId="00000385">
            <w:pPr>
              <w:spacing w:after="0" w:line="240" w:lineRule="auto"/>
              <w:jc w:val="right"/>
              <w:rPr>
                <w:rFonts w:ascii="Times New Roman" w:cs="Times New Roman" w:eastAsia="Times New Roman" w:hAnsi="Times New Roman"/>
                <w:sz w:val="18"/>
                <w:szCs w:val="18"/>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tcPr>
          <w:p w:rsidR="00000000" w:rsidDel="00000000" w:rsidP="00000000" w:rsidRDefault="00000000" w:rsidRPr="00000000" w14:paraId="00000386">
            <w:pPr>
              <w:spacing w:after="0" w:line="240" w:lineRule="auto"/>
              <w:jc w:val="right"/>
              <w:rPr>
                <w:rFonts w:ascii="Times New Roman" w:cs="Times New Roman" w:eastAsia="Times New Roman" w:hAnsi="Times New Roman"/>
                <w:sz w:val="18"/>
                <w:szCs w:val="18"/>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shd w:fill="auto" w:val="clear"/>
          </w:tcPr>
          <w:p w:rsidR="00000000" w:rsidDel="00000000" w:rsidP="00000000" w:rsidRDefault="00000000" w:rsidRPr="00000000" w14:paraId="00000387">
            <w:pPr>
              <w:spacing w:after="0" w:line="240" w:lineRule="auto"/>
              <w:jc w:val="right"/>
              <w:rPr>
                <w:rFonts w:ascii="Times New Roman" w:cs="Times New Roman" w:eastAsia="Times New Roman" w:hAnsi="Times New Roman"/>
                <w:sz w:val="18"/>
                <w:szCs w:val="18"/>
              </w:rPr>
            </w:pPr>
            <w:r w:rsidDel="00000000" w:rsidR="00000000" w:rsidRPr="00000000">
              <w:rPr>
                <w:rtl w:val="0"/>
              </w:rPr>
            </w:r>
          </w:p>
        </w:tc>
      </w:tr>
      <w:tr>
        <w:trPr>
          <w:cantSplit w:val="0"/>
          <w:trHeight w:val="300" w:hRule="atLeast"/>
          <w:tblHeader w:val="0"/>
        </w:trPr>
        <w:tc>
          <w:tcPr>
            <w:tcBorders>
              <w:top w:color="000000" w:space="0" w:sz="0" w:val="nil"/>
              <w:bottom w:color="000000" w:space="0" w:sz="0" w:val="nil"/>
              <w:right w:color="000000" w:space="0" w:sz="4" w:val="single"/>
            </w:tcBorders>
            <w:shd w:fill="auto" w:val="clear"/>
          </w:tcPr>
          <w:p w:rsidR="00000000" w:rsidDel="00000000" w:rsidP="00000000" w:rsidRDefault="00000000" w:rsidRPr="00000000" w14:paraId="00000388">
            <w:pPr>
              <w:spacing w:after="0" w:line="240" w:lineRule="auto"/>
              <w:rPr>
                <w:sz w:val="20"/>
                <w:szCs w:val="20"/>
              </w:rPr>
            </w:pPr>
            <w:r w:rsidDel="00000000" w:rsidR="00000000" w:rsidRPr="00000000">
              <w:rPr>
                <w:sz w:val="20"/>
                <w:szCs w:val="20"/>
                <w:rtl w:val="0"/>
              </w:rPr>
              <w:t xml:space="preserve">H5b1</w:t>
            </w:r>
          </w:p>
        </w:tc>
        <w:tc>
          <w:tcPr>
            <w:tcBorders>
              <w:top w:color="000000" w:space="0" w:sz="0" w:val="nil"/>
              <w:left w:color="000000" w:space="0" w:sz="4" w:val="single"/>
              <w:bottom w:color="000000" w:space="0" w:sz="0" w:val="nil"/>
              <w:right w:color="000000" w:space="0" w:sz="4" w:val="single"/>
            </w:tcBorders>
            <w:shd w:fill="e2efda" w:val="clear"/>
          </w:tcPr>
          <w:p w:rsidR="00000000" w:rsidDel="00000000" w:rsidP="00000000" w:rsidRDefault="00000000" w:rsidRPr="00000000" w14:paraId="00000389">
            <w:pPr>
              <w:spacing w:after="0" w:line="240" w:lineRule="auto"/>
              <w:jc w:val="right"/>
              <w:rPr>
                <w:b w:val="1"/>
                <w:sz w:val="20"/>
                <w:szCs w:val="20"/>
              </w:rPr>
            </w:pPr>
            <w:r w:rsidDel="00000000" w:rsidR="00000000" w:rsidRPr="00000000">
              <w:rPr>
                <w:b w:val="1"/>
                <w:sz w:val="20"/>
                <w:szCs w:val="20"/>
                <w:rtl w:val="0"/>
              </w:rPr>
              <w:t xml:space="preserve">1</w:t>
            </w:r>
          </w:p>
        </w:tc>
        <w:tc>
          <w:tcPr>
            <w:tcBorders>
              <w:top w:color="000000" w:space="0" w:sz="0" w:val="nil"/>
              <w:left w:color="000000" w:space="0" w:sz="4" w:val="single"/>
              <w:bottom w:color="000000" w:space="0" w:sz="0" w:val="nil"/>
              <w:right w:color="000000" w:space="0" w:sz="4" w:val="single"/>
            </w:tcBorders>
            <w:shd w:fill="e2efd9" w:val="clear"/>
          </w:tcPr>
          <w:p w:rsidR="00000000" w:rsidDel="00000000" w:rsidP="00000000" w:rsidRDefault="00000000" w:rsidRPr="00000000" w14:paraId="0000038A">
            <w:pPr>
              <w:spacing w:after="0" w:line="240" w:lineRule="auto"/>
              <w:jc w:val="right"/>
              <w:rPr>
                <w:sz w:val="20"/>
                <w:szCs w:val="20"/>
              </w:rPr>
            </w:pPr>
            <w:r w:rsidDel="00000000" w:rsidR="00000000" w:rsidRPr="00000000">
              <w:rPr>
                <w:sz w:val="20"/>
                <w:szCs w:val="20"/>
                <w:rtl w:val="0"/>
              </w:rPr>
              <w:t xml:space="preserve">1</w:t>
            </w:r>
          </w:p>
        </w:tc>
        <w:tc>
          <w:tcPr>
            <w:tcBorders>
              <w:top w:color="000000" w:space="0" w:sz="0" w:val="nil"/>
              <w:left w:color="000000" w:space="0" w:sz="4" w:val="single"/>
              <w:bottom w:color="000000" w:space="0" w:sz="0" w:val="nil"/>
              <w:right w:color="000000" w:space="0" w:sz="4" w:val="single"/>
            </w:tcBorders>
            <w:shd w:fill="auto" w:val="clear"/>
          </w:tcPr>
          <w:p w:rsidR="00000000" w:rsidDel="00000000" w:rsidP="00000000" w:rsidRDefault="00000000" w:rsidRPr="00000000" w14:paraId="0000038B">
            <w:pPr>
              <w:spacing w:after="0" w:line="240" w:lineRule="auto"/>
              <w:jc w:val="right"/>
              <w:rPr>
                <w:sz w:val="20"/>
                <w:szCs w:val="20"/>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shd w:fill="auto" w:val="clear"/>
          </w:tcPr>
          <w:p w:rsidR="00000000" w:rsidDel="00000000" w:rsidP="00000000" w:rsidRDefault="00000000" w:rsidRPr="00000000" w14:paraId="0000038C">
            <w:pPr>
              <w:spacing w:after="0" w:line="240" w:lineRule="auto"/>
              <w:jc w:val="right"/>
              <w:rPr>
                <w:rFonts w:ascii="Times New Roman" w:cs="Times New Roman" w:eastAsia="Times New Roman" w:hAnsi="Times New Roman"/>
                <w:sz w:val="18"/>
                <w:szCs w:val="18"/>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shd w:fill="auto" w:val="clear"/>
          </w:tcPr>
          <w:p w:rsidR="00000000" w:rsidDel="00000000" w:rsidP="00000000" w:rsidRDefault="00000000" w:rsidRPr="00000000" w14:paraId="0000038D">
            <w:pPr>
              <w:spacing w:after="0" w:line="240" w:lineRule="auto"/>
              <w:jc w:val="right"/>
              <w:rPr>
                <w:rFonts w:ascii="Times New Roman" w:cs="Times New Roman" w:eastAsia="Times New Roman" w:hAnsi="Times New Roman"/>
                <w:sz w:val="18"/>
                <w:szCs w:val="18"/>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tcPr>
          <w:p w:rsidR="00000000" w:rsidDel="00000000" w:rsidP="00000000" w:rsidRDefault="00000000" w:rsidRPr="00000000" w14:paraId="0000038E">
            <w:pPr>
              <w:spacing w:after="0" w:line="240" w:lineRule="auto"/>
              <w:jc w:val="right"/>
              <w:rPr>
                <w:rFonts w:ascii="Times New Roman" w:cs="Times New Roman" w:eastAsia="Times New Roman" w:hAnsi="Times New Roman"/>
                <w:sz w:val="18"/>
                <w:szCs w:val="18"/>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shd w:fill="auto" w:val="clear"/>
          </w:tcPr>
          <w:p w:rsidR="00000000" w:rsidDel="00000000" w:rsidP="00000000" w:rsidRDefault="00000000" w:rsidRPr="00000000" w14:paraId="0000038F">
            <w:pPr>
              <w:spacing w:after="0" w:line="240" w:lineRule="auto"/>
              <w:jc w:val="right"/>
              <w:rPr>
                <w:rFonts w:ascii="Times New Roman" w:cs="Times New Roman" w:eastAsia="Times New Roman" w:hAnsi="Times New Roman"/>
                <w:sz w:val="18"/>
                <w:szCs w:val="18"/>
              </w:rPr>
            </w:pPr>
            <w:r w:rsidDel="00000000" w:rsidR="00000000" w:rsidRPr="00000000">
              <w:rPr>
                <w:rtl w:val="0"/>
              </w:rPr>
            </w:r>
          </w:p>
        </w:tc>
      </w:tr>
      <w:tr>
        <w:trPr>
          <w:cantSplit w:val="0"/>
          <w:trHeight w:val="300" w:hRule="atLeast"/>
          <w:tblHeader w:val="0"/>
        </w:trPr>
        <w:tc>
          <w:tcPr>
            <w:tcBorders>
              <w:top w:color="000000" w:space="0" w:sz="0" w:val="nil"/>
              <w:bottom w:color="000000" w:space="0" w:sz="0" w:val="nil"/>
              <w:right w:color="000000" w:space="0" w:sz="4" w:val="single"/>
            </w:tcBorders>
            <w:shd w:fill="auto" w:val="clear"/>
          </w:tcPr>
          <w:p w:rsidR="00000000" w:rsidDel="00000000" w:rsidP="00000000" w:rsidRDefault="00000000" w:rsidRPr="00000000" w14:paraId="00000390">
            <w:pPr>
              <w:spacing w:after="0" w:line="240" w:lineRule="auto"/>
              <w:rPr>
                <w:sz w:val="20"/>
                <w:szCs w:val="20"/>
              </w:rPr>
            </w:pPr>
            <w:r w:rsidDel="00000000" w:rsidR="00000000" w:rsidRPr="00000000">
              <w:rPr>
                <w:sz w:val="20"/>
                <w:szCs w:val="20"/>
                <w:rtl w:val="0"/>
              </w:rPr>
              <w:t xml:space="preserve">H6a1b3</w:t>
            </w:r>
          </w:p>
        </w:tc>
        <w:tc>
          <w:tcPr>
            <w:tcBorders>
              <w:top w:color="000000" w:space="0" w:sz="0" w:val="nil"/>
              <w:left w:color="000000" w:space="0" w:sz="4" w:val="single"/>
              <w:bottom w:color="000000" w:space="0" w:sz="0" w:val="nil"/>
              <w:right w:color="000000" w:space="0" w:sz="4" w:val="single"/>
            </w:tcBorders>
            <w:shd w:fill="e2efda" w:val="clear"/>
          </w:tcPr>
          <w:p w:rsidR="00000000" w:rsidDel="00000000" w:rsidP="00000000" w:rsidRDefault="00000000" w:rsidRPr="00000000" w14:paraId="00000391">
            <w:pPr>
              <w:spacing w:after="0" w:line="240" w:lineRule="auto"/>
              <w:jc w:val="right"/>
              <w:rPr>
                <w:b w:val="1"/>
                <w:sz w:val="20"/>
                <w:szCs w:val="20"/>
              </w:rPr>
            </w:pPr>
            <w:r w:rsidDel="00000000" w:rsidR="00000000" w:rsidRPr="00000000">
              <w:rPr>
                <w:b w:val="1"/>
                <w:sz w:val="20"/>
                <w:szCs w:val="20"/>
                <w:rtl w:val="0"/>
              </w:rPr>
              <w:t xml:space="preserve">2</w:t>
            </w:r>
          </w:p>
        </w:tc>
        <w:tc>
          <w:tcPr>
            <w:tcBorders>
              <w:top w:color="000000" w:space="0" w:sz="0" w:val="nil"/>
              <w:left w:color="000000" w:space="0" w:sz="4" w:val="single"/>
              <w:bottom w:color="000000" w:space="0" w:sz="0" w:val="nil"/>
              <w:right w:color="000000" w:space="0" w:sz="4" w:val="single"/>
            </w:tcBorders>
            <w:shd w:fill="e2efd9" w:val="clear"/>
          </w:tcPr>
          <w:p w:rsidR="00000000" w:rsidDel="00000000" w:rsidP="00000000" w:rsidRDefault="00000000" w:rsidRPr="00000000" w14:paraId="00000392">
            <w:pPr>
              <w:spacing w:after="0" w:line="240" w:lineRule="auto"/>
              <w:jc w:val="right"/>
              <w:rPr>
                <w:sz w:val="20"/>
                <w:szCs w:val="20"/>
              </w:rPr>
            </w:pPr>
            <w:r w:rsidDel="00000000" w:rsidR="00000000" w:rsidRPr="00000000">
              <w:rPr>
                <w:sz w:val="20"/>
                <w:szCs w:val="20"/>
                <w:rtl w:val="0"/>
              </w:rPr>
              <w:t xml:space="preserve">1</w:t>
            </w:r>
          </w:p>
        </w:tc>
        <w:tc>
          <w:tcPr>
            <w:tcBorders>
              <w:top w:color="000000" w:space="0" w:sz="0" w:val="nil"/>
              <w:left w:color="000000" w:space="0" w:sz="4" w:val="single"/>
              <w:bottom w:color="000000" w:space="0" w:sz="0" w:val="nil"/>
              <w:right w:color="000000" w:space="0" w:sz="4" w:val="single"/>
            </w:tcBorders>
            <w:shd w:fill="auto" w:val="clear"/>
          </w:tcPr>
          <w:p w:rsidR="00000000" w:rsidDel="00000000" w:rsidP="00000000" w:rsidRDefault="00000000" w:rsidRPr="00000000" w14:paraId="00000393">
            <w:pPr>
              <w:spacing w:after="0" w:line="240" w:lineRule="auto"/>
              <w:jc w:val="right"/>
              <w:rPr>
                <w:sz w:val="20"/>
                <w:szCs w:val="20"/>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shd w:fill="auto" w:val="clear"/>
          </w:tcPr>
          <w:p w:rsidR="00000000" w:rsidDel="00000000" w:rsidP="00000000" w:rsidRDefault="00000000" w:rsidRPr="00000000" w14:paraId="00000394">
            <w:pPr>
              <w:spacing w:after="0" w:line="240" w:lineRule="auto"/>
              <w:jc w:val="right"/>
              <w:rPr>
                <w:sz w:val="20"/>
                <w:szCs w:val="20"/>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shd w:fill="auto" w:val="clear"/>
          </w:tcPr>
          <w:p w:rsidR="00000000" w:rsidDel="00000000" w:rsidP="00000000" w:rsidRDefault="00000000" w:rsidRPr="00000000" w14:paraId="00000395">
            <w:pPr>
              <w:spacing w:after="0" w:line="240" w:lineRule="auto"/>
              <w:jc w:val="right"/>
              <w:rPr>
                <w:rFonts w:ascii="Times New Roman" w:cs="Times New Roman" w:eastAsia="Times New Roman" w:hAnsi="Times New Roman"/>
                <w:sz w:val="18"/>
                <w:szCs w:val="18"/>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tcPr>
          <w:p w:rsidR="00000000" w:rsidDel="00000000" w:rsidP="00000000" w:rsidRDefault="00000000" w:rsidRPr="00000000" w14:paraId="00000396">
            <w:pPr>
              <w:spacing w:after="0" w:line="240" w:lineRule="auto"/>
              <w:jc w:val="right"/>
              <w:rPr>
                <w:rFonts w:ascii="Times New Roman" w:cs="Times New Roman" w:eastAsia="Times New Roman" w:hAnsi="Times New Roman"/>
                <w:sz w:val="18"/>
                <w:szCs w:val="18"/>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shd w:fill="auto" w:val="clear"/>
          </w:tcPr>
          <w:p w:rsidR="00000000" w:rsidDel="00000000" w:rsidP="00000000" w:rsidRDefault="00000000" w:rsidRPr="00000000" w14:paraId="00000397">
            <w:pPr>
              <w:spacing w:after="0" w:line="240" w:lineRule="auto"/>
              <w:jc w:val="right"/>
              <w:rPr>
                <w:rFonts w:ascii="Times New Roman" w:cs="Times New Roman" w:eastAsia="Times New Roman" w:hAnsi="Times New Roman"/>
                <w:sz w:val="18"/>
                <w:szCs w:val="18"/>
              </w:rPr>
            </w:pPr>
            <w:r w:rsidDel="00000000" w:rsidR="00000000" w:rsidRPr="00000000">
              <w:rPr>
                <w:rtl w:val="0"/>
              </w:rPr>
            </w:r>
          </w:p>
        </w:tc>
      </w:tr>
      <w:tr>
        <w:trPr>
          <w:cantSplit w:val="0"/>
          <w:trHeight w:val="300" w:hRule="atLeast"/>
          <w:tblHeader w:val="0"/>
        </w:trPr>
        <w:tc>
          <w:tcPr>
            <w:tcBorders>
              <w:top w:color="000000" w:space="0" w:sz="0" w:val="nil"/>
              <w:bottom w:color="000000" w:space="0" w:sz="0" w:val="nil"/>
              <w:right w:color="000000" w:space="0" w:sz="4" w:val="single"/>
            </w:tcBorders>
            <w:shd w:fill="auto" w:val="clear"/>
          </w:tcPr>
          <w:p w:rsidR="00000000" w:rsidDel="00000000" w:rsidP="00000000" w:rsidRDefault="00000000" w:rsidRPr="00000000" w14:paraId="00000398">
            <w:pPr>
              <w:spacing w:after="0" w:line="240" w:lineRule="auto"/>
              <w:rPr>
                <w:sz w:val="20"/>
                <w:szCs w:val="20"/>
              </w:rPr>
            </w:pPr>
            <w:r w:rsidDel="00000000" w:rsidR="00000000" w:rsidRPr="00000000">
              <w:rPr>
                <w:sz w:val="20"/>
                <w:szCs w:val="20"/>
                <w:rtl w:val="0"/>
              </w:rPr>
              <w:t xml:space="preserve">H11a2a</w:t>
            </w:r>
          </w:p>
        </w:tc>
        <w:tc>
          <w:tcPr>
            <w:tcBorders>
              <w:top w:color="000000" w:space="0" w:sz="0" w:val="nil"/>
              <w:left w:color="000000" w:space="0" w:sz="4" w:val="single"/>
              <w:bottom w:color="000000" w:space="0" w:sz="0" w:val="nil"/>
              <w:right w:color="000000" w:space="0" w:sz="4" w:val="single"/>
            </w:tcBorders>
            <w:shd w:fill="e2efda" w:val="clear"/>
          </w:tcPr>
          <w:p w:rsidR="00000000" w:rsidDel="00000000" w:rsidP="00000000" w:rsidRDefault="00000000" w:rsidRPr="00000000" w14:paraId="00000399">
            <w:pPr>
              <w:spacing w:after="0" w:line="240" w:lineRule="auto"/>
              <w:jc w:val="right"/>
              <w:rPr>
                <w:b w:val="1"/>
                <w:sz w:val="20"/>
                <w:szCs w:val="20"/>
              </w:rPr>
            </w:pPr>
            <w:r w:rsidDel="00000000" w:rsidR="00000000" w:rsidRPr="00000000">
              <w:rPr>
                <w:b w:val="1"/>
                <w:sz w:val="20"/>
                <w:szCs w:val="20"/>
                <w:rtl w:val="0"/>
              </w:rPr>
              <w:t xml:space="preserve">1</w:t>
            </w:r>
          </w:p>
        </w:tc>
        <w:tc>
          <w:tcPr>
            <w:tcBorders>
              <w:top w:color="000000" w:space="0" w:sz="0" w:val="nil"/>
              <w:left w:color="000000" w:space="0" w:sz="4" w:val="single"/>
              <w:bottom w:color="000000" w:space="0" w:sz="0" w:val="nil"/>
              <w:right w:color="000000" w:space="0" w:sz="4" w:val="single"/>
            </w:tcBorders>
            <w:shd w:fill="e2efd9" w:val="clear"/>
          </w:tcPr>
          <w:p w:rsidR="00000000" w:rsidDel="00000000" w:rsidP="00000000" w:rsidRDefault="00000000" w:rsidRPr="00000000" w14:paraId="0000039A">
            <w:pPr>
              <w:spacing w:after="0" w:line="240" w:lineRule="auto"/>
              <w:jc w:val="right"/>
              <w:rPr>
                <w:sz w:val="20"/>
                <w:szCs w:val="20"/>
              </w:rPr>
            </w:pPr>
            <w:r w:rsidDel="00000000" w:rsidR="00000000" w:rsidRPr="00000000">
              <w:rPr>
                <w:sz w:val="20"/>
                <w:szCs w:val="20"/>
                <w:rtl w:val="0"/>
              </w:rPr>
              <w:t xml:space="preserve">1</w:t>
            </w:r>
          </w:p>
        </w:tc>
        <w:tc>
          <w:tcPr>
            <w:tcBorders>
              <w:top w:color="000000" w:space="0" w:sz="0" w:val="nil"/>
              <w:left w:color="000000" w:space="0" w:sz="4" w:val="single"/>
              <w:bottom w:color="000000" w:space="0" w:sz="0" w:val="nil"/>
              <w:right w:color="000000" w:space="0" w:sz="4" w:val="single"/>
            </w:tcBorders>
            <w:shd w:fill="auto" w:val="clear"/>
          </w:tcPr>
          <w:p w:rsidR="00000000" w:rsidDel="00000000" w:rsidP="00000000" w:rsidRDefault="00000000" w:rsidRPr="00000000" w14:paraId="0000039B">
            <w:pPr>
              <w:spacing w:after="0" w:line="240" w:lineRule="auto"/>
              <w:jc w:val="right"/>
              <w:rPr>
                <w:sz w:val="20"/>
                <w:szCs w:val="20"/>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shd w:fill="auto" w:val="clear"/>
          </w:tcPr>
          <w:p w:rsidR="00000000" w:rsidDel="00000000" w:rsidP="00000000" w:rsidRDefault="00000000" w:rsidRPr="00000000" w14:paraId="0000039C">
            <w:pPr>
              <w:spacing w:after="0" w:line="240" w:lineRule="auto"/>
              <w:jc w:val="right"/>
              <w:rPr>
                <w:rFonts w:ascii="Times New Roman" w:cs="Times New Roman" w:eastAsia="Times New Roman" w:hAnsi="Times New Roman"/>
                <w:sz w:val="18"/>
                <w:szCs w:val="18"/>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shd w:fill="auto" w:val="clear"/>
          </w:tcPr>
          <w:p w:rsidR="00000000" w:rsidDel="00000000" w:rsidP="00000000" w:rsidRDefault="00000000" w:rsidRPr="00000000" w14:paraId="0000039D">
            <w:pPr>
              <w:spacing w:after="0" w:line="240" w:lineRule="auto"/>
              <w:jc w:val="right"/>
              <w:rPr>
                <w:rFonts w:ascii="Times New Roman" w:cs="Times New Roman" w:eastAsia="Times New Roman" w:hAnsi="Times New Roman"/>
                <w:sz w:val="18"/>
                <w:szCs w:val="18"/>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tcPr>
          <w:p w:rsidR="00000000" w:rsidDel="00000000" w:rsidP="00000000" w:rsidRDefault="00000000" w:rsidRPr="00000000" w14:paraId="0000039E">
            <w:pPr>
              <w:spacing w:after="0" w:line="240" w:lineRule="auto"/>
              <w:jc w:val="right"/>
              <w:rPr>
                <w:rFonts w:ascii="Times New Roman" w:cs="Times New Roman" w:eastAsia="Times New Roman" w:hAnsi="Times New Roman"/>
                <w:sz w:val="18"/>
                <w:szCs w:val="18"/>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shd w:fill="auto" w:val="clear"/>
          </w:tcPr>
          <w:p w:rsidR="00000000" w:rsidDel="00000000" w:rsidP="00000000" w:rsidRDefault="00000000" w:rsidRPr="00000000" w14:paraId="0000039F">
            <w:pPr>
              <w:spacing w:after="0" w:line="240" w:lineRule="auto"/>
              <w:jc w:val="right"/>
              <w:rPr>
                <w:rFonts w:ascii="Times New Roman" w:cs="Times New Roman" w:eastAsia="Times New Roman" w:hAnsi="Times New Roman"/>
                <w:sz w:val="18"/>
                <w:szCs w:val="18"/>
              </w:rPr>
            </w:pPr>
            <w:r w:rsidDel="00000000" w:rsidR="00000000" w:rsidRPr="00000000">
              <w:rPr>
                <w:rtl w:val="0"/>
              </w:rPr>
            </w:r>
          </w:p>
        </w:tc>
      </w:tr>
      <w:tr>
        <w:trPr>
          <w:cantSplit w:val="0"/>
          <w:trHeight w:val="300" w:hRule="atLeast"/>
          <w:tblHeader w:val="0"/>
        </w:trPr>
        <w:tc>
          <w:tcPr>
            <w:tcBorders>
              <w:top w:color="000000" w:space="0" w:sz="0" w:val="nil"/>
              <w:bottom w:color="000000" w:space="0" w:sz="0" w:val="nil"/>
              <w:right w:color="000000" w:space="0" w:sz="4" w:val="single"/>
            </w:tcBorders>
            <w:shd w:fill="auto" w:val="clear"/>
          </w:tcPr>
          <w:p w:rsidR="00000000" w:rsidDel="00000000" w:rsidP="00000000" w:rsidRDefault="00000000" w:rsidRPr="00000000" w14:paraId="000003A0">
            <w:pPr>
              <w:spacing w:after="0" w:line="240" w:lineRule="auto"/>
              <w:rPr>
                <w:sz w:val="20"/>
                <w:szCs w:val="20"/>
              </w:rPr>
            </w:pPr>
            <w:r w:rsidDel="00000000" w:rsidR="00000000" w:rsidRPr="00000000">
              <w:rPr>
                <w:sz w:val="20"/>
                <w:szCs w:val="20"/>
                <w:rtl w:val="0"/>
              </w:rPr>
              <w:t xml:space="preserve">H18b</w:t>
            </w:r>
          </w:p>
        </w:tc>
        <w:tc>
          <w:tcPr>
            <w:tcBorders>
              <w:top w:color="000000" w:space="0" w:sz="0" w:val="nil"/>
              <w:left w:color="000000" w:space="0" w:sz="4" w:val="single"/>
              <w:bottom w:color="000000" w:space="0" w:sz="0" w:val="nil"/>
              <w:right w:color="000000" w:space="0" w:sz="4" w:val="single"/>
            </w:tcBorders>
            <w:shd w:fill="e2efda" w:val="clear"/>
          </w:tcPr>
          <w:p w:rsidR="00000000" w:rsidDel="00000000" w:rsidP="00000000" w:rsidRDefault="00000000" w:rsidRPr="00000000" w14:paraId="000003A1">
            <w:pPr>
              <w:spacing w:after="0" w:line="240" w:lineRule="auto"/>
              <w:jc w:val="right"/>
              <w:rPr>
                <w:b w:val="1"/>
                <w:sz w:val="20"/>
                <w:szCs w:val="20"/>
              </w:rPr>
            </w:pPr>
            <w:r w:rsidDel="00000000" w:rsidR="00000000" w:rsidRPr="00000000">
              <w:rPr>
                <w:b w:val="1"/>
                <w:sz w:val="20"/>
                <w:szCs w:val="20"/>
                <w:rtl w:val="0"/>
              </w:rPr>
              <w:t xml:space="preserve">1</w:t>
            </w:r>
          </w:p>
        </w:tc>
        <w:tc>
          <w:tcPr>
            <w:tcBorders>
              <w:top w:color="000000" w:space="0" w:sz="0" w:val="nil"/>
              <w:left w:color="000000" w:space="0" w:sz="4" w:val="single"/>
              <w:bottom w:color="000000" w:space="0" w:sz="0" w:val="nil"/>
              <w:right w:color="000000" w:space="0" w:sz="4" w:val="single"/>
            </w:tcBorders>
            <w:shd w:fill="e2efd9" w:val="clear"/>
          </w:tcPr>
          <w:p w:rsidR="00000000" w:rsidDel="00000000" w:rsidP="00000000" w:rsidRDefault="00000000" w:rsidRPr="00000000" w14:paraId="000003A2">
            <w:pPr>
              <w:spacing w:after="0" w:line="240" w:lineRule="auto"/>
              <w:jc w:val="right"/>
              <w:rPr>
                <w:sz w:val="20"/>
                <w:szCs w:val="20"/>
              </w:rPr>
            </w:pPr>
            <w:r w:rsidDel="00000000" w:rsidR="00000000" w:rsidRPr="00000000">
              <w:rPr>
                <w:sz w:val="20"/>
                <w:szCs w:val="20"/>
                <w:rtl w:val="0"/>
              </w:rPr>
              <w:t xml:space="preserve">1</w:t>
            </w:r>
          </w:p>
        </w:tc>
        <w:tc>
          <w:tcPr>
            <w:tcBorders>
              <w:top w:color="000000" w:space="0" w:sz="0" w:val="nil"/>
              <w:left w:color="000000" w:space="0" w:sz="4" w:val="single"/>
              <w:bottom w:color="000000" w:space="0" w:sz="0" w:val="nil"/>
              <w:right w:color="000000" w:space="0" w:sz="4" w:val="single"/>
            </w:tcBorders>
            <w:shd w:fill="auto" w:val="clear"/>
          </w:tcPr>
          <w:p w:rsidR="00000000" w:rsidDel="00000000" w:rsidP="00000000" w:rsidRDefault="00000000" w:rsidRPr="00000000" w14:paraId="000003A3">
            <w:pPr>
              <w:spacing w:after="0" w:line="240" w:lineRule="auto"/>
              <w:jc w:val="right"/>
              <w:rPr>
                <w:sz w:val="20"/>
                <w:szCs w:val="20"/>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shd w:fill="auto" w:val="clear"/>
          </w:tcPr>
          <w:p w:rsidR="00000000" w:rsidDel="00000000" w:rsidP="00000000" w:rsidRDefault="00000000" w:rsidRPr="00000000" w14:paraId="000003A4">
            <w:pPr>
              <w:spacing w:after="0" w:line="240" w:lineRule="auto"/>
              <w:jc w:val="right"/>
              <w:rPr>
                <w:rFonts w:ascii="Times New Roman" w:cs="Times New Roman" w:eastAsia="Times New Roman" w:hAnsi="Times New Roman"/>
                <w:sz w:val="18"/>
                <w:szCs w:val="18"/>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shd w:fill="auto" w:val="clear"/>
          </w:tcPr>
          <w:p w:rsidR="00000000" w:rsidDel="00000000" w:rsidP="00000000" w:rsidRDefault="00000000" w:rsidRPr="00000000" w14:paraId="000003A5">
            <w:pPr>
              <w:spacing w:after="0" w:line="240" w:lineRule="auto"/>
              <w:jc w:val="right"/>
              <w:rPr>
                <w:rFonts w:ascii="Times New Roman" w:cs="Times New Roman" w:eastAsia="Times New Roman" w:hAnsi="Times New Roman"/>
                <w:sz w:val="18"/>
                <w:szCs w:val="18"/>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tcPr>
          <w:p w:rsidR="00000000" w:rsidDel="00000000" w:rsidP="00000000" w:rsidRDefault="00000000" w:rsidRPr="00000000" w14:paraId="000003A6">
            <w:pPr>
              <w:spacing w:after="0" w:line="240" w:lineRule="auto"/>
              <w:jc w:val="right"/>
              <w:rPr>
                <w:rFonts w:ascii="Times New Roman" w:cs="Times New Roman" w:eastAsia="Times New Roman" w:hAnsi="Times New Roman"/>
                <w:sz w:val="18"/>
                <w:szCs w:val="18"/>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shd w:fill="auto" w:val="clear"/>
          </w:tcPr>
          <w:p w:rsidR="00000000" w:rsidDel="00000000" w:rsidP="00000000" w:rsidRDefault="00000000" w:rsidRPr="00000000" w14:paraId="000003A7">
            <w:pPr>
              <w:spacing w:after="0" w:line="240" w:lineRule="auto"/>
              <w:jc w:val="right"/>
              <w:rPr>
                <w:rFonts w:ascii="Times New Roman" w:cs="Times New Roman" w:eastAsia="Times New Roman" w:hAnsi="Times New Roman"/>
                <w:sz w:val="18"/>
                <w:szCs w:val="18"/>
              </w:rPr>
            </w:pPr>
            <w:r w:rsidDel="00000000" w:rsidR="00000000" w:rsidRPr="00000000">
              <w:rPr>
                <w:rtl w:val="0"/>
              </w:rPr>
            </w:r>
          </w:p>
        </w:tc>
      </w:tr>
      <w:tr>
        <w:trPr>
          <w:cantSplit w:val="0"/>
          <w:trHeight w:val="300" w:hRule="atLeast"/>
          <w:tblHeader w:val="0"/>
        </w:trPr>
        <w:tc>
          <w:tcPr>
            <w:tcBorders>
              <w:top w:color="000000" w:space="0" w:sz="0" w:val="nil"/>
              <w:bottom w:color="000000" w:space="0" w:sz="0" w:val="nil"/>
              <w:right w:color="000000" w:space="0" w:sz="4" w:val="single"/>
            </w:tcBorders>
            <w:shd w:fill="auto" w:val="clear"/>
          </w:tcPr>
          <w:p w:rsidR="00000000" w:rsidDel="00000000" w:rsidP="00000000" w:rsidRDefault="00000000" w:rsidRPr="00000000" w14:paraId="000003A8">
            <w:pPr>
              <w:spacing w:after="0" w:line="240" w:lineRule="auto"/>
              <w:rPr>
                <w:sz w:val="20"/>
                <w:szCs w:val="20"/>
                <w:u w:val="single"/>
              </w:rPr>
            </w:pPr>
            <w:r w:rsidDel="00000000" w:rsidR="00000000" w:rsidRPr="00000000">
              <w:rPr>
                <w:sz w:val="20"/>
                <w:szCs w:val="20"/>
                <w:u w:val="single"/>
                <w:rtl w:val="0"/>
              </w:rPr>
              <w:t xml:space="preserve">J1c2c</w:t>
            </w:r>
          </w:p>
        </w:tc>
        <w:tc>
          <w:tcPr>
            <w:tcBorders>
              <w:top w:color="000000" w:space="0" w:sz="0" w:val="nil"/>
              <w:left w:color="000000" w:space="0" w:sz="4" w:val="single"/>
              <w:bottom w:color="000000" w:space="0" w:sz="0" w:val="nil"/>
              <w:right w:color="000000" w:space="0" w:sz="4" w:val="single"/>
            </w:tcBorders>
            <w:shd w:fill="e2efda" w:val="clear"/>
          </w:tcPr>
          <w:p w:rsidR="00000000" w:rsidDel="00000000" w:rsidP="00000000" w:rsidRDefault="00000000" w:rsidRPr="00000000" w14:paraId="000003A9">
            <w:pPr>
              <w:spacing w:after="0" w:line="240" w:lineRule="auto"/>
              <w:jc w:val="right"/>
              <w:rPr>
                <w:b w:val="1"/>
                <w:sz w:val="20"/>
                <w:szCs w:val="20"/>
              </w:rPr>
            </w:pPr>
            <w:r w:rsidDel="00000000" w:rsidR="00000000" w:rsidRPr="00000000">
              <w:rPr>
                <w:b w:val="1"/>
                <w:sz w:val="20"/>
                <w:szCs w:val="20"/>
                <w:rtl w:val="0"/>
              </w:rPr>
              <w:t xml:space="preserve">1</w:t>
            </w:r>
          </w:p>
        </w:tc>
        <w:tc>
          <w:tcPr>
            <w:tcBorders>
              <w:top w:color="000000" w:space="0" w:sz="0" w:val="nil"/>
              <w:left w:color="000000" w:space="0" w:sz="4" w:val="single"/>
              <w:bottom w:color="000000" w:space="0" w:sz="0" w:val="nil"/>
              <w:right w:color="000000" w:space="0" w:sz="4" w:val="single"/>
            </w:tcBorders>
            <w:shd w:fill="e2efd9" w:val="clear"/>
          </w:tcPr>
          <w:p w:rsidR="00000000" w:rsidDel="00000000" w:rsidP="00000000" w:rsidRDefault="00000000" w:rsidRPr="00000000" w14:paraId="000003AA">
            <w:pPr>
              <w:spacing w:after="0" w:line="240" w:lineRule="auto"/>
              <w:jc w:val="right"/>
              <w:rPr>
                <w:sz w:val="20"/>
                <w:szCs w:val="20"/>
              </w:rPr>
            </w:pPr>
            <w:r w:rsidDel="00000000" w:rsidR="00000000" w:rsidRPr="00000000">
              <w:rPr>
                <w:sz w:val="20"/>
                <w:szCs w:val="20"/>
                <w:rtl w:val="0"/>
              </w:rPr>
              <w:t xml:space="preserve">1</w:t>
            </w:r>
          </w:p>
        </w:tc>
        <w:tc>
          <w:tcPr>
            <w:tcBorders>
              <w:top w:color="000000" w:space="0" w:sz="0" w:val="nil"/>
              <w:left w:color="000000" w:space="0" w:sz="4" w:val="single"/>
              <w:bottom w:color="000000" w:space="0" w:sz="0" w:val="nil"/>
              <w:right w:color="000000" w:space="0" w:sz="4" w:val="single"/>
            </w:tcBorders>
            <w:shd w:fill="auto" w:val="clear"/>
          </w:tcPr>
          <w:p w:rsidR="00000000" w:rsidDel="00000000" w:rsidP="00000000" w:rsidRDefault="00000000" w:rsidRPr="00000000" w14:paraId="000003AB">
            <w:pPr>
              <w:spacing w:after="0" w:line="240" w:lineRule="auto"/>
              <w:jc w:val="right"/>
              <w:rPr>
                <w:sz w:val="20"/>
                <w:szCs w:val="20"/>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shd w:fill="auto" w:val="clear"/>
          </w:tcPr>
          <w:p w:rsidR="00000000" w:rsidDel="00000000" w:rsidP="00000000" w:rsidRDefault="00000000" w:rsidRPr="00000000" w14:paraId="000003AC">
            <w:pPr>
              <w:spacing w:after="0" w:line="240" w:lineRule="auto"/>
              <w:jc w:val="right"/>
              <w:rPr>
                <w:rFonts w:ascii="Times New Roman" w:cs="Times New Roman" w:eastAsia="Times New Roman" w:hAnsi="Times New Roman"/>
                <w:sz w:val="18"/>
                <w:szCs w:val="18"/>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shd w:fill="auto" w:val="clear"/>
          </w:tcPr>
          <w:p w:rsidR="00000000" w:rsidDel="00000000" w:rsidP="00000000" w:rsidRDefault="00000000" w:rsidRPr="00000000" w14:paraId="000003AD">
            <w:pPr>
              <w:spacing w:after="0" w:line="240" w:lineRule="auto"/>
              <w:jc w:val="right"/>
              <w:rPr>
                <w:rFonts w:ascii="Times New Roman" w:cs="Times New Roman" w:eastAsia="Times New Roman" w:hAnsi="Times New Roman"/>
                <w:sz w:val="18"/>
                <w:szCs w:val="18"/>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tcPr>
          <w:p w:rsidR="00000000" w:rsidDel="00000000" w:rsidP="00000000" w:rsidRDefault="00000000" w:rsidRPr="00000000" w14:paraId="000003AE">
            <w:pPr>
              <w:spacing w:after="0" w:line="240" w:lineRule="auto"/>
              <w:jc w:val="right"/>
              <w:rPr>
                <w:rFonts w:ascii="Times New Roman" w:cs="Times New Roman" w:eastAsia="Times New Roman" w:hAnsi="Times New Roman"/>
                <w:sz w:val="18"/>
                <w:szCs w:val="18"/>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shd w:fill="auto" w:val="clear"/>
          </w:tcPr>
          <w:p w:rsidR="00000000" w:rsidDel="00000000" w:rsidP="00000000" w:rsidRDefault="00000000" w:rsidRPr="00000000" w14:paraId="000003AF">
            <w:pPr>
              <w:spacing w:after="0" w:line="240" w:lineRule="auto"/>
              <w:jc w:val="right"/>
              <w:rPr>
                <w:rFonts w:ascii="Times New Roman" w:cs="Times New Roman" w:eastAsia="Times New Roman" w:hAnsi="Times New Roman"/>
                <w:sz w:val="18"/>
                <w:szCs w:val="18"/>
              </w:rPr>
            </w:pPr>
            <w:r w:rsidDel="00000000" w:rsidR="00000000" w:rsidRPr="00000000">
              <w:rPr>
                <w:rtl w:val="0"/>
              </w:rPr>
            </w:r>
          </w:p>
        </w:tc>
      </w:tr>
      <w:tr>
        <w:trPr>
          <w:cantSplit w:val="0"/>
          <w:trHeight w:val="300" w:hRule="atLeast"/>
          <w:tblHeader w:val="0"/>
        </w:trPr>
        <w:tc>
          <w:tcPr>
            <w:tcBorders>
              <w:top w:color="000000" w:space="0" w:sz="0" w:val="nil"/>
              <w:bottom w:color="000000" w:space="0" w:sz="0" w:val="nil"/>
              <w:right w:color="000000" w:space="0" w:sz="4" w:val="single"/>
            </w:tcBorders>
            <w:shd w:fill="auto" w:val="clear"/>
          </w:tcPr>
          <w:p w:rsidR="00000000" w:rsidDel="00000000" w:rsidP="00000000" w:rsidRDefault="00000000" w:rsidRPr="00000000" w14:paraId="000003B0">
            <w:pPr>
              <w:spacing w:after="0" w:line="240" w:lineRule="auto"/>
              <w:rPr>
                <w:sz w:val="20"/>
                <w:szCs w:val="20"/>
              </w:rPr>
            </w:pPr>
            <w:r w:rsidDel="00000000" w:rsidR="00000000" w:rsidRPr="00000000">
              <w:rPr>
                <w:sz w:val="20"/>
                <w:szCs w:val="20"/>
                <w:rtl w:val="0"/>
              </w:rPr>
              <w:t xml:space="preserve">J1c5a1</w:t>
            </w:r>
          </w:p>
        </w:tc>
        <w:tc>
          <w:tcPr>
            <w:tcBorders>
              <w:top w:color="000000" w:space="0" w:sz="0" w:val="nil"/>
              <w:left w:color="000000" w:space="0" w:sz="4" w:val="single"/>
              <w:bottom w:color="000000" w:space="0" w:sz="0" w:val="nil"/>
              <w:right w:color="000000" w:space="0" w:sz="4" w:val="single"/>
            </w:tcBorders>
            <w:shd w:fill="e2efda" w:val="clear"/>
          </w:tcPr>
          <w:p w:rsidR="00000000" w:rsidDel="00000000" w:rsidP="00000000" w:rsidRDefault="00000000" w:rsidRPr="00000000" w14:paraId="000003B1">
            <w:pPr>
              <w:spacing w:after="0" w:line="240" w:lineRule="auto"/>
              <w:jc w:val="right"/>
              <w:rPr>
                <w:b w:val="1"/>
                <w:sz w:val="20"/>
                <w:szCs w:val="20"/>
              </w:rPr>
            </w:pPr>
            <w:r w:rsidDel="00000000" w:rsidR="00000000" w:rsidRPr="00000000">
              <w:rPr>
                <w:b w:val="1"/>
                <w:sz w:val="20"/>
                <w:szCs w:val="20"/>
                <w:rtl w:val="0"/>
              </w:rPr>
              <w:t xml:space="preserve">2</w:t>
            </w:r>
          </w:p>
        </w:tc>
        <w:tc>
          <w:tcPr>
            <w:tcBorders>
              <w:top w:color="000000" w:space="0" w:sz="0" w:val="nil"/>
              <w:left w:color="000000" w:space="0" w:sz="4" w:val="single"/>
              <w:bottom w:color="000000" w:space="0" w:sz="0" w:val="nil"/>
              <w:right w:color="000000" w:space="0" w:sz="4" w:val="single"/>
            </w:tcBorders>
            <w:shd w:fill="auto" w:val="clear"/>
          </w:tcPr>
          <w:p w:rsidR="00000000" w:rsidDel="00000000" w:rsidP="00000000" w:rsidRDefault="00000000" w:rsidRPr="00000000" w14:paraId="000003B2">
            <w:pPr>
              <w:spacing w:after="0" w:line="240" w:lineRule="auto"/>
              <w:jc w:val="right"/>
              <w:rPr>
                <w:sz w:val="20"/>
                <w:szCs w:val="20"/>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shd w:fill="e2efd9" w:val="clear"/>
          </w:tcPr>
          <w:p w:rsidR="00000000" w:rsidDel="00000000" w:rsidP="00000000" w:rsidRDefault="00000000" w:rsidRPr="00000000" w14:paraId="000003B3">
            <w:pPr>
              <w:spacing w:after="0" w:line="240" w:lineRule="auto"/>
              <w:jc w:val="right"/>
              <w:rPr>
                <w:sz w:val="20"/>
                <w:szCs w:val="20"/>
              </w:rPr>
            </w:pPr>
            <w:r w:rsidDel="00000000" w:rsidR="00000000" w:rsidRPr="00000000">
              <w:rPr>
                <w:sz w:val="20"/>
                <w:szCs w:val="20"/>
                <w:rtl w:val="0"/>
              </w:rPr>
              <w:t xml:space="preserve">1</w:t>
            </w:r>
          </w:p>
        </w:tc>
        <w:tc>
          <w:tcPr>
            <w:tcBorders>
              <w:top w:color="000000" w:space="0" w:sz="0" w:val="nil"/>
              <w:left w:color="000000" w:space="0" w:sz="4" w:val="single"/>
              <w:bottom w:color="000000" w:space="0" w:sz="0" w:val="nil"/>
              <w:right w:color="000000" w:space="0" w:sz="4" w:val="single"/>
            </w:tcBorders>
            <w:shd w:fill="auto" w:val="clear"/>
          </w:tcPr>
          <w:p w:rsidR="00000000" w:rsidDel="00000000" w:rsidP="00000000" w:rsidRDefault="00000000" w:rsidRPr="00000000" w14:paraId="000003B4">
            <w:pPr>
              <w:spacing w:after="0" w:line="240" w:lineRule="auto"/>
              <w:jc w:val="right"/>
              <w:rPr>
                <w:sz w:val="20"/>
                <w:szCs w:val="20"/>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shd w:fill="auto" w:val="clear"/>
          </w:tcPr>
          <w:p w:rsidR="00000000" w:rsidDel="00000000" w:rsidP="00000000" w:rsidRDefault="00000000" w:rsidRPr="00000000" w14:paraId="000003B5">
            <w:pPr>
              <w:spacing w:after="0" w:line="240" w:lineRule="auto"/>
              <w:jc w:val="right"/>
              <w:rPr>
                <w:rFonts w:ascii="Times New Roman" w:cs="Times New Roman" w:eastAsia="Times New Roman" w:hAnsi="Times New Roman"/>
                <w:sz w:val="18"/>
                <w:szCs w:val="18"/>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tcPr>
          <w:p w:rsidR="00000000" w:rsidDel="00000000" w:rsidP="00000000" w:rsidRDefault="00000000" w:rsidRPr="00000000" w14:paraId="000003B6">
            <w:pPr>
              <w:spacing w:after="0" w:line="240" w:lineRule="auto"/>
              <w:jc w:val="right"/>
              <w:rPr>
                <w:rFonts w:ascii="Times New Roman" w:cs="Times New Roman" w:eastAsia="Times New Roman" w:hAnsi="Times New Roman"/>
                <w:sz w:val="18"/>
                <w:szCs w:val="18"/>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shd w:fill="auto" w:val="clear"/>
          </w:tcPr>
          <w:p w:rsidR="00000000" w:rsidDel="00000000" w:rsidP="00000000" w:rsidRDefault="00000000" w:rsidRPr="00000000" w14:paraId="000003B7">
            <w:pPr>
              <w:spacing w:after="0" w:line="240" w:lineRule="auto"/>
              <w:jc w:val="right"/>
              <w:rPr>
                <w:rFonts w:ascii="Times New Roman" w:cs="Times New Roman" w:eastAsia="Times New Roman" w:hAnsi="Times New Roman"/>
                <w:sz w:val="18"/>
                <w:szCs w:val="18"/>
              </w:rPr>
            </w:pPr>
            <w:r w:rsidDel="00000000" w:rsidR="00000000" w:rsidRPr="00000000">
              <w:rPr>
                <w:rtl w:val="0"/>
              </w:rPr>
            </w:r>
          </w:p>
        </w:tc>
      </w:tr>
      <w:tr>
        <w:trPr>
          <w:cantSplit w:val="0"/>
          <w:trHeight w:val="300" w:hRule="atLeast"/>
          <w:tblHeader w:val="0"/>
        </w:trPr>
        <w:tc>
          <w:tcPr>
            <w:tcBorders>
              <w:top w:color="000000" w:space="0" w:sz="0" w:val="nil"/>
              <w:bottom w:color="000000" w:space="0" w:sz="0" w:val="nil"/>
              <w:right w:color="000000" w:space="0" w:sz="4" w:val="single"/>
            </w:tcBorders>
            <w:shd w:fill="auto" w:val="clear"/>
          </w:tcPr>
          <w:p w:rsidR="00000000" w:rsidDel="00000000" w:rsidP="00000000" w:rsidRDefault="00000000" w:rsidRPr="00000000" w14:paraId="000003B8">
            <w:pPr>
              <w:spacing w:after="0" w:line="240" w:lineRule="auto"/>
              <w:rPr>
                <w:sz w:val="20"/>
                <w:szCs w:val="20"/>
              </w:rPr>
            </w:pPr>
            <w:r w:rsidDel="00000000" w:rsidR="00000000" w:rsidRPr="00000000">
              <w:rPr>
                <w:sz w:val="20"/>
                <w:szCs w:val="20"/>
                <w:rtl w:val="0"/>
              </w:rPr>
              <w:t xml:space="preserve">J2a1a1a2</w:t>
            </w:r>
          </w:p>
        </w:tc>
        <w:tc>
          <w:tcPr>
            <w:tcBorders>
              <w:top w:color="000000" w:space="0" w:sz="0" w:val="nil"/>
              <w:left w:color="000000" w:space="0" w:sz="4" w:val="single"/>
              <w:bottom w:color="000000" w:space="0" w:sz="0" w:val="nil"/>
              <w:right w:color="000000" w:space="0" w:sz="4" w:val="single"/>
            </w:tcBorders>
            <w:shd w:fill="e2efda" w:val="clear"/>
          </w:tcPr>
          <w:p w:rsidR="00000000" w:rsidDel="00000000" w:rsidP="00000000" w:rsidRDefault="00000000" w:rsidRPr="00000000" w14:paraId="000003B9">
            <w:pPr>
              <w:spacing w:after="0" w:line="240" w:lineRule="auto"/>
              <w:jc w:val="right"/>
              <w:rPr>
                <w:b w:val="1"/>
                <w:sz w:val="20"/>
                <w:szCs w:val="20"/>
              </w:rPr>
            </w:pPr>
            <w:r w:rsidDel="00000000" w:rsidR="00000000" w:rsidRPr="00000000">
              <w:rPr>
                <w:b w:val="1"/>
                <w:sz w:val="20"/>
                <w:szCs w:val="20"/>
                <w:rtl w:val="0"/>
              </w:rPr>
              <w:t xml:space="preserve">5</w:t>
            </w:r>
          </w:p>
        </w:tc>
        <w:tc>
          <w:tcPr>
            <w:tcBorders>
              <w:top w:color="000000" w:space="0" w:sz="0" w:val="nil"/>
              <w:left w:color="000000" w:space="0" w:sz="4" w:val="single"/>
              <w:bottom w:color="000000" w:space="0" w:sz="0" w:val="nil"/>
              <w:right w:color="000000" w:space="0" w:sz="4" w:val="single"/>
            </w:tcBorders>
            <w:shd w:fill="e2efd9" w:val="clear"/>
          </w:tcPr>
          <w:p w:rsidR="00000000" w:rsidDel="00000000" w:rsidP="00000000" w:rsidRDefault="00000000" w:rsidRPr="00000000" w14:paraId="000003BA">
            <w:pPr>
              <w:spacing w:after="0" w:line="240" w:lineRule="auto"/>
              <w:jc w:val="right"/>
              <w:rPr>
                <w:sz w:val="20"/>
                <w:szCs w:val="20"/>
              </w:rPr>
            </w:pPr>
            <w:r w:rsidDel="00000000" w:rsidR="00000000" w:rsidRPr="00000000">
              <w:rPr>
                <w:sz w:val="20"/>
                <w:szCs w:val="20"/>
                <w:rtl w:val="0"/>
              </w:rPr>
              <w:t xml:space="preserve">4</w:t>
            </w:r>
          </w:p>
        </w:tc>
        <w:tc>
          <w:tcPr>
            <w:tcBorders>
              <w:top w:color="000000" w:space="0" w:sz="0" w:val="nil"/>
              <w:left w:color="000000" w:space="0" w:sz="4" w:val="single"/>
              <w:bottom w:color="000000" w:space="0" w:sz="0" w:val="nil"/>
              <w:right w:color="000000" w:space="0" w:sz="4" w:val="single"/>
            </w:tcBorders>
            <w:shd w:fill="auto" w:val="clear"/>
          </w:tcPr>
          <w:p w:rsidR="00000000" w:rsidDel="00000000" w:rsidP="00000000" w:rsidRDefault="00000000" w:rsidRPr="00000000" w14:paraId="000003BB">
            <w:pPr>
              <w:spacing w:after="0" w:line="240" w:lineRule="auto"/>
              <w:jc w:val="right"/>
              <w:rPr>
                <w:sz w:val="20"/>
                <w:szCs w:val="20"/>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shd w:fill="auto" w:val="clear"/>
          </w:tcPr>
          <w:p w:rsidR="00000000" w:rsidDel="00000000" w:rsidP="00000000" w:rsidRDefault="00000000" w:rsidRPr="00000000" w14:paraId="000003BC">
            <w:pPr>
              <w:spacing w:after="0" w:line="240" w:lineRule="auto"/>
              <w:jc w:val="right"/>
              <w:rPr>
                <w:rFonts w:ascii="Times New Roman" w:cs="Times New Roman" w:eastAsia="Times New Roman" w:hAnsi="Times New Roman"/>
                <w:sz w:val="18"/>
                <w:szCs w:val="18"/>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shd w:fill="auto" w:val="clear"/>
          </w:tcPr>
          <w:p w:rsidR="00000000" w:rsidDel="00000000" w:rsidP="00000000" w:rsidRDefault="00000000" w:rsidRPr="00000000" w14:paraId="000003BD">
            <w:pPr>
              <w:spacing w:after="0" w:line="240" w:lineRule="auto"/>
              <w:jc w:val="right"/>
              <w:rPr>
                <w:rFonts w:ascii="Times New Roman" w:cs="Times New Roman" w:eastAsia="Times New Roman" w:hAnsi="Times New Roman"/>
                <w:sz w:val="18"/>
                <w:szCs w:val="18"/>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tcPr>
          <w:p w:rsidR="00000000" w:rsidDel="00000000" w:rsidP="00000000" w:rsidRDefault="00000000" w:rsidRPr="00000000" w14:paraId="000003BE">
            <w:pPr>
              <w:spacing w:after="0" w:line="240" w:lineRule="auto"/>
              <w:jc w:val="right"/>
              <w:rPr>
                <w:rFonts w:ascii="Times New Roman" w:cs="Times New Roman" w:eastAsia="Times New Roman" w:hAnsi="Times New Roman"/>
                <w:sz w:val="18"/>
                <w:szCs w:val="18"/>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shd w:fill="auto" w:val="clear"/>
          </w:tcPr>
          <w:p w:rsidR="00000000" w:rsidDel="00000000" w:rsidP="00000000" w:rsidRDefault="00000000" w:rsidRPr="00000000" w14:paraId="000003BF">
            <w:pPr>
              <w:spacing w:after="0" w:line="240" w:lineRule="auto"/>
              <w:jc w:val="right"/>
              <w:rPr>
                <w:rFonts w:ascii="Times New Roman" w:cs="Times New Roman" w:eastAsia="Times New Roman" w:hAnsi="Times New Roman"/>
                <w:sz w:val="18"/>
                <w:szCs w:val="18"/>
              </w:rPr>
            </w:pPr>
            <w:r w:rsidDel="00000000" w:rsidR="00000000" w:rsidRPr="00000000">
              <w:rPr>
                <w:rtl w:val="0"/>
              </w:rPr>
            </w:r>
          </w:p>
        </w:tc>
      </w:tr>
      <w:tr>
        <w:trPr>
          <w:cantSplit w:val="0"/>
          <w:trHeight w:val="300" w:hRule="atLeast"/>
          <w:tblHeader w:val="0"/>
        </w:trPr>
        <w:tc>
          <w:tcPr>
            <w:tcBorders>
              <w:top w:color="000000" w:space="0" w:sz="0" w:val="nil"/>
              <w:bottom w:color="000000" w:space="0" w:sz="0" w:val="nil"/>
              <w:right w:color="000000" w:space="0" w:sz="4" w:val="single"/>
            </w:tcBorders>
            <w:shd w:fill="auto" w:val="clear"/>
          </w:tcPr>
          <w:p w:rsidR="00000000" w:rsidDel="00000000" w:rsidP="00000000" w:rsidRDefault="00000000" w:rsidRPr="00000000" w14:paraId="000003C0">
            <w:pPr>
              <w:spacing w:after="0" w:line="240" w:lineRule="auto"/>
              <w:rPr>
                <w:sz w:val="20"/>
                <w:szCs w:val="20"/>
              </w:rPr>
            </w:pPr>
            <w:r w:rsidDel="00000000" w:rsidR="00000000" w:rsidRPr="00000000">
              <w:rPr>
                <w:sz w:val="20"/>
                <w:szCs w:val="20"/>
                <w:rtl w:val="0"/>
              </w:rPr>
              <w:t xml:space="preserve">T1a1c</w:t>
            </w:r>
          </w:p>
        </w:tc>
        <w:tc>
          <w:tcPr>
            <w:tcBorders>
              <w:top w:color="000000" w:space="0" w:sz="0" w:val="nil"/>
              <w:left w:color="000000" w:space="0" w:sz="4" w:val="single"/>
              <w:bottom w:color="000000" w:space="0" w:sz="0" w:val="nil"/>
              <w:right w:color="000000" w:space="0" w:sz="4" w:val="single"/>
            </w:tcBorders>
            <w:shd w:fill="e2efda" w:val="clear"/>
          </w:tcPr>
          <w:p w:rsidR="00000000" w:rsidDel="00000000" w:rsidP="00000000" w:rsidRDefault="00000000" w:rsidRPr="00000000" w14:paraId="000003C1">
            <w:pPr>
              <w:spacing w:after="0" w:line="240" w:lineRule="auto"/>
              <w:jc w:val="right"/>
              <w:rPr>
                <w:b w:val="1"/>
                <w:sz w:val="20"/>
                <w:szCs w:val="20"/>
              </w:rPr>
            </w:pPr>
            <w:r w:rsidDel="00000000" w:rsidR="00000000" w:rsidRPr="00000000">
              <w:rPr>
                <w:b w:val="1"/>
                <w:sz w:val="20"/>
                <w:szCs w:val="20"/>
                <w:rtl w:val="0"/>
              </w:rPr>
              <w:t xml:space="preserve">1</w:t>
            </w:r>
          </w:p>
        </w:tc>
        <w:tc>
          <w:tcPr>
            <w:tcBorders>
              <w:top w:color="000000" w:space="0" w:sz="0" w:val="nil"/>
              <w:left w:color="000000" w:space="0" w:sz="4" w:val="single"/>
              <w:bottom w:color="000000" w:space="0" w:sz="0" w:val="nil"/>
              <w:right w:color="000000" w:space="0" w:sz="4" w:val="single"/>
            </w:tcBorders>
            <w:shd w:fill="auto" w:val="clear"/>
          </w:tcPr>
          <w:p w:rsidR="00000000" w:rsidDel="00000000" w:rsidP="00000000" w:rsidRDefault="00000000" w:rsidRPr="00000000" w14:paraId="000003C2">
            <w:pPr>
              <w:spacing w:after="0" w:line="240" w:lineRule="auto"/>
              <w:jc w:val="right"/>
              <w:rPr>
                <w:sz w:val="20"/>
                <w:szCs w:val="20"/>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shd w:fill="e2efd9" w:val="clear"/>
          </w:tcPr>
          <w:p w:rsidR="00000000" w:rsidDel="00000000" w:rsidP="00000000" w:rsidRDefault="00000000" w:rsidRPr="00000000" w14:paraId="000003C3">
            <w:pPr>
              <w:spacing w:after="0" w:line="240" w:lineRule="auto"/>
              <w:jc w:val="right"/>
              <w:rPr>
                <w:sz w:val="20"/>
                <w:szCs w:val="20"/>
              </w:rPr>
            </w:pPr>
            <w:r w:rsidDel="00000000" w:rsidR="00000000" w:rsidRPr="00000000">
              <w:rPr>
                <w:sz w:val="20"/>
                <w:szCs w:val="20"/>
                <w:rtl w:val="0"/>
              </w:rPr>
              <w:t xml:space="preserve">1</w:t>
            </w:r>
          </w:p>
        </w:tc>
        <w:tc>
          <w:tcPr>
            <w:tcBorders>
              <w:top w:color="000000" w:space="0" w:sz="0" w:val="nil"/>
              <w:left w:color="000000" w:space="0" w:sz="4" w:val="single"/>
              <w:bottom w:color="000000" w:space="0" w:sz="0" w:val="nil"/>
              <w:right w:color="000000" w:space="0" w:sz="4" w:val="single"/>
            </w:tcBorders>
            <w:shd w:fill="auto" w:val="clear"/>
          </w:tcPr>
          <w:p w:rsidR="00000000" w:rsidDel="00000000" w:rsidP="00000000" w:rsidRDefault="00000000" w:rsidRPr="00000000" w14:paraId="000003C4">
            <w:pPr>
              <w:spacing w:after="0" w:line="240" w:lineRule="auto"/>
              <w:jc w:val="right"/>
              <w:rPr>
                <w:rFonts w:ascii="Times New Roman" w:cs="Times New Roman" w:eastAsia="Times New Roman" w:hAnsi="Times New Roman"/>
                <w:sz w:val="18"/>
                <w:szCs w:val="18"/>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shd w:fill="auto" w:val="clear"/>
          </w:tcPr>
          <w:p w:rsidR="00000000" w:rsidDel="00000000" w:rsidP="00000000" w:rsidRDefault="00000000" w:rsidRPr="00000000" w14:paraId="000003C5">
            <w:pPr>
              <w:spacing w:after="0" w:line="240" w:lineRule="auto"/>
              <w:jc w:val="right"/>
              <w:rPr>
                <w:rFonts w:ascii="Times New Roman" w:cs="Times New Roman" w:eastAsia="Times New Roman" w:hAnsi="Times New Roman"/>
                <w:sz w:val="18"/>
                <w:szCs w:val="18"/>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tcPr>
          <w:p w:rsidR="00000000" w:rsidDel="00000000" w:rsidP="00000000" w:rsidRDefault="00000000" w:rsidRPr="00000000" w14:paraId="000003C6">
            <w:pPr>
              <w:spacing w:after="0" w:line="240" w:lineRule="auto"/>
              <w:jc w:val="right"/>
              <w:rPr>
                <w:rFonts w:ascii="Times New Roman" w:cs="Times New Roman" w:eastAsia="Times New Roman" w:hAnsi="Times New Roman"/>
                <w:sz w:val="18"/>
                <w:szCs w:val="18"/>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shd w:fill="auto" w:val="clear"/>
          </w:tcPr>
          <w:p w:rsidR="00000000" w:rsidDel="00000000" w:rsidP="00000000" w:rsidRDefault="00000000" w:rsidRPr="00000000" w14:paraId="000003C7">
            <w:pPr>
              <w:spacing w:after="0" w:line="240" w:lineRule="auto"/>
              <w:jc w:val="right"/>
              <w:rPr>
                <w:rFonts w:ascii="Times New Roman" w:cs="Times New Roman" w:eastAsia="Times New Roman" w:hAnsi="Times New Roman"/>
                <w:sz w:val="18"/>
                <w:szCs w:val="18"/>
              </w:rPr>
            </w:pPr>
            <w:r w:rsidDel="00000000" w:rsidR="00000000" w:rsidRPr="00000000">
              <w:rPr>
                <w:rtl w:val="0"/>
              </w:rPr>
            </w:r>
          </w:p>
        </w:tc>
      </w:tr>
      <w:tr>
        <w:trPr>
          <w:cantSplit w:val="0"/>
          <w:trHeight w:val="300" w:hRule="atLeast"/>
          <w:tblHeader w:val="0"/>
        </w:trPr>
        <w:tc>
          <w:tcPr>
            <w:tcBorders>
              <w:top w:color="000000" w:space="0" w:sz="0" w:val="nil"/>
              <w:bottom w:color="000000" w:space="0" w:sz="0" w:val="nil"/>
              <w:right w:color="000000" w:space="0" w:sz="4" w:val="single"/>
            </w:tcBorders>
            <w:shd w:fill="auto" w:val="clear"/>
          </w:tcPr>
          <w:p w:rsidR="00000000" w:rsidDel="00000000" w:rsidP="00000000" w:rsidRDefault="00000000" w:rsidRPr="00000000" w14:paraId="000003C8">
            <w:pPr>
              <w:spacing w:after="0" w:line="240" w:lineRule="auto"/>
              <w:rPr>
                <w:sz w:val="20"/>
                <w:szCs w:val="20"/>
              </w:rPr>
            </w:pPr>
            <w:r w:rsidDel="00000000" w:rsidR="00000000" w:rsidRPr="00000000">
              <w:rPr>
                <w:sz w:val="20"/>
                <w:szCs w:val="20"/>
                <w:rtl w:val="0"/>
              </w:rPr>
              <w:t xml:space="preserve">U4b1b1</w:t>
            </w:r>
          </w:p>
        </w:tc>
        <w:tc>
          <w:tcPr>
            <w:tcBorders>
              <w:top w:color="000000" w:space="0" w:sz="0" w:val="nil"/>
              <w:left w:color="000000" w:space="0" w:sz="4" w:val="single"/>
              <w:bottom w:color="000000" w:space="0" w:sz="0" w:val="nil"/>
              <w:right w:color="000000" w:space="0" w:sz="4" w:val="single"/>
            </w:tcBorders>
            <w:shd w:fill="e2efda" w:val="clear"/>
          </w:tcPr>
          <w:p w:rsidR="00000000" w:rsidDel="00000000" w:rsidP="00000000" w:rsidRDefault="00000000" w:rsidRPr="00000000" w14:paraId="000003C9">
            <w:pPr>
              <w:spacing w:after="0" w:line="240" w:lineRule="auto"/>
              <w:jc w:val="right"/>
              <w:rPr>
                <w:b w:val="1"/>
                <w:sz w:val="20"/>
                <w:szCs w:val="20"/>
              </w:rPr>
            </w:pPr>
            <w:r w:rsidDel="00000000" w:rsidR="00000000" w:rsidRPr="00000000">
              <w:rPr>
                <w:b w:val="1"/>
                <w:sz w:val="20"/>
                <w:szCs w:val="20"/>
                <w:rtl w:val="0"/>
              </w:rPr>
              <w:t xml:space="preserve">1</w:t>
            </w:r>
          </w:p>
        </w:tc>
        <w:tc>
          <w:tcPr>
            <w:tcBorders>
              <w:top w:color="000000" w:space="0" w:sz="0" w:val="nil"/>
              <w:left w:color="000000" w:space="0" w:sz="4" w:val="single"/>
              <w:bottom w:color="000000" w:space="0" w:sz="0" w:val="nil"/>
              <w:right w:color="000000" w:space="0" w:sz="4" w:val="single"/>
            </w:tcBorders>
            <w:shd w:fill="e2efd9" w:val="clear"/>
          </w:tcPr>
          <w:p w:rsidR="00000000" w:rsidDel="00000000" w:rsidP="00000000" w:rsidRDefault="00000000" w:rsidRPr="00000000" w14:paraId="000003CA">
            <w:pPr>
              <w:spacing w:after="0" w:line="240" w:lineRule="auto"/>
              <w:jc w:val="right"/>
              <w:rPr>
                <w:sz w:val="20"/>
                <w:szCs w:val="20"/>
              </w:rPr>
            </w:pPr>
            <w:r w:rsidDel="00000000" w:rsidR="00000000" w:rsidRPr="00000000">
              <w:rPr>
                <w:sz w:val="20"/>
                <w:szCs w:val="20"/>
                <w:rtl w:val="0"/>
              </w:rPr>
              <w:t xml:space="preserve">1</w:t>
            </w:r>
          </w:p>
        </w:tc>
        <w:tc>
          <w:tcPr>
            <w:tcBorders>
              <w:top w:color="000000" w:space="0" w:sz="0" w:val="nil"/>
              <w:left w:color="000000" w:space="0" w:sz="4" w:val="single"/>
              <w:bottom w:color="000000" w:space="0" w:sz="0" w:val="nil"/>
              <w:right w:color="000000" w:space="0" w:sz="4" w:val="single"/>
            </w:tcBorders>
            <w:shd w:fill="auto" w:val="clear"/>
          </w:tcPr>
          <w:p w:rsidR="00000000" w:rsidDel="00000000" w:rsidP="00000000" w:rsidRDefault="00000000" w:rsidRPr="00000000" w14:paraId="000003CB">
            <w:pPr>
              <w:spacing w:after="0" w:line="240" w:lineRule="auto"/>
              <w:jc w:val="right"/>
              <w:rPr>
                <w:sz w:val="20"/>
                <w:szCs w:val="20"/>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shd w:fill="auto" w:val="clear"/>
          </w:tcPr>
          <w:p w:rsidR="00000000" w:rsidDel="00000000" w:rsidP="00000000" w:rsidRDefault="00000000" w:rsidRPr="00000000" w14:paraId="000003CC">
            <w:pPr>
              <w:spacing w:after="0" w:line="240" w:lineRule="auto"/>
              <w:jc w:val="right"/>
              <w:rPr>
                <w:rFonts w:ascii="Times New Roman" w:cs="Times New Roman" w:eastAsia="Times New Roman" w:hAnsi="Times New Roman"/>
                <w:sz w:val="18"/>
                <w:szCs w:val="18"/>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shd w:fill="auto" w:val="clear"/>
          </w:tcPr>
          <w:p w:rsidR="00000000" w:rsidDel="00000000" w:rsidP="00000000" w:rsidRDefault="00000000" w:rsidRPr="00000000" w14:paraId="000003CD">
            <w:pPr>
              <w:spacing w:after="0" w:line="240" w:lineRule="auto"/>
              <w:jc w:val="right"/>
              <w:rPr>
                <w:rFonts w:ascii="Times New Roman" w:cs="Times New Roman" w:eastAsia="Times New Roman" w:hAnsi="Times New Roman"/>
                <w:sz w:val="18"/>
                <w:szCs w:val="18"/>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shd w:fill="e2efd9" w:val="clear"/>
          </w:tcPr>
          <w:p w:rsidR="00000000" w:rsidDel="00000000" w:rsidP="00000000" w:rsidRDefault="00000000" w:rsidRPr="00000000" w14:paraId="000003CE">
            <w:pPr>
              <w:spacing w:after="0" w:line="240" w:lineRule="auto"/>
              <w:jc w:val="right"/>
              <w:rPr>
                <w:rFonts w:ascii="Times New Roman" w:cs="Times New Roman" w:eastAsia="Times New Roman" w:hAnsi="Times New Roman"/>
                <w:sz w:val="18"/>
                <w:szCs w:val="18"/>
              </w:rPr>
            </w:pPr>
            <w:r w:rsidDel="00000000" w:rsidR="00000000" w:rsidRPr="00000000">
              <w:rPr>
                <w:sz w:val="20"/>
                <w:szCs w:val="20"/>
                <w:rtl w:val="0"/>
              </w:rPr>
              <w:t xml:space="preserve">2</w:t>
            </w: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shd w:fill="auto" w:val="clear"/>
          </w:tcPr>
          <w:p w:rsidR="00000000" w:rsidDel="00000000" w:rsidP="00000000" w:rsidRDefault="00000000" w:rsidRPr="00000000" w14:paraId="000003CF">
            <w:pPr>
              <w:spacing w:after="0" w:line="240" w:lineRule="auto"/>
              <w:jc w:val="right"/>
              <w:rPr>
                <w:rFonts w:ascii="Times New Roman" w:cs="Times New Roman" w:eastAsia="Times New Roman" w:hAnsi="Times New Roman"/>
                <w:sz w:val="18"/>
                <w:szCs w:val="18"/>
              </w:rPr>
            </w:pPr>
            <w:r w:rsidDel="00000000" w:rsidR="00000000" w:rsidRPr="00000000">
              <w:rPr>
                <w:rtl w:val="0"/>
              </w:rPr>
            </w:r>
          </w:p>
        </w:tc>
      </w:tr>
      <w:tr>
        <w:trPr>
          <w:cantSplit w:val="0"/>
          <w:trHeight w:val="300" w:hRule="atLeast"/>
          <w:tblHeader w:val="0"/>
        </w:trPr>
        <w:tc>
          <w:tcPr>
            <w:tcBorders>
              <w:top w:color="000000" w:space="0" w:sz="0" w:val="nil"/>
              <w:bottom w:color="000000" w:space="0" w:sz="0" w:val="nil"/>
              <w:right w:color="000000" w:space="0" w:sz="4" w:val="single"/>
            </w:tcBorders>
            <w:shd w:fill="auto" w:val="clear"/>
          </w:tcPr>
          <w:p w:rsidR="00000000" w:rsidDel="00000000" w:rsidP="00000000" w:rsidRDefault="00000000" w:rsidRPr="00000000" w14:paraId="000003D0">
            <w:pPr>
              <w:spacing w:after="0" w:line="240" w:lineRule="auto"/>
              <w:rPr>
                <w:sz w:val="20"/>
                <w:szCs w:val="20"/>
                <w:u w:val="single"/>
              </w:rPr>
            </w:pPr>
            <w:r w:rsidDel="00000000" w:rsidR="00000000" w:rsidRPr="00000000">
              <w:rPr>
                <w:sz w:val="20"/>
                <w:szCs w:val="20"/>
                <w:u w:val="single"/>
                <w:rtl w:val="0"/>
              </w:rPr>
              <w:t xml:space="preserve">U5a1a1+16362</w:t>
            </w:r>
          </w:p>
        </w:tc>
        <w:tc>
          <w:tcPr>
            <w:tcBorders>
              <w:top w:color="000000" w:space="0" w:sz="0" w:val="nil"/>
              <w:left w:color="000000" w:space="0" w:sz="4" w:val="single"/>
              <w:bottom w:color="000000" w:space="0" w:sz="0" w:val="nil"/>
              <w:right w:color="000000" w:space="0" w:sz="4" w:val="single"/>
            </w:tcBorders>
            <w:shd w:fill="e2efda" w:val="clear"/>
          </w:tcPr>
          <w:p w:rsidR="00000000" w:rsidDel="00000000" w:rsidP="00000000" w:rsidRDefault="00000000" w:rsidRPr="00000000" w14:paraId="000003D1">
            <w:pPr>
              <w:spacing w:after="0" w:line="240" w:lineRule="auto"/>
              <w:jc w:val="right"/>
              <w:rPr>
                <w:b w:val="1"/>
                <w:sz w:val="20"/>
                <w:szCs w:val="20"/>
              </w:rPr>
            </w:pPr>
            <w:r w:rsidDel="00000000" w:rsidR="00000000" w:rsidRPr="00000000">
              <w:rPr>
                <w:b w:val="1"/>
                <w:sz w:val="20"/>
                <w:szCs w:val="20"/>
                <w:rtl w:val="0"/>
              </w:rPr>
              <w:t xml:space="preserve">1</w:t>
            </w:r>
          </w:p>
        </w:tc>
        <w:tc>
          <w:tcPr>
            <w:tcBorders>
              <w:top w:color="000000" w:space="0" w:sz="0" w:val="nil"/>
              <w:left w:color="000000" w:space="0" w:sz="4" w:val="single"/>
              <w:bottom w:color="000000" w:space="0" w:sz="0" w:val="nil"/>
              <w:right w:color="000000" w:space="0" w:sz="4" w:val="single"/>
            </w:tcBorders>
            <w:shd w:fill="auto" w:val="clear"/>
          </w:tcPr>
          <w:p w:rsidR="00000000" w:rsidDel="00000000" w:rsidP="00000000" w:rsidRDefault="00000000" w:rsidRPr="00000000" w14:paraId="000003D2">
            <w:pPr>
              <w:spacing w:after="0" w:line="240" w:lineRule="auto"/>
              <w:jc w:val="right"/>
              <w:rPr>
                <w:sz w:val="20"/>
                <w:szCs w:val="20"/>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shd w:fill="e2efd9" w:val="clear"/>
          </w:tcPr>
          <w:p w:rsidR="00000000" w:rsidDel="00000000" w:rsidP="00000000" w:rsidRDefault="00000000" w:rsidRPr="00000000" w14:paraId="000003D3">
            <w:pPr>
              <w:spacing w:after="0" w:line="240" w:lineRule="auto"/>
              <w:jc w:val="right"/>
              <w:rPr>
                <w:sz w:val="20"/>
                <w:szCs w:val="20"/>
              </w:rPr>
            </w:pPr>
            <w:r w:rsidDel="00000000" w:rsidR="00000000" w:rsidRPr="00000000">
              <w:rPr>
                <w:sz w:val="20"/>
                <w:szCs w:val="20"/>
                <w:rtl w:val="0"/>
              </w:rPr>
              <w:t xml:space="preserve">1</w:t>
            </w:r>
          </w:p>
        </w:tc>
        <w:tc>
          <w:tcPr>
            <w:tcBorders>
              <w:top w:color="000000" w:space="0" w:sz="0" w:val="nil"/>
              <w:left w:color="000000" w:space="0" w:sz="4" w:val="single"/>
              <w:bottom w:color="000000" w:space="0" w:sz="0" w:val="nil"/>
              <w:right w:color="000000" w:space="0" w:sz="4" w:val="single"/>
            </w:tcBorders>
            <w:shd w:fill="auto" w:val="clear"/>
          </w:tcPr>
          <w:p w:rsidR="00000000" w:rsidDel="00000000" w:rsidP="00000000" w:rsidRDefault="00000000" w:rsidRPr="00000000" w14:paraId="000003D4">
            <w:pPr>
              <w:spacing w:after="0" w:line="240" w:lineRule="auto"/>
              <w:jc w:val="right"/>
              <w:rPr>
                <w:sz w:val="20"/>
                <w:szCs w:val="20"/>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shd w:fill="auto" w:val="clear"/>
          </w:tcPr>
          <w:p w:rsidR="00000000" w:rsidDel="00000000" w:rsidP="00000000" w:rsidRDefault="00000000" w:rsidRPr="00000000" w14:paraId="000003D5">
            <w:pPr>
              <w:spacing w:after="0" w:line="240" w:lineRule="auto"/>
              <w:jc w:val="right"/>
              <w:rPr>
                <w:rFonts w:ascii="Times New Roman" w:cs="Times New Roman" w:eastAsia="Times New Roman" w:hAnsi="Times New Roman"/>
                <w:sz w:val="18"/>
                <w:szCs w:val="18"/>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tcPr>
          <w:p w:rsidR="00000000" w:rsidDel="00000000" w:rsidP="00000000" w:rsidRDefault="00000000" w:rsidRPr="00000000" w14:paraId="000003D6">
            <w:pPr>
              <w:spacing w:after="0" w:line="240" w:lineRule="auto"/>
              <w:jc w:val="right"/>
              <w:rPr>
                <w:sz w:val="20"/>
                <w:szCs w:val="20"/>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shd w:fill="auto" w:val="clear"/>
          </w:tcPr>
          <w:p w:rsidR="00000000" w:rsidDel="00000000" w:rsidP="00000000" w:rsidRDefault="00000000" w:rsidRPr="00000000" w14:paraId="000003D7">
            <w:pPr>
              <w:spacing w:after="0" w:line="240" w:lineRule="auto"/>
              <w:jc w:val="right"/>
              <w:rPr>
                <w:sz w:val="20"/>
                <w:szCs w:val="20"/>
              </w:rPr>
            </w:pPr>
            <w:r w:rsidDel="00000000" w:rsidR="00000000" w:rsidRPr="00000000">
              <w:rPr>
                <w:rtl w:val="0"/>
              </w:rPr>
            </w:r>
          </w:p>
        </w:tc>
      </w:tr>
      <w:tr>
        <w:trPr>
          <w:cantSplit w:val="0"/>
          <w:trHeight w:val="300" w:hRule="atLeast"/>
          <w:tblHeader w:val="0"/>
        </w:trPr>
        <w:tc>
          <w:tcPr>
            <w:tcBorders>
              <w:top w:color="000000" w:space="0" w:sz="0" w:val="nil"/>
              <w:bottom w:color="000000" w:space="0" w:sz="0" w:val="nil"/>
              <w:right w:color="000000" w:space="0" w:sz="4" w:val="single"/>
            </w:tcBorders>
            <w:shd w:fill="auto" w:val="clear"/>
          </w:tcPr>
          <w:p w:rsidR="00000000" w:rsidDel="00000000" w:rsidP="00000000" w:rsidRDefault="00000000" w:rsidRPr="00000000" w14:paraId="000003D8">
            <w:pPr>
              <w:spacing w:after="0" w:line="240" w:lineRule="auto"/>
              <w:rPr>
                <w:sz w:val="20"/>
                <w:szCs w:val="20"/>
                <w:u w:val="single"/>
              </w:rPr>
            </w:pPr>
            <w:r w:rsidDel="00000000" w:rsidR="00000000" w:rsidRPr="00000000">
              <w:rPr>
                <w:sz w:val="20"/>
                <w:szCs w:val="20"/>
                <w:u w:val="single"/>
                <w:rtl w:val="0"/>
              </w:rPr>
              <w:t xml:space="preserve">U5a1a1d</w:t>
            </w:r>
          </w:p>
        </w:tc>
        <w:tc>
          <w:tcPr>
            <w:tcBorders>
              <w:top w:color="000000" w:space="0" w:sz="0" w:val="nil"/>
              <w:left w:color="000000" w:space="0" w:sz="4" w:val="single"/>
              <w:bottom w:color="000000" w:space="0" w:sz="0" w:val="nil"/>
              <w:right w:color="000000" w:space="0" w:sz="4" w:val="single"/>
            </w:tcBorders>
            <w:shd w:fill="e2efda" w:val="clear"/>
          </w:tcPr>
          <w:p w:rsidR="00000000" w:rsidDel="00000000" w:rsidP="00000000" w:rsidRDefault="00000000" w:rsidRPr="00000000" w14:paraId="000003D9">
            <w:pPr>
              <w:spacing w:after="0" w:line="240" w:lineRule="auto"/>
              <w:jc w:val="right"/>
              <w:rPr>
                <w:b w:val="1"/>
                <w:sz w:val="20"/>
                <w:szCs w:val="20"/>
              </w:rPr>
            </w:pPr>
            <w:r w:rsidDel="00000000" w:rsidR="00000000" w:rsidRPr="00000000">
              <w:rPr>
                <w:b w:val="1"/>
                <w:sz w:val="20"/>
                <w:szCs w:val="20"/>
                <w:rtl w:val="0"/>
              </w:rPr>
              <w:t xml:space="preserve">1</w:t>
            </w:r>
          </w:p>
        </w:tc>
        <w:tc>
          <w:tcPr>
            <w:tcBorders>
              <w:top w:color="000000" w:space="0" w:sz="0" w:val="nil"/>
              <w:left w:color="000000" w:space="0" w:sz="4" w:val="single"/>
              <w:bottom w:color="000000" w:space="0" w:sz="0" w:val="nil"/>
              <w:right w:color="000000" w:space="0" w:sz="4" w:val="single"/>
            </w:tcBorders>
            <w:shd w:fill="auto" w:val="clear"/>
          </w:tcPr>
          <w:p w:rsidR="00000000" w:rsidDel="00000000" w:rsidP="00000000" w:rsidRDefault="00000000" w:rsidRPr="00000000" w14:paraId="000003DA">
            <w:pPr>
              <w:spacing w:after="0" w:line="240" w:lineRule="auto"/>
              <w:jc w:val="right"/>
              <w:rPr>
                <w:sz w:val="20"/>
                <w:szCs w:val="20"/>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shd w:fill="e2efd9" w:val="clear"/>
          </w:tcPr>
          <w:p w:rsidR="00000000" w:rsidDel="00000000" w:rsidP="00000000" w:rsidRDefault="00000000" w:rsidRPr="00000000" w14:paraId="000003DB">
            <w:pPr>
              <w:spacing w:after="0" w:line="240" w:lineRule="auto"/>
              <w:jc w:val="right"/>
              <w:rPr>
                <w:sz w:val="20"/>
                <w:szCs w:val="20"/>
              </w:rPr>
            </w:pPr>
            <w:r w:rsidDel="00000000" w:rsidR="00000000" w:rsidRPr="00000000">
              <w:rPr>
                <w:sz w:val="20"/>
                <w:szCs w:val="20"/>
                <w:rtl w:val="0"/>
              </w:rPr>
              <w:t xml:space="preserve">1</w:t>
            </w:r>
          </w:p>
        </w:tc>
        <w:tc>
          <w:tcPr>
            <w:tcBorders>
              <w:top w:color="000000" w:space="0" w:sz="0" w:val="nil"/>
              <w:left w:color="000000" w:space="0" w:sz="4" w:val="single"/>
              <w:bottom w:color="000000" w:space="0" w:sz="0" w:val="nil"/>
              <w:right w:color="000000" w:space="0" w:sz="4" w:val="single"/>
            </w:tcBorders>
            <w:shd w:fill="auto" w:val="clear"/>
          </w:tcPr>
          <w:p w:rsidR="00000000" w:rsidDel="00000000" w:rsidP="00000000" w:rsidRDefault="00000000" w:rsidRPr="00000000" w14:paraId="000003DC">
            <w:pPr>
              <w:spacing w:after="0" w:line="240" w:lineRule="auto"/>
              <w:jc w:val="right"/>
              <w:rPr>
                <w:rFonts w:ascii="Times New Roman" w:cs="Times New Roman" w:eastAsia="Times New Roman" w:hAnsi="Times New Roman"/>
                <w:sz w:val="18"/>
                <w:szCs w:val="18"/>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shd w:fill="auto" w:val="clear"/>
          </w:tcPr>
          <w:p w:rsidR="00000000" w:rsidDel="00000000" w:rsidP="00000000" w:rsidRDefault="00000000" w:rsidRPr="00000000" w14:paraId="000003DD">
            <w:pPr>
              <w:spacing w:after="0" w:line="240" w:lineRule="auto"/>
              <w:jc w:val="right"/>
              <w:rPr>
                <w:rFonts w:ascii="Times New Roman" w:cs="Times New Roman" w:eastAsia="Times New Roman" w:hAnsi="Times New Roman"/>
                <w:sz w:val="18"/>
                <w:szCs w:val="18"/>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tcPr>
          <w:p w:rsidR="00000000" w:rsidDel="00000000" w:rsidP="00000000" w:rsidRDefault="00000000" w:rsidRPr="00000000" w14:paraId="000003DE">
            <w:pPr>
              <w:spacing w:after="0" w:line="240" w:lineRule="auto"/>
              <w:jc w:val="right"/>
              <w:rPr>
                <w:rFonts w:ascii="Times New Roman" w:cs="Times New Roman" w:eastAsia="Times New Roman" w:hAnsi="Times New Roman"/>
                <w:sz w:val="18"/>
                <w:szCs w:val="18"/>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shd w:fill="auto" w:val="clear"/>
          </w:tcPr>
          <w:p w:rsidR="00000000" w:rsidDel="00000000" w:rsidP="00000000" w:rsidRDefault="00000000" w:rsidRPr="00000000" w14:paraId="000003DF">
            <w:pPr>
              <w:spacing w:after="0" w:line="240" w:lineRule="auto"/>
              <w:jc w:val="right"/>
              <w:rPr>
                <w:rFonts w:ascii="Times New Roman" w:cs="Times New Roman" w:eastAsia="Times New Roman" w:hAnsi="Times New Roman"/>
                <w:sz w:val="18"/>
                <w:szCs w:val="18"/>
              </w:rPr>
            </w:pPr>
            <w:r w:rsidDel="00000000" w:rsidR="00000000" w:rsidRPr="00000000">
              <w:rPr>
                <w:rtl w:val="0"/>
              </w:rPr>
            </w:r>
          </w:p>
        </w:tc>
      </w:tr>
      <w:tr>
        <w:trPr>
          <w:cantSplit w:val="0"/>
          <w:trHeight w:val="300" w:hRule="atLeast"/>
          <w:tblHeader w:val="0"/>
        </w:trPr>
        <w:tc>
          <w:tcPr>
            <w:tcBorders>
              <w:top w:color="000000" w:space="0" w:sz="0" w:val="nil"/>
              <w:bottom w:color="000000" w:space="0" w:sz="0" w:val="nil"/>
              <w:right w:color="000000" w:space="0" w:sz="4" w:val="single"/>
            </w:tcBorders>
            <w:shd w:fill="auto" w:val="clear"/>
          </w:tcPr>
          <w:p w:rsidR="00000000" w:rsidDel="00000000" w:rsidP="00000000" w:rsidRDefault="00000000" w:rsidRPr="00000000" w14:paraId="000003E0">
            <w:pPr>
              <w:spacing w:after="0" w:line="240" w:lineRule="auto"/>
              <w:rPr>
                <w:sz w:val="20"/>
                <w:szCs w:val="20"/>
              </w:rPr>
            </w:pPr>
            <w:r w:rsidDel="00000000" w:rsidR="00000000" w:rsidRPr="00000000">
              <w:rPr>
                <w:sz w:val="20"/>
                <w:szCs w:val="20"/>
                <w:rtl w:val="0"/>
              </w:rPr>
              <w:t xml:space="preserve">K1a1b2a1a</w:t>
            </w:r>
          </w:p>
        </w:tc>
        <w:tc>
          <w:tcPr>
            <w:tcBorders>
              <w:top w:color="000000" w:space="0" w:sz="0" w:val="nil"/>
              <w:left w:color="000000" w:space="0" w:sz="4" w:val="single"/>
              <w:bottom w:color="000000" w:space="0" w:sz="0" w:val="nil"/>
              <w:right w:color="000000" w:space="0" w:sz="4" w:val="single"/>
            </w:tcBorders>
            <w:shd w:fill="e2efda" w:val="clear"/>
          </w:tcPr>
          <w:p w:rsidR="00000000" w:rsidDel="00000000" w:rsidP="00000000" w:rsidRDefault="00000000" w:rsidRPr="00000000" w14:paraId="000003E1">
            <w:pPr>
              <w:spacing w:after="0" w:line="240" w:lineRule="auto"/>
              <w:jc w:val="right"/>
              <w:rPr>
                <w:b w:val="1"/>
                <w:sz w:val="20"/>
                <w:szCs w:val="20"/>
              </w:rPr>
            </w:pPr>
            <w:r w:rsidDel="00000000" w:rsidR="00000000" w:rsidRPr="00000000">
              <w:rPr>
                <w:b w:val="1"/>
                <w:sz w:val="20"/>
                <w:szCs w:val="20"/>
                <w:rtl w:val="0"/>
              </w:rPr>
              <w:t xml:space="preserve">1</w:t>
            </w:r>
          </w:p>
        </w:tc>
        <w:tc>
          <w:tcPr>
            <w:tcBorders>
              <w:top w:color="000000" w:space="0" w:sz="0" w:val="nil"/>
              <w:left w:color="000000" w:space="0" w:sz="4" w:val="single"/>
              <w:bottom w:color="000000" w:space="0" w:sz="0" w:val="nil"/>
              <w:right w:color="000000" w:space="0" w:sz="4" w:val="single"/>
            </w:tcBorders>
            <w:shd w:fill="e2efd9" w:val="clear"/>
          </w:tcPr>
          <w:p w:rsidR="00000000" w:rsidDel="00000000" w:rsidP="00000000" w:rsidRDefault="00000000" w:rsidRPr="00000000" w14:paraId="000003E2">
            <w:pPr>
              <w:spacing w:after="0" w:line="240" w:lineRule="auto"/>
              <w:jc w:val="right"/>
              <w:rPr>
                <w:sz w:val="20"/>
                <w:szCs w:val="20"/>
              </w:rPr>
            </w:pPr>
            <w:r w:rsidDel="00000000" w:rsidR="00000000" w:rsidRPr="00000000">
              <w:rPr>
                <w:sz w:val="20"/>
                <w:szCs w:val="20"/>
                <w:rtl w:val="0"/>
              </w:rPr>
              <w:t xml:space="preserve">2</w:t>
            </w:r>
          </w:p>
        </w:tc>
        <w:tc>
          <w:tcPr>
            <w:tcBorders>
              <w:top w:color="000000" w:space="0" w:sz="0" w:val="nil"/>
              <w:left w:color="000000" w:space="0" w:sz="4" w:val="single"/>
              <w:bottom w:color="000000" w:space="0" w:sz="0" w:val="nil"/>
              <w:right w:color="000000" w:space="0" w:sz="4" w:val="single"/>
            </w:tcBorders>
            <w:shd w:fill="auto" w:val="clear"/>
          </w:tcPr>
          <w:p w:rsidR="00000000" w:rsidDel="00000000" w:rsidP="00000000" w:rsidRDefault="00000000" w:rsidRPr="00000000" w14:paraId="000003E3">
            <w:pPr>
              <w:spacing w:after="0" w:line="240" w:lineRule="auto"/>
              <w:jc w:val="right"/>
              <w:rPr>
                <w:sz w:val="20"/>
                <w:szCs w:val="20"/>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shd w:fill="auto" w:val="clear"/>
          </w:tcPr>
          <w:p w:rsidR="00000000" w:rsidDel="00000000" w:rsidP="00000000" w:rsidRDefault="00000000" w:rsidRPr="00000000" w14:paraId="000003E4">
            <w:pPr>
              <w:spacing w:after="0" w:line="240" w:lineRule="auto"/>
              <w:jc w:val="right"/>
              <w:rPr>
                <w:sz w:val="20"/>
                <w:szCs w:val="20"/>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shd w:fill="auto" w:val="clear"/>
          </w:tcPr>
          <w:p w:rsidR="00000000" w:rsidDel="00000000" w:rsidP="00000000" w:rsidRDefault="00000000" w:rsidRPr="00000000" w14:paraId="000003E5">
            <w:pPr>
              <w:spacing w:after="0" w:line="240" w:lineRule="auto"/>
              <w:jc w:val="right"/>
              <w:rPr>
                <w:rFonts w:ascii="Times New Roman" w:cs="Times New Roman" w:eastAsia="Times New Roman" w:hAnsi="Times New Roman"/>
                <w:sz w:val="18"/>
                <w:szCs w:val="18"/>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tcPr>
          <w:p w:rsidR="00000000" w:rsidDel="00000000" w:rsidP="00000000" w:rsidRDefault="00000000" w:rsidRPr="00000000" w14:paraId="000003E6">
            <w:pPr>
              <w:spacing w:after="0" w:line="240" w:lineRule="auto"/>
              <w:jc w:val="right"/>
              <w:rPr>
                <w:rFonts w:ascii="Times New Roman" w:cs="Times New Roman" w:eastAsia="Times New Roman" w:hAnsi="Times New Roman"/>
                <w:sz w:val="18"/>
                <w:szCs w:val="18"/>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shd w:fill="auto" w:val="clear"/>
          </w:tcPr>
          <w:p w:rsidR="00000000" w:rsidDel="00000000" w:rsidP="00000000" w:rsidRDefault="00000000" w:rsidRPr="00000000" w14:paraId="000003E7">
            <w:pPr>
              <w:spacing w:after="0" w:line="240" w:lineRule="auto"/>
              <w:jc w:val="right"/>
              <w:rPr>
                <w:rFonts w:ascii="Times New Roman" w:cs="Times New Roman" w:eastAsia="Times New Roman" w:hAnsi="Times New Roman"/>
                <w:sz w:val="18"/>
                <w:szCs w:val="18"/>
              </w:rPr>
            </w:pPr>
            <w:r w:rsidDel="00000000" w:rsidR="00000000" w:rsidRPr="00000000">
              <w:rPr>
                <w:rtl w:val="0"/>
              </w:rPr>
            </w:r>
          </w:p>
        </w:tc>
      </w:tr>
      <w:tr>
        <w:trPr>
          <w:cantSplit w:val="0"/>
          <w:trHeight w:val="300" w:hRule="atLeast"/>
          <w:tblHeader w:val="0"/>
        </w:trPr>
        <w:tc>
          <w:tcPr>
            <w:tcBorders>
              <w:top w:color="000000" w:space="0" w:sz="0" w:val="nil"/>
              <w:bottom w:color="000000" w:space="0" w:sz="0" w:val="nil"/>
              <w:right w:color="000000" w:space="0" w:sz="4" w:val="single"/>
            </w:tcBorders>
            <w:shd w:fill="auto" w:val="clear"/>
          </w:tcPr>
          <w:p w:rsidR="00000000" w:rsidDel="00000000" w:rsidP="00000000" w:rsidRDefault="00000000" w:rsidRPr="00000000" w14:paraId="000003E8">
            <w:pPr>
              <w:spacing w:after="0" w:line="240" w:lineRule="auto"/>
              <w:rPr>
                <w:sz w:val="20"/>
                <w:szCs w:val="20"/>
              </w:rPr>
            </w:pPr>
            <w:r w:rsidDel="00000000" w:rsidR="00000000" w:rsidRPr="00000000">
              <w:rPr>
                <w:sz w:val="20"/>
                <w:szCs w:val="20"/>
                <w:rtl w:val="0"/>
              </w:rPr>
              <w:t xml:space="preserve">K1a4d</w:t>
            </w:r>
          </w:p>
        </w:tc>
        <w:tc>
          <w:tcPr>
            <w:tcBorders>
              <w:top w:color="000000" w:space="0" w:sz="0" w:val="nil"/>
              <w:left w:color="000000" w:space="0" w:sz="4" w:val="single"/>
              <w:bottom w:color="000000" w:space="0" w:sz="0" w:val="nil"/>
              <w:right w:color="000000" w:space="0" w:sz="4" w:val="single"/>
            </w:tcBorders>
            <w:shd w:fill="e2efda" w:val="clear"/>
          </w:tcPr>
          <w:p w:rsidR="00000000" w:rsidDel="00000000" w:rsidP="00000000" w:rsidRDefault="00000000" w:rsidRPr="00000000" w14:paraId="000003E9">
            <w:pPr>
              <w:spacing w:after="0" w:line="240" w:lineRule="auto"/>
              <w:jc w:val="right"/>
              <w:rPr>
                <w:b w:val="1"/>
                <w:sz w:val="20"/>
                <w:szCs w:val="20"/>
              </w:rPr>
            </w:pPr>
            <w:r w:rsidDel="00000000" w:rsidR="00000000" w:rsidRPr="00000000">
              <w:rPr>
                <w:b w:val="1"/>
                <w:sz w:val="20"/>
                <w:szCs w:val="20"/>
                <w:rtl w:val="0"/>
              </w:rPr>
              <w:t xml:space="preserve">1</w:t>
            </w:r>
          </w:p>
        </w:tc>
        <w:tc>
          <w:tcPr>
            <w:tcBorders>
              <w:top w:color="000000" w:space="0" w:sz="0" w:val="nil"/>
              <w:left w:color="000000" w:space="0" w:sz="4" w:val="single"/>
              <w:bottom w:color="000000" w:space="0" w:sz="0" w:val="nil"/>
              <w:right w:color="000000" w:space="0" w:sz="4" w:val="single"/>
            </w:tcBorders>
            <w:shd w:fill="e2efd9" w:val="clear"/>
          </w:tcPr>
          <w:p w:rsidR="00000000" w:rsidDel="00000000" w:rsidP="00000000" w:rsidRDefault="00000000" w:rsidRPr="00000000" w14:paraId="000003EA">
            <w:pPr>
              <w:spacing w:after="0" w:line="240" w:lineRule="auto"/>
              <w:jc w:val="right"/>
              <w:rPr>
                <w:sz w:val="20"/>
                <w:szCs w:val="20"/>
              </w:rPr>
            </w:pPr>
            <w:r w:rsidDel="00000000" w:rsidR="00000000" w:rsidRPr="00000000">
              <w:rPr>
                <w:sz w:val="20"/>
                <w:szCs w:val="20"/>
                <w:rtl w:val="0"/>
              </w:rPr>
              <w:t xml:space="preserve">2</w:t>
            </w:r>
          </w:p>
        </w:tc>
        <w:tc>
          <w:tcPr>
            <w:tcBorders>
              <w:top w:color="000000" w:space="0" w:sz="0" w:val="nil"/>
              <w:left w:color="000000" w:space="0" w:sz="4" w:val="single"/>
              <w:bottom w:color="000000" w:space="0" w:sz="0" w:val="nil"/>
              <w:right w:color="000000" w:space="0" w:sz="4" w:val="single"/>
            </w:tcBorders>
            <w:shd w:fill="auto" w:val="clear"/>
          </w:tcPr>
          <w:p w:rsidR="00000000" w:rsidDel="00000000" w:rsidP="00000000" w:rsidRDefault="00000000" w:rsidRPr="00000000" w14:paraId="000003EB">
            <w:pPr>
              <w:spacing w:after="0" w:line="240" w:lineRule="auto"/>
              <w:jc w:val="right"/>
              <w:rPr>
                <w:sz w:val="20"/>
                <w:szCs w:val="20"/>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shd w:fill="auto" w:val="clear"/>
          </w:tcPr>
          <w:p w:rsidR="00000000" w:rsidDel="00000000" w:rsidP="00000000" w:rsidRDefault="00000000" w:rsidRPr="00000000" w14:paraId="000003EC">
            <w:pPr>
              <w:spacing w:after="0" w:line="240" w:lineRule="auto"/>
              <w:jc w:val="right"/>
              <w:rPr>
                <w:sz w:val="20"/>
                <w:szCs w:val="20"/>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shd w:fill="auto" w:val="clear"/>
          </w:tcPr>
          <w:p w:rsidR="00000000" w:rsidDel="00000000" w:rsidP="00000000" w:rsidRDefault="00000000" w:rsidRPr="00000000" w14:paraId="000003ED">
            <w:pPr>
              <w:spacing w:after="0" w:line="240" w:lineRule="auto"/>
              <w:jc w:val="right"/>
              <w:rPr>
                <w:rFonts w:ascii="Times New Roman" w:cs="Times New Roman" w:eastAsia="Times New Roman" w:hAnsi="Times New Roman"/>
                <w:sz w:val="18"/>
                <w:szCs w:val="18"/>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shd w:fill="e2efd9" w:val="clear"/>
          </w:tcPr>
          <w:p w:rsidR="00000000" w:rsidDel="00000000" w:rsidP="00000000" w:rsidRDefault="00000000" w:rsidRPr="00000000" w14:paraId="000003EE">
            <w:pPr>
              <w:spacing w:after="0" w:line="240" w:lineRule="auto"/>
              <w:jc w:val="right"/>
              <w:rPr>
                <w:rFonts w:ascii="Times New Roman" w:cs="Times New Roman" w:eastAsia="Times New Roman" w:hAnsi="Times New Roman"/>
                <w:sz w:val="18"/>
                <w:szCs w:val="18"/>
              </w:rPr>
            </w:pPr>
            <w:r w:rsidDel="00000000" w:rsidR="00000000" w:rsidRPr="00000000">
              <w:rPr>
                <w:sz w:val="20"/>
                <w:szCs w:val="20"/>
                <w:rtl w:val="0"/>
              </w:rPr>
              <w:t xml:space="preserve">1</w:t>
            </w: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shd w:fill="auto" w:val="clear"/>
          </w:tcPr>
          <w:p w:rsidR="00000000" w:rsidDel="00000000" w:rsidP="00000000" w:rsidRDefault="00000000" w:rsidRPr="00000000" w14:paraId="000003EF">
            <w:pPr>
              <w:spacing w:after="0" w:line="240" w:lineRule="auto"/>
              <w:jc w:val="right"/>
              <w:rPr>
                <w:rFonts w:ascii="Times New Roman" w:cs="Times New Roman" w:eastAsia="Times New Roman" w:hAnsi="Times New Roman"/>
                <w:sz w:val="18"/>
                <w:szCs w:val="18"/>
              </w:rPr>
            </w:pPr>
            <w:r w:rsidDel="00000000" w:rsidR="00000000" w:rsidRPr="00000000">
              <w:rPr>
                <w:rtl w:val="0"/>
              </w:rPr>
            </w:r>
          </w:p>
        </w:tc>
      </w:tr>
      <w:tr>
        <w:trPr>
          <w:cantSplit w:val="0"/>
          <w:trHeight w:val="300" w:hRule="atLeast"/>
          <w:tblHeader w:val="0"/>
        </w:trPr>
        <w:tc>
          <w:tcPr>
            <w:tcBorders>
              <w:top w:color="000000" w:space="0" w:sz="0" w:val="nil"/>
              <w:bottom w:color="000000" w:space="0" w:sz="0" w:val="nil"/>
              <w:right w:color="000000" w:space="0" w:sz="4" w:val="single"/>
            </w:tcBorders>
            <w:shd w:fill="auto" w:val="clear"/>
          </w:tcPr>
          <w:p w:rsidR="00000000" w:rsidDel="00000000" w:rsidP="00000000" w:rsidRDefault="00000000" w:rsidRPr="00000000" w14:paraId="000003F0">
            <w:pPr>
              <w:spacing w:after="0" w:line="240" w:lineRule="auto"/>
              <w:rPr>
                <w:sz w:val="20"/>
                <w:szCs w:val="20"/>
              </w:rPr>
            </w:pPr>
            <w:r w:rsidDel="00000000" w:rsidR="00000000" w:rsidRPr="00000000">
              <w:rPr>
                <w:sz w:val="20"/>
                <w:szCs w:val="20"/>
                <w:rtl w:val="0"/>
              </w:rPr>
              <w:t xml:space="preserve">K1c2</w:t>
            </w:r>
          </w:p>
        </w:tc>
        <w:tc>
          <w:tcPr>
            <w:tcBorders>
              <w:top w:color="000000" w:space="0" w:sz="0" w:val="nil"/>
              <w:left w:color="000000" w:space="0" w:sz="4" w:val="single"/>
              <w:bottom w:color="000000" w:space="0" w:sz="0" w:val="nil"/>
              <w:right w:color="000000" w:space="0" w:sz="4" w:val="single"/>
            </w:tcBorders>
            <w:shd w:fill="e2efda" w:val="clear"/>
          </w:tcPr>
          <w:p w:rsidR="00000000" w:rsidDel="00000000" w:rsidP="00000000" w:rsidRDefault="00000000" w:rsidRPr="00000000" w14:paraId="000003F1">
            <w:pPr>
              <w:spacing w:after="0" w:line="240" w:lineRule="auto"/>
              <w:jc w:val="right"/>
              <w:rPr>
                <w:b w:val="1"/>
                <w:sz w:val="20"/>
                <w:szCs w:val="20"/>
              </w:rPr>
            </w:pPr>
            <w:r w:rsidDel="00000000" w:rsidR="00000000" w:rsidRPr="00000000">
              <w:rPr>
                <w:b w:val="1"/>
                <w:sz w:val="20"/>
                <w:szCs w:val="20"/>
                <w:rtl w:val="0"/>
              </w:rPr>
              <w:t xml:space="preserve">2</w:t>
            </w:r>
          </w:p>
        </w:tc>
        <w:tc>
          <w:tcPr>
            <w:tcBorders>
              <w:top w:color="000000" w:space="0" w:sz="0" w:val="nil"/>
              <w:left w:color="000000" w:space="0" w:sz="4" w:val="single"/>
              <w:bottom w:color="000000" w:space="0" w:sz="0" w:val="nil"/>
              <w:right w:color="000000" w:space="0" w:sz="4" w:val="single"/>
            </w:tcBorders>
            <w:shd w:fill="e2efd9" w:val="clear"/>
          </w:tcPr>
          <w:p w:rsidR="00000000" w:rsidDel="00000000" w:rsidP="00000000" w:rsidRDefault="00000000" w:rsidRPr="00000000" w14:paraId="000003F2">
            <w:pPr>
              <w:spacing w:after="0" w:line="240" w:lineRule="auto"/>
              <w:jc w:val="right"/>
              <w:rPr>
                <w:sz w:val="20"/>
                <w:szCs w:val="20"/>
              </w:rPr>
            </w:pPr>
            <w:r w:rsidDel="00000000" w:rsidR="00000000" w:rsidRPr="00000000">
              <w:rPr>
                <w:sz w:val="20"/>
                <w:szCs w:val="20"/>
                <w:rtl w:val="0"/>
              </w:rPr>
              <w:t xml:space="preserve">1</w:t>
            </w:r>
          </w:p>
        </w:tc>
        <w:tc>
          <w:tcPr>
            <w:tcBorders>
              <w:top w:color="000000" w:space="0" w:sz="0" w:val="nil"/>
              <w:left w:color="000000" w:space="0" w:sz="4" w:val="single"/>
              <w:bottom w:color="000000" w:space="0" w:sz="0" w:val="nil"/>
              <w:right w:color="000000" w:space="0" w:sz="4" w:val="single"/>
            </w:tcBorders>
            <w:shd w:fill="e2efd9" w:val="clear"/>
          </w:tcPr>
          <w:p w:rsidR="00000000" w:rsidDel="00000000" w:rsidP="00000000" w:rsidRDefault="00000000" w:rsidRPr="00000000" w14:paraId="000003F3">
            <w:pPr>
              <w:spacing w:after="0" w:line="240" w:lineRule="auto"/>
              <w:jc w:val="right"/>
              <w:rPr>
                <w:sz w:val="20"/>
                <w:szCs w:val="20"/>
              </w:rPr>
            </w:pPr>
            <w:r w:rsidDel="00000000" w:rsidR="00000000" w:rsidRPr="00000000">
              <w:rPr>
                <w:sz w:val="20"/>
                <w:szCs w:val="20"/>
                <w:rtl w:val="0"/>
              </w:rPr>
              <w:t xml:space="preserve">1</w:t>
            </w:r>
          </w:p>
        </w:tc>
        <w:tc>
          <w:tcPr>
            <w:tcBorders>
              <w:top w:color="000000" w:space="0" w:sz="0" w:val="nil"/>
              <w:left w:color="000000" w:space="0" w:sz="4" w:val="single"/>
              <w:bottom w:color="000000" w:space="0" w:sz="0" w:val="nil"/>
              <w:right w:color="000000" w:space="0" w:sz="4" w:val="single"/>
            </w:tcBorders>
            <w:shd w:fill="auto" w:val="clear"/>
          </w:tcPr>
          <w:p w:rsidR="00000000" w:rsidDel="00000000" w:rsidP="00000000" w:rsidRDefault="00000000" w:rsidRPr="00000000" w14:paraId="000003F4">
            <w:pPr>
              <w:spacing w:after="0" w:line="240" w:lineRule="auto"/>
              <w:jc w:val="right"/>
              <w:rPr>
                <w:rFonts w:ascii="Times New Roman" w:cs="Times New Roman" w:eastAsia="Times New Roman" w:hAnsi="Times New Roman"/>
                <w:sz w:val="18"/>
                <w:szCs w:val="18"/>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shd w:fill="auto" w:val="clear"/>
          </w:tcPr>
          <w:p w:rsidR="00000000" w:rsidDel="00000000" w:rsidP="00000000" w:rsidRDefault="00000000" w:rsidRPr="00000000" w14:paraId="000003F5">
            <w:pPr>
              <w:spacing w:after="0" w:line="240" w:lineRule="auto"/>
              <w:jc w:val="right"/>
              <w:rPr>
                <w:rFonts w:ascii="Times New Roman" w:cs="Times New Roman" w:eastAsia="Times New Roman" w:hAnsi="Times New Roman"/>
                <w:sz w:val="18"/>
                <w:szCs w:val="18"/>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tcPr>
          <w:p w:rsidR="00000000" w:rsidDel="00000000" w:rsidP="00000000" w:rsidRDefault="00000000" w:rsidRPr="00000000" w14:paraId="000003F6">
            <w:pPr>
              <w:spacing w:after="0" w:line="240" w:lineRule="auto"/>
              <w:jc w:val="right"/>
              <w:rPr>
                <w:rFonts w:ascii="Times New Roman" w:cs="Times New Roman" w:eastAsia="Times New Roman" w:hAnsi="Times New Roman"/>
                <w:sz w:val="18"/>
                <w:szCs w:val="18"/>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shd w:fill="e2efd9" w:val="clear"/>
          </w:tcPr>
          <w:p w:rsidR="00000000" w:rsidDel="00000000" w:rsidP="00000000" w:rsidRDefault="00000000" w:rsidRPr="00000000" w14:paraId="000003F7">
            <w:pPr>
              <w:spacing w:after="0" w:line="240" w:lineRule="auto"/>
              <w:jc w:val="right"/>
              <w:rPr>
                <w:rFonts w:ascii="Times New Roman" w:cs="Times New Roman" w:eastAsia="Times New Roman" w:hAnsi="Times New Roman"/>
                <w:sz w:val="18"/>
                <w:szCs w:val="18"/>
              </w:rPr>
            </w:pPr>
            <w:r w:rsidDel="00000000" w:rsidR="00000000" w:rsidRPr="00000000">
              <w:rPr>
                <w:sz w:val="20"/>
                <w:szCs w:val="20"/>
                <w:rtl w:val="0"/>
              </w:rPr>
              <w:t xml:space="preserve">1</w:t>
            </w:r>
            <w:r w:rsidDel="00000000" w:rsidR="00000000" w:rsidRPr="00000000">
              <w:rPr>
                <w:rtl w:val="0"/>
              </w:rPr>
            </w:r>
          </w:p>
        </w:tc>
      </w:tr>
      <w:tr>
        <w:trPr>
          <w:cantSplit w:val="0"/>
          <w:trHeight w:val="300" w:hRule="atLeast"/>
          <w:tblHeader w:val="0"/>
        </w:trPr>
        <w:tc>
          <w:tcPr>
            <w:tcBorders>
              <w:top w:color="000000" w:space="0" w:sz="0" w:val="nil"/>
              <w:bottom w:color="000000" w:space="0" w:sz="0" w:val="nil"/>
              <w:right w:color="000000" w:space="0" w:sz="4" w:val="single"/>
            </w:tcBorders>
            <w:shd w:fill="auto" w:val="clear"/>
          </w:tcPr>
          <w:p w:rsidR="00000000" w:rsidDel="00000000" w:rsidP="00000000" w:rsidRDefault="00000000" w:rsidRPr="00000000" w14:paraId="000003F8">
            <w:pPr>
              <w:spacing w:after="0" w:line="240" w:lineRule="auto"/>
              <w:rPr>
                <w:i w:val="1"/>
                <w:sz w:val="20"/>
                <w:szCs w:val="20"/>
              </w:rPr>
            </w:pPr>
            <w:r w:rsidDel="00000000" w:rsidR="00000000" w:rsidRPr="00000000">
              <w:rPr>
                <w:sz w:val="20"/>
                <w:szCs w:val="20"/>
                <w:rtl w:val="0"/>
              </w:rPr>
              <w:t xml:space="preserve">K1d</w:t>
            </w: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shd w:fill="e2efda" w:val="clear"/>
          </w:tcPr>
          <w:p w:rsidR="00000000" w:rsidDel="00000000" w:rsidP="00000000" w:rsidRDefault="00000000" w:rsidRPr="00000000" w14:paraId="000003F9">
            <w:pPr>
              <w:spacing w:after="0" w:line="240" w:lineRule="auto"/>
              <w:jc w:val="right"/>
              <w:rPr>
                <w:b w:val="1"/>
                <w:sz w:val="20"/>
                <w:szCs w:val="20"/>
              </w:rPr>
            </w:pPr>
            <w:r w:rsidDel="00000000" w:rsidR="00000000" w:rsidRPr="00000000">
              <w:rPr>
                <w:b w:val="1"/>
                <w:sz w:val="20"/>
                <w:szCs w:val="20"/>
                <w:rtl w:val="0"/>
              </w:rPr>
              <w:t xml:space="preserve">1</w:t>
            </w:r>
          </w:p>
        </w:tc>
        <w:tc>
          <w:tcPr>
            <w:tcBorders>
              <w:top w:color="000000" w:space="0" w:sz="0" w:val="nil"/>
              <w:left w:color="000000" w:space="0" w:sz="4" w:val="single"/>
              <w:bottom w:color="000000" w:space="0" w:sz="0" w:val="nil"/>
              <w:right w:color="000000" w:space="0" w:sz="4" w:val="single"/>
            </w:tcBorders>
            <w:shd w:fill="e2efd9" w:val="clear"/>
          </w:tcPr>
          <w:p w:rsidR="00000000" w:rsidDel="00000000" w:rsidP="00000000" w:rsidRDefault="00000000" w:rsidRPr="00000000" w14:paraId="000003FA">
            <w:pPr>
              <w:spacing w:after="0" w:line="240" w:lineRule="auto"/>
              <w:jc w:val="right"/>
              <w:rPr>
                <w:sz w:val="20"/>
                <w:szCs w:val="20"/>
              </w:rPr>
            </w:pPr>
            <w:r w:rsidDel="00000000" w:rsidR="00000000" w:rsidRPr="00000000">
              <w:rPr>
                <w:sz w:val="20"/>
                <w:szCs w:val="20"/>
                <w:rtl w:val="0"/>
              </w:rPr>
              <w:t xml:space="preserve">1</w:t>
            </w:r>
          </w:p>
        </w:tc>
        <w:tc>
          <w:tcPr>
            <w:tcBorders>
              <w:top w:color="000000" w:space="0" w:sz="0" w:val="nil"/>
              <w:left w:color="000000" w:space="0" w:sz="4" w:val="single"/>
              <w:bottom w:color="000000" w:space="0" w:sz="0" w:val="nil"/>
              <w:right w:color="000000" w:space="0" w:sz="4" w:val="single"/>
            </w:tcBorders>
            <w:shd w:fill="auto" w:val="clear"/>
          </w:tcPr>
          <w:p w:rsidR="00000000" w:rsidDel="00000000" w:rsidP="00000000" w:rsidRDefault="00000000" w:rsidRPr="00000000" w14:paraId="000003FB">
            <w:pPr>
              <w:spacing w:after="0" w:line="240" w:lineRule="auto"/>
              <w:jc w:val="right"/>
              <w:rPr>
                <w:sz w:val="20"/>
                <w:szCs w:val="20"/>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shd w:fill="auto" w:val="clear"/>
          </w:tcPr>
          <w:p w:rsidR="00000000" w:rsidDel="00000000" w:rsidP="00000000" w:rsidRDefault="00000000" w:rsidRPr="00000000" w14:paraId="000003FC">
            <w:pPr>
              <w:spacing w:after="0" w:line="240" w:lineRule="auto"/>
              <w:jc w:val="right"/>
              <w:rPr>
                <w:sz w:val="20"/>
                <w:szCs w:val="20"/>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shd w:fill="auto" w:val="clear"/>
          </w:tcPr>
          <w:p w:rsidR="00000000" w:rsidDel="00000000" w:rsidP="00000000" w:rsidRDefault="00000000" w:rsidRPr="00000000" w14:paraId="000003FD">
            <w:pPr>
              <w:spacing w:after="0" w:line="240" w:lineRule="auto"/>
              <w:jc w:val="right"/>
              <w:rPr>
                <w:rFonts w:ascii="Times New Roman" w:cs="Times New Roman" w:eastAsia="Times New Roman" w:hAnsi="Times New Roman"/>
                <w:sz w:val="18"/>
                <w:szCs w:val="18"/>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tcPr>
          <w:p w:rsidR="00000000" w:rsidDel="00000000" w:rsidP="00000000" w:rsidRDefault="00000000" w:rsidRPr="00000000" w14:paraId="000003FE">
            <w:pPr>
              <w:spacing w:after="0" w:line="240" w:lineRule="auto"/>
              <w:jc w:val="right"/>
              <w:rPr>
                <w:rFonts w:ascii="Times New Roman" w:cs="Times New Roman" w:eastAsia="Times New Roman" w:hAnsi="Times New Roman"/>
                <w:sz w:val="18"/>
                <w:szCs w:val="18"/>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shd w:fill="auto" w:val="clear"/>
          </w:tcPr>
          <w:p w:rsidR="00000000" w:rsidDel="00000000" w:rsidP="00000000" w:rsidRDefault="00000000" w:rsidRPr="00000000" w14:paraId="000003FF">
            <w:pPr>
              <w:spacing w:after="0" w:line="240" w:lineRule="auto"/>
              <w:jc w:val="right"/>
              <w:rPr>
                <w:rFonts w:ascii="Times New Roman" w:cs="Times New Roman" w:eastAsia="Times New Roman" w:hAnsi="Times New Roman"/>
                <w:sz w:val="18"/>
                <w:szCs w:val="18"/>
              </w:rPr>
            </w:pPr>
            <w:r w:rsidDel="00000000" w:rsidR="00000000" w:rsidRPr="00000000">
              <w:rPr>
                <w:rtl w:val="0"/>
              </w:rPr>
            </w:r>
          </w:p>
        </w:tc>
      </w:tr>
      <w:tr>
        <w:trPr>
          <w:cantSplit w:val="0"/>
          <w:trHeight w:val="300" w:hRule="atLeast"/>
          <w:tblHeader w:val="0"/>
        </w:trPr>
        <w:tc>
          <w:tcPr>
            <w:tcBorders>
              <w:top w:color="000000" w:space="0" w:sz="0" w:val="nil"/>
              <w:bottom w:color="000000" w:space="0" w:sz="0" w:val="nil"/>
              <w:right w:color="000000" w:space="0" w:sz="4" w:val="single"/>
            </w:tcBorders>
            <w:shd w:fill="auto" w:val="clear"/>
          </w:tcPr>
          <w:p w:rsidR="00000000" w:rsidDel="00000000" w:rsidP="00000000" w:rsidRDefault="00000000" w:rsidRPr="00000000" w14:paraId="00000400">
            <w:pPr>
              <w:spacing w:after="0" w:line="240" w:lineRule="auto"/>
              <w:rPr>
                <w:i w:val="1"/>
                <w:sz w:val="20"/>
                <w:szCs w:val="20"/>
              </w:rPr>
            </w:pPr>
            <w:r w:rsidDel="00000000" w:rsidR="00000000" w:rsidRPr="00000000">
              <w:rPr>
                <w:sz w:val="20"/>
                <w:szCs w:val="20"/>
                <w:rtl w:val="0"/>
              </w:rPr>
              <w:t xml:space="preserve">K2a6</w:t>
            </w: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shd w:fill="e2efda" w:val="clear"/>
          </w:tcPr>
          <w:p w:rsidR="00000000" w:rsidDel="00000000" w:rsidP="00000000" w:rsidRDefault="00000000" w:rsidRPr="00000000" w14:paraId="00000401">
            <w:pPr>
              <w:spacing w:after="0" w:line="240" w:lineRule="auto"/>
              <w:jc w:val="right"/>
              <w:rPr>
                <w:b w:val="1"/>
                <w:sz w:val="20"/>
                <w:szCs w:val="20"/>
              </w:rPr>
            </w:pPr>
            <w:r w:rsidDel="00000000" w:rsidR="00000000" w:rsidRPr="00000000">
              <w:rPr>
                <w:b w:val="1"/>
                <w:sz w:val="20"/>
                <w:szCs w:val="20"/>
                <w:rtl w:val="0"/>
              </w:rPr>
              <w:t xml:space="preserve">2</w:t>
            </w:r>
          </w:p>
        </w:tc>
        <w:tc>
          <w:tcPr>
            <w:tcBorders>
              <w:top w:color="000000" w:space="0" w:sz="0" w:val="nil"/>
              <w:left w:color="000000" w:space="0" w:sz="4" w:val="single"/>
              <w:bottom w:color="000000" w:space="0" w:sz="0" w:val="nil"/>
              <w:right w:color="000000" w:space="0" w:sz="4" w:val="single"/>
            </w:tcBorders>
            <w:shd w:fill="e2efd9" w:val="clear"/>
          </w:tcPr>
          <w:p w:rsidR="00000000" w:rsidDel="00000000" w:rsidP="00000000" w:rsidRDefault="00000000" w:rsidRPr="00000000" w14:paraId="00000402">
            <w:pPr>
              <w:spacing w:after="0" w:line="240" w:lineRule="auto"/>
              <w:jc w:val="right"/>
              <w:rPr>
                <w:sz w:val="20"/>
                <w:szCs w:val="20"/>
              </w:rPr>
            </w:pPr>
            <w:r w:rsidDel="00000000" w:rsidR="00000000" w:rsidRPr="00000000">
              <w:rPr>
                <w:sz w:val="20"/>
                <w:szCs w:val="20"/>
                <w:rtl w:val="0"/>
              </w:rPr>
              <w:t xml:space="preserve">2</w:t>
            </w:r>
          </w:p>
        </w:tc>
        <w:tc>
          <w:tcPr>
            <w:tcBorders>
              <w:top w:color="000000" w:space="0" w:sz="0" w:val="nil"/>
              <w:left w:color="000000" w:space="0" w:sz="4" w:val="single"/>
              <w:bottom w:color="000000" w:space="0" w:sz="0" w:val="nil"/>
              <w:right w:color="000000" w:space="0" w:sz="4" w:val="single"/>
            </w:tcBorders>
            <w:shd w:fill="e2efd9" w:val="clear"/>
          </w:tcPr>
          <w:p w:rsidR="00000000" w:rsidDel="00000000" w:rsidP="00000000" w:rsidRDefault="00000000" w:rsidRPr="00000000" w14:paraId="00000403">
            <w:pPr>
              <w:spacing w:after="0" w:line="240" w:lineRule="auto"/>
              <w:jc w:val="right"/>
              <w:rPr>
                <w:sz w:val="20"/>
                <w:szCs w:val="20"/>
              </w:rPr>
            </w:pPr>
            <w:r w:rsidDel="00000000" w:rsidR="00000000" w:rsidRPr="00000000">
              <w:rPr>
                <w:sz w:val="20"/>
                <w:szCs w:val="20"/>
                <w:rtl w:val="0"/>
              </w:rPr>
              <w:t xml:space="preserve">1</w:t>
            </w:r>
          </w:p>
        </w:tc>
        <w:tc>
          <w:tcPr>
            <w:tcBorders>
              <w:top w:color="000000" w:space="0" w:sz="0" w:val="nil"/>
              <w:left w:color="000000" w:space="0" w:sz="4" w:val="single"/>
              <w:bottom w:color="000000" w:space="0" w:sz="0" w:val="nil"/>
              <w:right w:color="000000" w:space="0" w:sz="4" w:val="single"/>
            </w:tcBorders>
            <w:shd w:fill="auto" w:val="clear"/>
          </w:tcPr>
          <w:p w:rsidR="00000000" w:rsidDel="00000000" w:rsidP="00000000" w:rsidRDefault="00000000" w:rsidRPr="00000000" w14:paraId="00000404">
            <w:pPr>
              <w:spacing w:after="0" w:line="240" w:lineRule="auto"/>
              <w:jc w:val="right"/>
              <w:rPr>
                <w:sz w:val="20"/>
                <w:szCs w:val="20"/>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shd w:fill="auto" w:val="clear"/>
          </w:tcPr>
          <w:p w:rsidR="00000000" w:rsidDel="00000000" w:rsidP="00000000" w:rsidRDefault="00000000" w:rsidRPr="00000000" w14:paraId="00000405">
            <w:pPr>
              <w:spacing w:after="0" w:line="240" w:lineRule="auto"/>
              <w:jc w:val="right"/>
              <w:rPr>
                <w:rFonts w:ascii="Times New Roman" w:cs="Times New Roman" w:eastAsia="Times New Roman" w:hAnsi="Times New Roman"/>
                <w:sz w:val="18"/>
                <w:szCs w:val="18"/>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tcPr>
          <w:p w:rsidR="00000000" w:rsidDel="00000000" w:rsidP="00000000" w:rsidRDefault="00000000" w:rsidRPr="00000000" w14:paraId="00000406">
            <w:pPr>
              <w:spacing w:after="0" w:line="240" w:lineRule="auto"/>
              <w:jc w:val="right"/>
              <w:rPr>
                <w:rFonts w:ascii="Times New Roman" w:cs="Times New Roman" w:eastAsia="Times New Roman" w:hAnsi="Times New Roman"/>
                <w:sz w:val="18"/>
                <w:szCs w:val="18"/>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shd w:fill="auto" w:val="clear"/>
          </w:tcPr>
          <w:p w:rsidR="00000000" w:rsidDel="00000000" w:rsidP="00000000" w:rsidRDefault="00000000" w:rsidRPr="00000000" w14:paraId="00000407">
            <w:pPr>
              <w:spacing w:after="0" w:line="240" w:lineRule="auto"/>
              <w:jc w:val="right"/>
              <w:rPr>
                <w:rFonts w:ascii="Times New Roman" w:cs="Times New Roman" w:eastAsia="Times New Roman" w:hAnsi="Times New Roman"/>
                <w:sz w:val="18"/>
                <w:szCs w:val="18"/>
              </w:rPr>
            </w:pPr>
            <w:r w:rsidDel="00000000" w:rsidR="00000000" w:rsidRPr="00000000">
              <w:rPr>
                <w:rtl w:val="0"/>
              </w:rPr>
            </w:r>
          </w:p>
        </w:tc>
      </w:tr>
      <w:tr>
        <w:trPr>
          <w:cantSplit w:val="0"/>
          <w:trHeight w:val="300" w:hRule="atLeast"/>
          <w:tblHeader w:val="0"/>
        </w:trPr>
        <w:tc>
          <w:tcPr>
            <w:tcBorders>
              <w:top w:color="000000" w:space="0" w:sz="0" w:val="nil"/>
              <w:right w:color="000000" w:space="0" w:sz="4" w:val="single"/>
            </w:tcBorders>
            <w:shd w:fill="auto" w:val="clear"/>
          </w:tcPr>
          <w:p w:rsidR="00000000" w:rsidDel="00000000" w:rsidP="00000000" w:rsidRDefault="00000000" w:rsidRPr="00000000" w14:paraId="00000408">
            <w:pPr>
              <w:spacing w:after="0" w:line="240" w:lineRule="auto"/>
              <w:rPr>
                <w:sz w:val="20"/>
                <w:szCs w:val="20"/>
              </w:rPr>
            </w:pPr>
            <w:r w:rsidDel="00000000" w:rsidR="00000000" w:rsidRPr="00000000">
              <w:rPr>
                <w:sz w:val="20"/>
                <w:szCs w:val="20"/>
                <w:rtl w:val="0"/>
              </w:rPr>
              <w:t xml:space="preserve">I1*</w:t>
            </w:r>
          </w:p>
        </w:tc>
        <w:tc>
          <w:tcPr>
            <w:tcBorders>
              <w:top w:color="000000" w:space="0" w:sz="0" w:val="nil"/>
              <w:left w:color="000000" w:space="0" w:sz="4" w:val="single"/>
              <w:right w:color="000000" w:space="0" w:sz="4" w:val="single"/>
            </w:tcBorders>
            <w:shd w:fill="e2efda" w:val="clear"/>
          </w:tcPr>
          <w:p w:rsidR="00000000" w:rsidDel="00000000" w:rsidP="00000000" w:rsidRDefault="00000000" w:rsidRPr="00000000" w14:paraId="00000409">
            <w:pPr>
              <w:spacing w:after="0" w:line="240" w:lineRule="auto"/>
              <w:jc w:val="right"/>
              <w:rPr>
                <w:b w:val="1"/>
                <w:sz w:val="20"/>
                <w:szCs w:val="20"/>
              </w:rPr>
            </w:pPr>
            <w:r w:rsidDel="00000000" w:rsidR="00000000" w:rsidRPr="00000000">
              <w:rPr>
                <w:b w:val="1"/>
                <w:sz w:val="20"/>
                <w:szCs w:val="20"/>
                <w:rtl w:val="0"/>
              </w:rPr>
              <w:t xml:space="preserve">1</w:t>
            </w:r>
          </w:p>
        </w:tc>
        <w:tc>
          <w:tcPr>
            <w:tcBorders>
              <w:top w:color="000000" w:space="0" w:sz="0" w:val="nil"/>
              <w:left w:color="000000" w:space="0" w:sz="4" w:val="single"/>
              <w:right w:color="000000" w:space="0" w:sz="4" w:val="single"/>
            </w:tcBorders>
            <w:shd w:fill="e2efd9" w:val="clear"/>
          </w:tcPr>
          <w:p w:rsidR="00000000" w:rsidDel="00000000" w:rsidP="00000000" w:rsidRDefault="00000000" w:rsidRPr="00000000" w14:paraId="0000040A">
            <w:pPr>
              <w:spacing w:after="0" w:line="240" w:lineRule="auto"/>
              <w:jc w:val="right"/>
              <w:rPr>
                <w:sz w:val="20"/>
                <w:szCs w:val="20"/>
              </w:rPr>
            </w:pPr>
            <w:r w:rsidDel="00000000" w:rsidR="00000000" w:rsidRPr="00000000">
              <w:rPr>
                <w:sz w:val="20"/>
                <w:szCs w:val="20"/>
                <w:rtl w:val="0"/>
              </w:rPr>
              <w:t xml:space="preserve">1</w:t>
            </w:r>
          </w:p>
        </w:tc>
        <w:tc>
          <w:tcPr>
            <w:tcBorders>
              <w:top w:color="000000" w:space="0" w:sz="0" w:val="nil"/>
              <w:left w:color="000000" w:space="0" w:sz="4" w:val="single"/>
              <w:right w:color="000000" w:space="0" w:sz="4" w:val="single"/>
            </w:tcBorders>
            <w:shd w:fill="auto" w:val="clear"/>
          </w:tcPr>
          <w:p w:rsidR="00000000" w:rsidDel="00000000" w:rsidP="00000000" w:rsidRDefault="00000000" w:rsidRPr="00000000" w14:paraId="0000040B">
            <w:pPr>
              <w:spacing w:after="0" w:line="240" w:lineRule="auto"/>
              <w:jc w:val="right"/>
              <w:rPr>
                <w:sz w:val="20"/>
                <w:szCs w:val="20"/>
              </w:rPr>
            </w:pPr>
            <w:r w:rsidDel="00000000" w:rsidR="00000000" w:rsidRPr="00000000">
              <w:rPr>
                <w:rtl w:val="0"/>
              </w:rPr>
            </w:r>
          </w:p>
        </w:tc>
        <w:tc>
          <w:tcPr>
            <w:tcBorders>
              <w:top w:color="000000" w:space="0" w:sz="0" w:val="nil"/>
              <w:left w:color="000000" w:space="0" w:sz="4" w:val="single"/>
              <w:right w:color="000000" w:space="0" w:sz="4" w:val="single"/>
            </w:tcBorders>
            <w:shd w:fill="auto" w:val="clear"/>
          </w:tcPr>
          <w:p w:rsidR="00000000" w:rsidDel="00000000" w:rsidP="00000000" w:rsidRDefault="00000000" w:rsidRPr="00000000" w14:paraId="0000040C">
            <w:pPr>
              <w:spacing w:after="0" w:line="240" w:lineRule="auto"/>
              <w:jc w:val="right"/>
              <w:rPr>
                <w:rFonts w:ascii="Times New Roman" w:cs="Times New Roman" w:eastAsia="Times New Roman" w:hAnsi="Times New Roman"/>
                <w:sz w:val="18"/>
                <w:szCs w:val="18"/>
              </w:rPr>
            </w:pPr>
            <w:r w:rsidDel="00000000" w:rsidR="00000000" w:rsidRPr="00000000">
              <w:rPr>
                <w:rtl w:val="0"/>
              </w:rPr>
            </w:r>
          </w:p>
        </w:tc>
        <w:tc>
          <w:tcPr>
            <w:tcBorders>
              <w:top w:color="000000" w:space="0" w:sz="0" w:val="nil"/>
              <w:left w:color="000000" w:space="0" w:sz="4" w:val="single"/>
              <w:right w:color="000000" w:space="0" w:sz="4" w:val="single"/>
            </w:tcBorders>
            <w:shd w:fill="auto" w:val="clear"/>
          </w:tcPr>
          <w:p w:rsidR="00000000" w:rsidDel="00000000" w:rsidP="00000000" w:rsidRDefault="00000000" w:rsidRPr="00000000" w14:paraId="0000040D">
            <w:pPr>
              <w:spacing w:after="0" w:line="240" w:lineRule="auto"/>
              <w:jc w:val="right"/>
              <w:rPr>
                <w:rFonts w:ascii="Times New Roman" w:cs="Times New Roman" w:eastAsia="Times New Roman" w:hAnsi="Times New Roman"/>
                <w:sz w:val="18"/>
                <w:szCs w:val="18"/>
              </w:rPr>
            </w:pPr>
            <w:r w:rsidDel="00000000" w:rsidR="00000000" w:rsidRPr="00000000">
              <w:rPr>
                <w:rtl w:val="0"/>
              </w:rPr>
            </w:r>
          </w:p>
        </w:tc>
        <w:tc>
          <w:tcPr>
            <w:tcBorders>
              <w:top w:color="000000" w:space="0" w:sz="0" w:val="nil"/>
              <w:left w:color="000000" w:space="0" w:sz="4" w:val="single"/>
              <w:right w:color="000000" w:space="0" w:sz="4" w:val="single"/>
            </w:tcBorders>
          </w:tcPr>
          <w:p w:rsidR="00000000" w:rsidDel="00000000" w:rsidP="00000000" w:rsidRDefault="00000000" w:rsidRPr="00000000" w14:paraId="0000040E">
            <w:pPr>
              <w:spacing w:after="0" w:line="240" w:lineRule="auto"/>
              <w:jc w:val="right"/>
              <w:rPr>
                <w:rFonts w:ascii="Times New Roman" w:cs="Times New Roman" w:eastAsia="Times New Roman" w:hAnsi="Times New Roman"/>
                <w:sz w:val="18"/>
                <w:szCs w:val="18"/>
              </w:rPr>
            </w:pPr>
            <w:r w:rsidDel="00000000" w:rsidR="00000000" w:rsidRPr="00000000">
              <w:rPr>
                <w:rtl w:val="0"/>
              </w:rPr>
            </w:r>
          </w:p>
        </w:tc>
        <w:tc>
          <w:tcPr>
            <w:tcBorders>
              <w:top w:color="000000" w:space="0" w:sz="0" w:val="nil"/>
              <w:left w:color="000000" w:space="0" w:sz="4" w:val="single"/>
              <w:right w:color="000000" w:space="0" w:sz="4" w:val="single"/>
            </w:tcBorders>
            <w:shd w:fill="auto" w:val="clear"/>
          </w:tcPr>
          <w:p w:rsidR="00000000" w:rsidDel="00000000" w:rsidP="00000000" w:rsidRDefault="00000000" w:rsidRPr="00000000" w14:paraId="0000040F">
            <w:pPr>
              <w:spacing w:after="0" w:line="240" w:lineRule="auto"/>
              <w:jc w:val="right"/>
              <w:rPr>
                <w:rFonts w:ascii="Times New Roman" w:cs="Times New Roman" w:eastAsia="Times New Roman" w:hAnsi="Times New Roman"/>
                <w:sz w:val="18"/>
                <w:szCs w:val="18"/>
              </w:rPr>
            </w:pPr>
            <w:r w:rsidDel="00000000" w:rsidR="00000000" w:rsidRPr="00000000">
              <w:rPr>
                <w:rtl w:val="0"/>
              </w:rPr>
            </w:r>
          </w:p>
        </w:tc>
      </w:tr>
      <w:tr>
        <w:trPr>
          <w:cantSplit w:val="0"/>
          <w:trHeight w:val="300" w:hRule="atLeast"/>
          <w:tblHeader w:val="0"/>
        </w:trPr>
        <w:tc>
          <w:tcPr>
            <w:tcBorders>
              <w:top w:color="000000" w:space="0" w:sz="0" w:val="nil"/>
              <w:bottom w:color="000000" w:space="0" w:sz="4" w:val="single"/>
              <w:right w:color="000000" w:space="0" w:sz="4" w:val="single"/>
            </w:tcBorders>
            <w:shd w:fill="auto" w:val="clear"/>
          </w:tcPr>
          <w:p w:rsidR="00000000" w:rsidDel="00000000" w:rsidP="00000000" w:rsidRDefault="00000000" w:rsidRPr="00000000" w14:paraId="00000410">
            <w:pPr>
              <w:spacing w:after="0" w:line="240" w:lineRule="auto"/>
              <w:rPr>
                <w:sz w:val="20"/>
                <w:szCs w:val="20"/>
                <w:u w:val="single"/>
              </w:rPr>
            </w:pPr>
            <w:r w:rsidDel="00000000" w:rsidR="00000000" w:rsidRPr="00000000">
              <w:rPr>
                <w:sz w:val="20"/>
                <w:szCs w:val="20"/>
                <w:u w:val="single"/>
                <w:rtl w:val="0"/>
              </w:rPr>
              <w:t xml:space="preserve">X2b4</w:t>
            </w:r>
          </w:p>
        </w:tc>
        <w:tc>
          <w:tcPr>
            <w:tcBorders>
              <w:top w:color="000000" w:space="0" w:sz="0" w:val="nil"/>
              <w:left w:color="000000" w:space="0" w:sz="4" w:val="single"/>
              <w:bottom w:color="000000" w:space="0" w:sz="4" w:val="single"/>
              <w:right w:color="000000" w:space="0" w:sz="4" w:val="single"/>
            </w:tcBorders>
            <w:shd w:fill="e2efda" w:val="clear"/>
          </w:tcPr>
          <w:p w:rsidR="00000000" w:rsidDel="00000000" w:rsidP="00000000" w:rsidRDefault="00000000" w:rsidRPr="00000000" w14:paraId="00000411">
            <w:pPr>
              <w:spacing w:after="0" w:line="240" w:lineRule="auto"/>
              <w:jc w:val="right"/>
              <w:rPr>
                <w:b w:val="1"/>
                <w:sz w:val="20"/>
                <w:szCs w:val="20"/>
              </w:rPr>
            </w:pPr>
            <w:r w:rsidDel="00000000" w:rsidR="00000000" w:rsidRPr="00000000">
              <w:rPr>
                <w:b w:val="1"/>
                <w:sz w:val="20"/>
                <w:szCs w:val="20"/>
                <w:rtl w:val="0"/>
              </w:rPr>
              <w:t xml:space="preserve">1</w:t>
            </w:r>
          </w:p>
        </w:tc>
        <w:tc>
          <w:tcPr>
            <w:tcBorders>
              <w:top w:color="000000" w:space="0" w:sz="0" w:val="nil"/>
              <w:left w:color="000000" w:space="0" w:sz="4" w:val="single"/>
              <w:bottom w:color="000000" w:space="0" w:sz="4" w:val="single"/>
              <w:right w:color="000000" w:space="0" w:sz="4" w:val="single"/>
            </w:tcBorders>
            <w:shd w:fill="e2efda" w:val="clear"/>
          </w:tcPr>
          <w:p w:rsidR="00000000" w:rsidDel="00000000" w:rsidP="00000000" w:rsidRDefault="00000000" w:rsidRPr="00000000" w14:paraId="00000412">
            <w:pPr>
              <w:spacing w:after="0" w:line="240" w:lineRule="auto"/>
              <w:jc w:val="right"/>
              <w:rPr>
                <w:sz w:val="20"/>
                <w:szCs w:val="20"/>
              </w:rPr>
            </w:pPr>
            <w:r w:rsidDel="00000000" w:rsidR="00000000" w:rsidRPr="00000000">
              <w:rPr>
                <w:sz w:val="20"/>
                <w:szCs w:val="20"/>
                <w:rtl w:val="0"/>
              </w:rPr>
              <w:t xml:space="preserve">2</w:t>
            </w:r>
          </w:p>
        </w:tc>
        <w:tc>
          <w:tcPr>
            <w:tcBorders>
              <w:top w:color="000000" w:space="0" w:sz="0" w:val="nil"/>
              <w:left w:color="000000" w:space="0" w:sz="4" w:val="single"/>
              <w:bottom w:color="000000" w:space="0" w:sz="4" w:val="single"/>
              <w:right w:color="000000" w:space="0" w:sz="4" w:val="single"/>
            </w:tcBorders>
            <w:shd w:fill="auto" w:val="clear"/>
          </w:tcPr>
          <w:p w:rsidR="00000000" w:rsidDel="00000000" w:rsidP="00000000" w:rsidRDefault="00000000" w:rsidRPr="00000000" w14:paraId="00000413">
            <w:pPr>
              <w:spacing w:after="0" w:line="240" w:lineRule="auto"/>
              <w:jc w:val="right"/>
              <w:rPr>
                <w:sz w:val="20"/>
                <w:szCs w:val="20"/>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shd w:fill="auto" w:val="clear"/>
          </w:tcPr>
          <w:p w:rsidR="00000000" w:rsidDel="00000000" w:rsidP="00000000" w:rsidRDefault="00000000" w:rsidRPr="00000000" w14:paraId="00000414">
            <w:pPr>
              <w:spacing w:after="0" w:line="240" w:lineRule="auto"/>
              <w:jc w:val="right"/>
              <w:rPr>
                <w:rFonts w:ascii="Times New Roman" w:cs="Times New Roman" w:eastAsia="Times New Roman" w:hAnsi="Times New Roman"/>
                <w:sz w:val="18"/>
                <w:szCs w:val="18"/>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shd w:fill="auto" w:val="clear"/>
          </w:tcPr>
          <w:p w:rsidR="00000000" w:rsidDel="00000000" w:rsidP="00000000" w:rsidRDefault="00000000" w:rsidRPr="00000000" w14:paraId="00000415">
            <w:pPr>
              <w:spacing w:after="0" w:line="240" w:lineRule="auto"/>
              <w:jc w:val="right"/>
              <w:rPr>
                <w:rFonts w:ascii="Times New Roman" w:cs="Times New Roman" w:eastAsia="Times New Roman" w:hAnsi="Times New Roman"/>
                <w:sz w:val="18"/>
                <w:szCs w:val="18"/>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416">
            <w:pPr>
              <w:spacing w:after="0" w:line="240" w:lineRule="auto"/>
              <w:jc w:val="right"/>
              <w:rPr>
                <w:rFonts w:ascii="Times New Roman" w:cs="Times New Roman" w:eastAsia="Times New Roman" w:hAnsi="Times New Roman"/>
                <w:sz w:val="18"/>
                <w:szCs w:val="18"/>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shd w:fill="auto" w:val="clear"/>
          </w:tcPr>
          <w:p w:rsidR="00000000" w:rsidDel="00000000" w:rsidP="00000000" w:rsidRDefault="00000000" w:rsidRPr="00000000" w14:paraId="00000417">
            <w:pPr>
              <w:spacing w:after="0" w:line="240" w:lineRule="auto"/>
              <w:jc w:val="right"/>
              <w:rPr>
                <w:rFonts w:ascii="Times New Roman" w:cs="Times New Roman" w:eastAsia="Times New Roman" w:hAnsi="Times New Roman"/>
                <w:sz w:val="18"/>
                <w:szCs w:val="18"/>
              </w:rPr>
            </w:pPr>
            <w:r w:rsidDel="00000000" w:rsidR="00000000" w:rsidRPr="00000000">
              <w:rPr>
                <w:rtl w:val="0"/>
              </w:rPr>
            </w:r>
          </w:p>
        </w:tc>
      </w:tr>
    </w:tbl>
    <w:p w:rsidR="00000000" w:rsidDel="00000000" w:rsidP="00000000" w:rsidRDefault="00000000" w:rsidRPr="00000000" w14:paraId="00000418">
      <w:pPr>
        <w:spacing w:before="160" w:lineRule="auto"/>
        <w:jc w:val="both"/>
        <w:rPr/>
      </w:pPr>
      <w:r w:rsidDel="00000000" w:rsidR="00000000" w:rsidRPr="00000000">
        <w:rPr>
          <w:rtl w:val="0"/>
        </w:rPr>
        <w:t xml:space="preserve">We found NorthSea-specific associated lineages across all regions of England (Supp. Table 2.4). Similarly, when looking at the distribution of these lineages across the continental groups, we found these across all three countries: Germany, the Netherlands, and Denmark (including the “Viking” group from Denmark). Only three lineages appeared country specific; these are J2a1a1a2, found in samples from Oakington, Norton Bishops Mill, Dover Buckland and Polhill, and also at just one site (Groningen) in the northern Netherlands; K1a1b2a1a, found at both RAF Lakenheath in East Anglia, and at the 7</w:t>
      </w:r>
      <w:r w:rsidDel="00000000" w:rsidR="00000000" w:rsidRPr="00000000">
        <w:rPr>
          <w:vertAlign w:val="superscript"/>
          <w:rtl w:val="0"/>
        </w:rPr>
        <w:t xml:space="preserve">th</w:t>
      </w:r>
      <w:r w:rsidDel="00000000" w:rsidR="00000000" w:rsidRPr="00000000">
        <w:rPr>
          <w:rtl w:val="0"/>
        </w:rPr>
        <w:t xml:space="preserve"> century CE Alemannic burial site of Niederstotzingen, in southern Germany; and X2b4 found at West Heslerton, and again at Niederstotzingen.</w:t>
      </w:r>
    </w:p>
    <w:p w:rsidR="00000000" w:rsidDel="00000000" w:rsidP="00000000" w:rsidRDefault="00000000" w:rsidRPr="00000000" w14:paraId="00000419">
      <w:pPr>
        <w:keepNext w:val="1"/>
        <w:spacing w:after="200" w:line="240" w:lineRule="auto"/>
        <w:jc w:val="both"/>
        <w:rPr>
          <w:i w:val="1"/>
          <w:sz w:val="18"/>
          <w:szCs w:val="18"/>
        </w:rPr>
      </w:pPr>
      <w:r w:rsidDel="00000000" w:rsidR="00000000" w:rsidRPr="00000000">
        <w:rPr>
          <w:i w:val="1"/>
          <w:sz w:val="18"/>
          <w:szCs w:val="18"/>
          <w:rtl w:val="0"/>
        </w:rPr>
        <w:t xml:space="preserve">Supp. Table 2.4. Distribution of samples carrying mitochondrial lineages of putative continental medieval origin across the Eng_EMA sample. The “N.Sea” and “Scand” columns include counts for lineages that are found exclusively in each group, while the “N.Sea&amp;Scand” column, includes counts of lineages that are shared by both. </w:t>
      </w:r>
    </w:p>
    <w:tbl>
      <w:tblPr>
        <w:tblStyle w:val="Table3"/>
        <w:tblW w:w="8798.0" w:type="dxa"/>
        <w:jc w:val="left"/>
        <w:tblInd w:w="0.0" w:type="dxa"/>
        <w:tblLayout w:type="fixed"/>
        <w:tblLook w:val="0400"/>
      </w:tblPr>
      <w:tblGrid>
        <w:gridCol w:w="3638"/>
        <w:gridCol w:w="606"/>
        <w:gridCol w:w="765"/>
        <w:gridCol w:w="595"/>
        <w:gridCol w:w="733"/>
        <w:gridCol w:w="539"/>
        <w:gridCol w:w="1440"/>
        <w:gridCol w:w="482"/>
        <w:tblGridChange w:id="0">
          <w:tblGrid>
            <w:gridCol w:w="3638"/>
            <w:gridCol w:w="606"/>
            <w:gridCol w:w="765"/>
            <w:gridCol w:w="595"/>
            <w:gridCol w:w="733"/>
            <w:gridCol w:w="539"/>
            <w:gridCol w:w="1440"/>
            <w:gridCol w:w="482"/>
          </w:tblGrid>
        </w:tblGridChange>
      </w:tblGrid>
      <w:tr>
        <w:trPr>
          <w:cantSplit w:val="0"/>
          <w:trHeight w:val="31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41A">
            <w:pPr>
              <w:spacing w:after="0" w:line="240" w:lineRule="auto"/>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41B">
            <w:pPr>
              <w:spacing w:after="0" w:line="240" w:lineRule="auto"/>
              <w:rPr>
                <w:sz w:val="20"/>
                <w:szCs w:val="20"/>
              </w:rPr>
            </w:pPr>
            <w:r w:rsidDel="00000000" w:rsidR="00000000" w:rsidRPr="00000000">
              <w:rPr>
                <w:rtl w:val="0"/>
              </w:rPr>
            </w:r>
          </w:p>
        </w:tc>
        <w:tc>
          <w:tcPr>
            <w:gridSpan w:val="6"/>
            <w:tcBorders>
              <w:top w:color="000000" w:space="0" w:sz="4" w:val="single"/>
              <w:left w:color="000000" w:space="0" w:sz="0" w:val="nil"/>
              <w:bottom w:color="000000" w:space="0" w:sz="4" w:val="single"/>
              <w:right w:color="000000" w:space="0" w:sz="0" w:val="nil"/>
            </w:tcBorders>
            <w:shd w:fill="auto" w:val="clear"/>
            <w:vAlign w:val="bottom"/>
          </w:tcPr>
          <w:p w:rsidR="00000000" w:rsidDel="00000000" w:rsidP="00000000" w:rsidRDefault="00000000" w:rsidRPr="00000000" w14:paraId="0000041C">
            <w:pPr>
              <w:spacing w:after="0" w:line="240" w:lineRule="auto"/>
              <w:jc w:val="center"/>
              <w:rPr>
                <w:b w:val="1"/>
                <w:sz w:val="20"/>
                <w:szCs w:val="20"/>
              </w:rPr>
            </w:pPr>
            <w:r w:rsidDel="00000000" w:rsidR="00000000" w:rsidRPr="00000000">
              <w:rPr>
                <w:b w:val="1"/>
                <w:sz w:val="20"/>
                <w:szCs w:val="20"/>
                <w:rtl w:val="0"/>
              </w:rPr>
              <w:t xml:space="preserve">Shared</w:t>
            </w:r>
          </w:p>
        </w:tc>
      </w:tr>
      <w:tr>
        <w:trPr>
          <w:cantSplit w:val="0"/>
          <w:trHeight w:val="315" w:hRule="atLeast"/>
          <w:tblHeader w:val="0"/>
        </w:trPr>
        <w:tc>
          <w:tcPr>
            <w:tcBorders>
              <w:top w:color="000000" w:space="0" w:sz="0" w:val="nil"/>
              <w:left w:color="000000" w:space="0" w:sz="0" w:val="nil"/>
              <w:bottom w:color="8ea9db" w:space="0" w:sz="4" w:val="single"/>
              <w:right w:color="000000" w:space="0" w:sz="0" w:val="nil"/>
            </w:tcBorders>
            <w:shd w:fill="auto" w:val="clear"/>
            <w:vAlign w:val="center"/>
          </w:tcPr>
          <w:p w:rsidR="00000000" w:rsidDel="00000000" w:rsidP="00000000" w:rsidRDefault="00000000" w:rsidRPr="00000000" w14:paraId="00000422">
            <w:pPr>
              <w:spacing w:after="0" w:line="240" w:lineRule="auto"/>
              <w:jc w:val="center"/>
              <w:rPr>
                <w:b w:val="1"/>
                <w:sz w:val="20"/>
                <w:szCs w:val="20"/>
              </w:rPr>
            </w:pPr>
            <w:r w:rsidDel="00000000" w:rsidR="00000000" w:rsidRPr="00000000">
              <w:rPr>
                <w:b w:val="1"/>
                <w:sz w:val="20"/>
                <w:szCs w:val="20"/>
                <w:rtl w:val="0"/>
              </w:rPr>
              <w:t xml:space="preserve">England_EMA</w:t>
            </w:r>
          </w:p>
        </w:tc>
        <w:tc>
          <w:tcPr>
            <w:tcBorders>
              <w:top w:color="000000" w:space="0" w:sz="0" w:val="nil"/>
              <w:left w:color="000000" w:space="0" w:sz="0" w:val="nil"/>
              <w:bottom w:color="8ea9db" w:space="0" w:sz="4" w:val="single"/>
              <w:right w:color="000000" w:space="0" w:sz="0" w:val="nil"/>
            </w:tcBorders>
            <w:shd w:fill="auto" w:val="clear"/>
            <w:vAlign w:val="center"/>
          </w:tcPr>
          <w:p w:rsidR="00000000" w:rsidDel="00000000" w:rsidP="00000000" w:rsidRDefault="00000000" w:rsidRPr="00000000" w14:paraId="00000423">
            <w:pPr>
              <w:spacing w:after="0" w:line="240" w:lineRule="auto"/>
              <w:jc w:val="center"/>
              <w:rPr>
                <w:b w:val="1"/>
                <w:i w:val="1"/>
                <w:sz w:val="20"/>
                <w:szCs w:val="20"/>
              </w:rPr>
            </w:pPr>
            <w:r w:rsidDel="00000000" w:rsidR="00000000" w:rsidRPr="00000000">
              <w:rPr>
                <w:b w:val="1"/>
                <w:i w:val="1"/>
                <w:sz w:val="20"/>
                <w:szCs w:val="20"/>
                <w:rtl w:val="0"/>
              </w:rPr>
              <w:t xml:space="preserve">n</w:t>
            </w:r>
          </w:p>
        </w:tc>
        <w:tc>
          <w:tcPr>
            <w:tcBorders>
              <w:top w:color="000000" w:space="0" w:sz="4" w:val="single"/>
              <w:left w:color="000000" w:space="0" w:sz="0" w:val="nil"/>
              <w:bottom w:color="8ea9db" w:space="0" w:sz="4" w:val="single"/>
              <w:right w:color="000000" w:space="0" w:sz="0" w:val="nil"/>
            </w:tcBorders>
            <w:shd w:fill="auto" w:val="clear"/>
            <w:vAlign w:val="center"/>
          </w:tcPr>
          <w:p w:rsidR="00000000" w:rsidDel="00000000" w:rsidP="00000000" w:rsidRDefault="00000000" w:rsidRPr="00000000" w14:paraId="00000424">
            <w:pPr>
              <w:spacing w:after="0" w:line="240" w:lineRule="auto"/>
              <w:jc w:val="center"/>
              <w:rPr>
                <w:b w:val="1"/>
                <w:sz w:val="20"/>
                <w:szCs w:val="20"/>
              </w:rPr>
            </w:pPr>
            <w:r w:rsidDel="00000000" w:rsidR="00000000" w:rsidRPr="00000000">
              <w:rPr>
                <w:b w:val="1"/>
                <w:sz w:val="20"/>
                <w:szCs w:val="20"/>
                <w:rtl w:val="0"/>
              </w:rPr>
              <w:t xml:space="preserve">N.Sea</w:t>
            </w:r>
          </w:p>
        </w:tc>
        <w:tc>
          <w:tcPr>
            <w:tcBorders>
              <w:top w:color="000000" w:space="0" w:sz="4" w:val="single"/>
              <w:left w:color="000000" w:space="0" w:sz="0" w:val="nil"/>
              <w:bottom w:color="8ea9db" w:space="0" w:sz="4" w:val="single"/>
              <w:right w:color="000000" w:space="0" w:sz="0" w:val="nil"/>
            </w:tcBorders>
            <w:shd w:fill="auto" w:val="clear"/>
            <w:vAlign w:val="center"/>
          </w:tcPr>
          <w:p w:rsidR="00000000" w:rsidDel="00000000" w:rsidP="00000000" w:rsidRDefault="00000000" w:rsidRPr="00000000" w14:paraId="00000425">
            <w:pPr>
              <w:spacing w:after="0" w:line="240" w:lineRule="auto"/>
              <w:jc w:val="center"/>
              <w:rPr>
                <w:b w:val="1"/>
                <w:sz w:val="20"/>
                <w:szCs w:val="20"/>
                <w:vertAlign w:val="superscript"/>
              </w:rPr>
            </w:pPr>
            <w:r w:rsidDel="00000000" w:rsidR="00000000" w:rsidRPr="00000000">
              <w:rPr>
                <w:b w:val="1"/>
                <w:sz w:val="20"/>
                <w:szCs w:val="20"/>
                <w:rtl w:val="0"/>
              </w:rPr>
              <w:t xml:space="preserve">%</w:t>
            </w:r>
            <w:r w:rsidDel="00000000" w:rsidR="00000000" w:rsidRPr="00000000">
              <w:rPr>
                <w:b w:val="1"/>
                <w:sz w:val="20"/>
                <w:szCs w:val="20"/>
                <w:vertAlign w:val="superscript"/>
                <w:rtl w:val="0"/>
              </w:rPr>
              <w:t xml:space="preserve">a</w:t>
            </w:r>
          </w:p>
        </w:tc>
        <w:tc>
          <w:tcPr>
            <w:tcBorders>
              <w:top w:color="000000" w:space="0" w:sz="4" w:val="single"/>
              <w:left w:color="000000" w:space="0" w:sz="0" w:val="nil"/>
              <w:bottom w:color="8ea9db" w:space="0" w:sz="4" w:val="single"/>
              <w:right w:color="000000" w:space="0" w:sz="0" w:val="nil"/>
            </w:tcBorders>
            <w:shd w:fill="auto" w:val="clear"/>
            <w:vAlign w:val="center"/>
          </w:tcPr>
          <w:p w:rsidR="00000000" w:rsidDel="00000000" w:rsidP="00000000" w:rsidRDefault="00000000" w:rsidRPr="00000000" w14:paraId="00000426">
            <w:pPr>
              <w:spacing w:after="0" w:line="240" w:lineRule="auto"/>
              <w:jc w:val="center"/>
              <w:rPr>
                <w:b w:val="1"/>
                <w:sz w:val="20"/>
                <w:szCs w:val="20"/>
              </w:rPr>
            </w:pPr>
            <w:r w:rsidDel="00000000" w:rsidR="00000000" w:rsidRPr="00000000">
              <w:rPr>
                <w:b w:val="1"/>
                <w:sz w:val="20"/>
                <w:szCs w:val="20"/>
                <w:rtl w:val="0"/>
              </w:rPr>
              <w:t xml:space="preserve">Scand</w:t>
            </w:r>
          </w:p>
        </w:tc>
        <w:tc>
          <w:tcPr>
            <w:tcBorders>
              <w:top w:color="000000" w:space="0" w:sz="4" w:val="single"/>
              <w:left w:color="000000" w:space="0" w:sz="0" w:val="nil"/>
              <w:bottom w:color="8ea9db" w:space="0" w:sz="4" w:val="single"/>
              <w:right w:color="000000" w:space="0" w:sz="0" w:val="nil"/>
            </w:tcBorders>
            <w:shd w:fill="auto" w:val="clear"/>
            <w:vAlign w:val="center"/>
          </w:tcPr>
          <w:p w:rsidR="00000000" w:rsidDel="00000000" w:rsidP="00000000" w:rsidRDefault="00000000" w:rsidRPr="00000000" w14:paraId="00000427">
            <w:pPr>
              <w:spacing w:after="0" w:line="240" w:lineRule="auto"/>
              <w:jc w:val="center"/>
              <w:rPr>
                <w:b w:val="1"/>
                <w:sz w:val="20"/>
                <w:szCs w:val="20"/>
                <w:vertAlign w:val="superscript"/>
              </w:rPr>
            </w:pPr>
            <w:r w:rsidDel="00000000" w:rsidR="00000000" w:rsidRPr="00000000">
              <w:rPr>
                <w:b w:val="1"/>
                <w:sz w:val="20"/>
                <w:szCs w:val="20"/>
                <w:rtl w:val="0"/>
              </w:rPr>
              <w:t xml:space="preserve">%</w:t>
            </w:r>
            <w:r w:rsidDel="00000000" w:rsidR="00000000" w:rsidRPr="00000000">
              <w:rPr>
                <w:b w:val="1"/>
                <w:sz w:val="20"/>
                <w:szCs w:val="20"/>
                <w:vertAlign w:val="superscript"/>
                <w:rtl w:val="0"/>
              </w:rPr>
              <w:t xml:space="preserve">a</w:t>
            </w:r>
          </w:p>
        </w:tc>
        <w:tc>
          <w:tcPr>
            <w:tcBorders>
              <w:top w:color="000000" w:space="0" w:sz="4" w:val="single"/>
              <w:left w:color="000000" w:space="0" w:sz="0" w:val="nil"/>
              <w:bottom w:color="8ea9db" w:space="0" w:sz="4" w:val="single"/>
              <w:right w:color="000000" w:space="0" w:sz="0" w:val="nil"/>
            </w:tcBorders>
            <w:shd w:fill="auto" w:val="clear"/>
            <w:vAlign w:val="center"/>
          </w:tcPr>
          <w:p w:rsidR="00000000" w:rsidDel="00000000" w:rsidP="00000000" w:rsidRDefault="00000000" w:rsidRPr="00000000" w14:paraId="00000428">
            <w:pPr>
              <w:spacing w:after="0" w:line="240" w:lineRule="auto"/>
              <w:jc w:val="center"/>
              <w:rPr>
                <w:b w:val="1"/>
                <w:sz w:val="20"/>
                <w:szCs w:val="20"/>
              </w:rPr>
            </w:pPr>
            <w:r w:rsidDel="00000000" w:rsidR="00000000" w:rsidRPr="00000000">
              <w:rPr>
                <w:b w:val="1"/>
                <w:sz w:val="20"/>
                <w:szCs w:val="20"/>
                <w:rtl w:val="0"/>
              </w:rPr>
              <w:t xml:space="preserve">N.Sea&amp;Scand</w:t>
            </w:r>
          </w:p>
        </w:tc>
        <w:tc>
          <w:tcPr>
            <w:tcBorders>
              <w:top w:color="000000" w:space="0" w:sz="4" w:val="single"/>
              <w:left w:color="000000" w:space="0" w:sz="0" w:val="nil"/>
              <w:bottom w:color="8ea9db" w:space="0" w:sz="4" w:val="single"/>
              <w:right w:color="000000" w:space="0" w:sz="0" w:val="nil"/>
            </w:tcBorders>
            <w:shd w:fill="auto" w:val="clear"/>
            <w:vAlign w:val="center"/>
          </w:tcPr>
          <w:p w:rsidR="00000000" w:rsidDel="00000000" w:rsidP="00000000" w:rsidRDefault="00000000" w:rsidRPr="00000000" w14:paraId="00000429">
            <w:pPr>
              <w:spacing w:after="0" w:line="240" w:lineRule="auto"/>
              <w:jc w:val="center"/>
              <w:rPr>
                <w:b w:val="1"/>
                <w:sz w:val="20"/>
                <w:szCs w:val="20"/>
                <w:vertAlign w:val="superscript"/>
              </w:rPr>
            </w:pPr>
            <w:r w:rsidDel="00000000" w:rsidR="00000000" w:rsidRPr="00000000">
              <w:rPr>
                <w:b w:val="1"/>
                <w:sz w:val="20"/>
                <w:szCs w:val="20"/>
                <w:rtl w:val="0"/>
              </w:rPr>
              <w:t xml:space="preserve">%</w:t>
            </w:r>
            <w:r w:rsidDel="00000000" w:rsidR="00000000" w:rsidRPr="00000000">
              <w:rPr>
                <w:b w:val="1"/>
                <w:sz w:val="20"/>
                <w:szCs w:val="20"/>
                <w:vertAlign w:val="superscript"/>
                <w:rtl w:val="0"/>
              </w:rPr>
              <w:t xml:space="preserve">a</w:t>
            </w:r>
          </w:p>
        </w:tc>
      </w:tr>
      <w:tr>
        <w:trPr>
          <w:cantSplit w:val="0"/>
          <w:trHeight w:val="315" w:hRule="atLeast"/>
          <w:tblHeader w:val="0"/>
        </w:trPr>
        <w:tc>
          <w:tcPr>
            <w:tcBorders>
              <w:top w:color="000000" w:space="0" w:sz="0" w:val="nil"/>
              <w:left w:color="000000" w:space="0" w:sz="0" w:val="nil"/>
              <w:bottom w:color="8ea9db" w:space="0" w:sz="4" w:val="single"/>
              <w:right w:color="000000" w:space="0" w:sz="0" w:val="nil"/>
            </w:tcBorders>
            <w:shd w:fill="f2f2f2" w:val="clear"/>
            <w:vAlign w:val="center"/>
          </w:tcPr>
          <w:p w:rsidR="00000000" w:rsidDel="00000000" w:rsidP="00000000" w:rsidRDefault="00000000" w:rsidRPr="00000000" w14:paraId="0000042A">
            <w:pPr>
              <w:spacing w:after="0" w:line="240" w:lineRule="auto"/>
              <w:rPr>
                <w:b w:val="1"/>
                <w:sz w:val="20"/>
                <w:szCs w:val="20"/>
              </w:rPr>
            </w:pPr>
            <w:r w:rsidDel="00000000" w:rsidR="00000000" w:rsidRPr="00000000">
              <w:rPr>
                <w:b w:val="1"/>
                <w:sz w:val="20"/>
                <w:szCs w:val="20"/>
                <w:rtl w:val="0"/>
              </w:rPr>
              <w:t xml:space="preserve">England</w:t>
            </w:r>
          </w:p>
        </w:tc>
        <w:tc>
          <w:tcPr>
            <w:tcBorders>
              <w:top w:color="000000" w:space="0" w:sz="0" w:val="nil"/>
              <w:left w:color="000000" w:space="0" w:sz="0" w:val="nil"/>
              <w:bottom w:color="8ea9db" w:space="0" w:sz="4" w:val="single"/>
              <w:right w:color="000000" w:space="0" w:sz="0" w:val="nil"/>
            </w:tcBorders>
            <w:shd w:fill="f2f2f2" w:val="clear"/>
            <w:vAlign w:val="center"/>
          </w:tcPr>
          <w:p w:rsidR="00000000" w:rsidDel="00000000" w:rsidP="00000000" w:rsidRDefault="00000000" w:rsidRPr="00000000" w14:paraId="0000042B">
            <w:pPr>
              <w:spacing w:after="0" w:line="240" w:lineRule="auto"/>
              <w:jc w:val="right"/>
              <w:rPr>
                <w:b w:val="1"/>
                <w:sz w:val="20"/>
                <w:szCs w:val="20"/>
              </w:rPr>
            </w:pPr>
            <w:r w:rsidDel="00000000" w:rsidR="00000000" w:rsidRPr="00000000">
              <w:rPr>
                <w:b w:val="1"/>
                <w:sz w:val="20"/>
                <w:szCs w:val="20"/>
                <w:rtl w:val="0"/>
              </w:rPr>
              <w:t xml:space="preserve">249</w:t>
            </w:r>
          </w:p>
        </w:tc>
        <w:tc>
          <w:tcPr>
            <w:tcBorders>
              <w:top w:color="000000" w:space="0" w:sz="0" w:val="nil"/>
              <w:left w:color="000000" w:space="0" w:sz="0" w:val="nil"/>
              <w:bottom w:color="8ea9db" w:space="0" w:sz="4" w:val="single"/>
              <w:right w:color="000000" w:space="0" w:sz="0" w:val="nil"/>
            </w:tcBorders>
            <w:shd w:fill="f2f2f2" w:val="clear"/>
            <w:vAlign w:val="center"/>
          </w:tcPr>
          <w:p w:rsidR="00000000" w:rsidDel="00000000" w:rsidP="00000000" w:rsidRDefault="00000000" w:rsidRPr="00000000" w14:paraId="0000042C">
            <w:pPr>
              <w:spacing w:after="0" w:line="240" w:lineRule="auto"/>
              <w:jc w:val="right"/>
              <w:rPr>
                <w:b w:val="1"/>
                <w:sz w:val="20"/>
                <w:szCs w:val="20"/>
              </w:rPr>
            </w:pPr>
            <w:r w:rsidDel="00000000" w:rsidR="00000000" w:rsidRPr="00000000">
              <w:rPr>
                <w:b w:val="1"/>
                <w:sz w:val="20"/>
                <w:szCs w:val="20"/>
                <w:rtl w:val="0"/>
              </w:rPr>
              <w:t xml:space="preserve">42</w:t>
            </w:r>
          </w:p>
        </w:tc>
        <w:tc>
          <w:tcPr>
            <w:tcBorders>
              <w:top w:color="000000" w:space="0" w:sz="0" w:val="nil"/>
              <w:left w:color="000000" w:space="0" w:sz="0" w:val="nil"/>
              <w:bottom w:color="8ea9db" w:space="0" w:sz="4" w:val="single"/>
              <w:right w:color="000000" w:space="0" w:sz="0" w:val="nil"/>
            </w:tcBorders>
            <w:shd w:fill="f2f2f2" w:val="clear"/>
            <w:vAlign w:val="center"/>
          </w:tcPr>
          <w:p w:rsidR="00000000" w:rsidDel="00000000" w:rsidP="00000000" w:rsidRDefault="00000000" w:rsidRPr="00000000" w14:paraId="0000042D">
            <w:pPr>
              <w:spacing w:after="0" w:line="240" w:lineRule="auto"/>
              <w:jc w:val="right"/>
              <w:rPr>
                <w:b w:val="1"/>
                <w:sz w:val="20"/>
                <w:szCs w:val="20"/>
              </w:rPr>
            </w:pPr>
            <w:r w:rsidDel="00000000" w:rsidR="00000000" w:rsidRPr="00000000">
              <w:rPr>
                <w:b w:val="1"/>
                <w:sz w:val="20"/>
                <w:szCs w:val="20"/>
                <w:rtl w:val="0"/>
              </w:rPr>
              <w:t xml:space="preserve">17</w:t>
            </w:r>
          </w:p>
        </w:tc>
        <w:tc>
          <w:tcPr>
            <w:tcBorders>
              <w:top w:color="000000" w:space="0" w:sz="0" w:val="nil"/>
              <w:left w:color="000000" w:space="0" w:sz="0" w:val="nil"/>
              <w:bottom w:color="8ea9db" w:space="0" w:sz="4" w:val="single"/>
              <w:right w:color="000000" w:space="0" w:sz="0" w:val="nil"/>
            </w:tcBorders>
            <w:shd w:fill="f2f2f2" w:val="clear"/>
            <w:vAlign w:val="center"/>
          </w:tcPr>
          <w:p w:rsidR="00000000" w:rsidDel="00000000" w:rsidP="00000000" w:rsidRDefault="00000000" w:rsidRPr="00000000" w14:paraId="0000042E">
            <w:pPr>
              <w:spacing w:after="0" w:line="240" w:lineRule="auto"/>
              <w:jc w:val="right"/>
              <w:rPr>
                <w:b w:val="1"/>
                <w:sz w:val="20"/>
                <w:szCs w:val="20"/>
              </w:rPr>
            </w:pPr>
            <w:r w:rsidDel="00000000" w:rsidR="00000000" w:rsidRPr="00000000">
              <w:rPr>
                <w:b w:val="1"/>
                <w:sz w:val="20"/>
                <w:szCs w:val="20"/>
                <w:rtl w:val="0"/>
              </w:rPr>
              <w:t xml:space="preserve">21</w:t>
            </w:r>
          </w:p>
        </w:tc>
        <w:tc>
          <w:tcPr>
            <w:tcBorders>
              <w:top w:color="000000" w:space="0" w:sz="0" w:val="nil"/>
              <w:left w:color="000000" w:space="0" w:sz="0" w:val="nil"/>
              <w:bottom w:color="8ea9db" w:space="0" w:sz="4" w:val="single"/>
              <w:right w:color="000000" w:space="0" w:sz="0" w:val="nil"/>
            </w:tcBorders>
            <w:shd w:fill="f2f2f2" w:val="clear"/>
            <w:vAlign w:val="center"/>
          </w:tcPr>
          <w:p w:rsidR="00000000" w:rsidDel="00000000" w:rsidP="00000000" w:rsidRDefault="00000000" w:rsidRPr="00000000" w14:paraId="0000042F">
            <w:pPr>
              <w:spacing w:after="0" w:line="240" w:lineRule="auto"/>
              <w:jc w:val="right"/>
              <w:rPr>
                <w:b w:val="1"/>
                <w:sz w:val="20"/>
                <w:szCs w:val="20"/>
              </w:rPr>
            </w:pPr>
            <w:r w:rsidDel="00000000" w:rsidR="00000000" w:rsidRPr="00000000">
              <w:rPr>
                <w:b w:val="1"/>
                <w:sz w:val="20"/>
                <w:szCs w:val="20"/>
                <w:rtl w:val="0"/>
              </w:rPr>
              <w:t xml:space="preserve">8</w:t>
            </w:r>
          </w:p>
        </w:tc>
        <w:tc>
          <w:tcPr>
            <w:tcBorders>
              <w:top w:color="000000" w:space="0" w:sz="0" w:val="nil"/>
              <w:left w:color="000000" w:space="0" w:sz="0" w:val="nil"/>
              <w:bottom w:color="8ea9db" w:space="0" w:sz="4" w:val="single"/>
              <w:right w:color="000000" w:space="0" w:sz="0" w:val="nil"/>
            </w:tcBorders>
            <w:shd w:fill="f2f2f2" w:val="clear"/>
            <w:vAlign w:val="center"/>
          </w:tcPr>
          <w:p w:rsidR="00000000" w:rsidDel="00000000" w:rsidP="00000000" w:rsidRDefault="00000000" w:rsidRPr="00000000" w14:paraId="00000430">
            <w:pPr>
              <w:spacing w:after="0" w:line="240" w:lineRule="auto"/>
              <w:jc w:val="right"/>
              <w:rPr>
                <w:b w:val="1"/>
                <w:sz w:val="20"/>
                <w:szCs w:val="20"/>
              </w:rPr>
            </w:pPr>
            <w:r w:rsidDel="00000000" w:rsidR="00000000" w:rsidRPr="00000000">
              <w:rPr>
                <w:b w:val="1"/>
                <w:sz w:val="20"/>
                <w:szCs w:val="20"/>
                <w:rtl w:val="0"/>
              </w:rPr>
              <w:t xml:space="preserve">13</w:t>
            </w:r>
          </w:p>
        </w:tc>
        <w:tc>
          <w:tcPr>
            <w:tcBorders>
              <w:top w:color="000000" w:space="0" w:sz="0" w:val="nil"/>
              <w:left w:color="000000" w:space="0" w:sz="0" w:val="nil"/>
              <w:bottom w:color="8ea9db" w:space="0" w:sz="4" w:val="single"/>
              <w:right w:color="000000" w:space="0" w:sz="0" w:val="nil"/>
            </w:tcBorders>
            <w:shd w:fill="f2f2f2" w:val="clear"/>
            <w:vAlign w:val="center"/>
          </w:tcPr>
          <w:p w:rsidR="00000000" w:rsidDel="00000000" w:rsidP="00000000" w:rsidRDefault="00000000" w:rsidRPr="00000000" w14:paraId="00000431">
            <w:pPr>
              <w:spacing w:after="0" w:line="240" w:lineRule="auto"/>
              <w:jc w:val="right"/>
              <w:rPr>
                <w:b w:val="1"/>
                <w:sz w:val="20"/>
                <w:szCs w:val="20"/>
              </w:rPr>
            </w:pPr>
            <w:r w:rsidDel="00000000" w:rsidR="00000000" w:rsidRPr="00000000">
              <w:rPr>
                <w:b w:val="1"/>
                <w:sz w:val="20"/>
                <w:szCs w:val="20"/>
                <w:rtl w:val="0"/>
              </w:rPr>
              <w:t xml:space="preserve">5</w:t>
            </w:r>
          </w:p>
        </w:tc>
      </w:tr>
      <w:tr>
        <w:trPr>
          <w:cantSplit w:val="0"/>
          <w:trHeight w:val="315" w:hRule="atLeast"/>
          <w:tblHeader w:val="0"/>
        </w:trPr>
        <w:tc>
          <w:tcPr>
            <w:tcBorders>
              <w:top w:color="000000" w:space="0" w:sz="4" w:val="single"/>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432">
            <w:pPr>
              <w:spacing w:after="0" w:line="240" w:lineRule="auto"/>
              <w:rPr>
                <w:b w:val="1"/>
                <w:sz w:val="20"/>
                <w:szCs w:val="20"/>
              </w:rPr>
            </w:pPr>
            <w:r w:rsidDel="00000000" w:rsidR="00000000" w:rsidRPr="00000000">
              <w:rPr>
                <w:b w:val="1"/>
                <w:sz w:val="20"/>
                <w:szCs w:val="20"/>
                <w:rtl w:val="0"/>
              </w:rPr>
              <w:t xml:space="preserve">England North</w:t>
            </w:r>
          </w:p>
        </w:tc>
        <w:tc>
          <w:tcPr>
            <w:tcBorders>
              <w:top w:color="000000" w:space="0" w:sz="4" w:val="single"/>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433">
            <w:pPr>
              <w:spacing w:after="0" w:line="240" w:lineRule="auto"/>
              <w:jc w:val="right"/>
              <w:rPr>
                <w:b w:val="1"/>
                <w:sz w:val="20"/>
                <w:szCs w:val="20"/>
              </w:rPr>
            </w:pPr>
            <w:r w:rsidDel="00000000" w:rsidR="00000000" w:rsidRPr="00000000">
              <w:rPr>
                <w:b w:val="1"/>
                <w:sz w:val="20"/>
                <w:szCs w:val="20"/>
                <w:rtl w:val="0"/>
              </w:rPr>
              <w:t xml:space="preserve">55</w:t>
            </w:r>
          </w:p>
        </w:tc>
        <w:tc>
          <w:tcPr>
            <w:tcBorders>
              <w:top w:color="000000" w:space="0" w:sz="4" w:val="single"/>
              <w:left w:color="000000" w:space="0" w:sz="0" w:val="nil"/>
              <w:bottom w:color="000000" w:space="0" w:sz="4" w:val="single"/>
              <w:right w:color="000000" w:space="0" w:sz="0" w:val="nil"/>
            </w:tcBorders>
            <w:shd w:fill="e2efda" w:val="clear"/>
            <w:vAlign w:val="center"/>
          </w:tcPr>
          <w:p w:rsidR="00000000" w:rsidDel="00000000" w:rsidP="00000000" w:rsidRDefault="00000000" w:rsidRPr="00000000" w14:paraId="00000434">
            <w:pPr>
              <w:spacing w:after="0" w:line="240" w:lineRule="auto"/>
              <w:jc w:val="right"/>
              <w:rPr>
                <w:b w:val="1"/>
                <w:sz w:val="20"/>
                <w:szCs w:val="20"/>
              </w:rPr>
            </w:pPr>
            <w:r w:rsidDel="00000000" w:rsidR="00000000" w:rsidRPr="00000000">
              <w:rPr>
                <w:b w:val="1"/>
                <w:sz w:val="20"/>
                <w:szCs w:val="20"/>
                <w:rtl w:val="0"/>
              </w:rPr>
              <w:t xml:space="preserve">9</w:t>
            </w:r>
          </w:p>
        </w:tc>
        <w:tc>
          <w:tcPr>
            <w:tcBorders>
              <w:top w:color="000000" w:space="0" w:sz="4" w:val="single"/>
              <w:left w:color="000000" w:space="0" w:sz="0" w:val="nil"/>
              <w:bottom w:color="000000" w:space="0" w:sz="4" w:val="single"/>
              <w:right w:color="000000" w:space="0" w:sz="0" w:val="nil"/>
            </w:tcBorders>
            <w:shd w:fill="e2efda" w:val="clear"/>
            <w:vAlign w:val="center"/>
          </w:tcPr>
          <w:p w:rsidR="00000000" w:rsidDel="00000000" w:rsidP="00000000" w:rsidRDefault="00000000" w:rsidRPr="00000000" w14:paraId="00000435">
            <w:pPr>
              <w:spacing w:after="0" w:line="240" w:lineRule="auto"/>
              <w:jc w:val="right"/>
              <w:rPr>
                <w:b w:val="1"/>
                <w:sz w:val="20"/>
                <w:szCs w:val="20"/>
              </w:rPr>
            </w:pPr>
            <w:r w:rsidDel="00000000" w:rsidR="00000000" w:rsidRPr="00000000">
              <w:rPr>
                <w:b w:val="1"/>
                <w:sz w:val="20"/>
                <w:szCs w:val="20"/>
                <w:rtl w:val="0"/>
              </w:rPr>
              <w:t xml:space="preserve">16</w:t>
            </w:r>
          </w:p>
        </w:tc>
        <w:tc>
          <w:tcPr>
            <w:tcBorders>
              <w:top w:color="000000" w:space="0" w:sz="4" w:val="single"/>
              <w:left w:color="000000" w:space="0" w:sz="0" w:val="nil"/>
              <w:bottom w:color="000000" w:space="0" w:sz="4" w:val="single"/>
              <w:right w:color="000000" w:space="0" w:sz="0" w:val="nil"/>
            </w:tcBorders>
            <w:shd w:fill="ddebf7" w:val="clear"/>
            <w:vAlign w:val="center"/>
          </w:tcPr>
          <w:p w:rsidR="00000000" w:rsidDel="00000000" w:rsidP="00000000" w:rsidRDefault="00000000" w:rsidRPr="00000000" w14:paraId="00000436">
            <w:pPr>
              <w:spacing w:after="0" w:line="240" w:lineRule="auto"/>
              <w:jc w:val="right"/>
              <w:rPr>
                <w:b w:val="1"/>
                <w:sz w:val="20"/>
                <w:szCs w:val="20"/>
              </w:rPr>
            </w:pPr>
            <w:r w:rsidDel="00000000" w:rsidR="00000000" w:rsidRPr="00000000">
              <w:rPr>
                <w:b w:val="1"/>
                <w:sz w:val="20"/>
                <w:szCs w:val="20"/>
                <w:rtl w:val="0"/>
              </w:rPr>
              <w:t xml:space="preserve">4</w:t>
            </w:r>
          </w:p>
        </w:tc>
        <w:tc>
          <w:tcPr>
            <w:tcBorders>
              <w:top w:color="000000" w:space="0" w:sz="4" w:val="single"/>
              <w:left w:color="000000" w:space="0" w:sz="0" w:val="nil"/>
              <w:bottom w:color="000000" w:space="0" w:sz="4" w:val="single"/>
              <w:right w:color="000000" w:space="0" w:sz="0" w:val="nil"/>
            </w:tcBorders>
            <w:shd w:fill="ddebf7" w:val="clear"/>
            <w:vAlign w:val="center"/>
          </w:tcPr>
          <w:p w:rsidR="00000000" w:rsidDel="00000000" w:rsidP="00000000" w:rsidRDefault="00000000" w:rsidRPr="00000000" w14:paraId="00000437">
            <w:pPr>
              <w:spacing w:after="0" w:line="240" w:lineRule="auto"/>
              <w:jc w:val="right"/>
              <w:rPr>
                <w:b w:val="1"/>
                <w:sz w:val="20"/>
                <w:szCs w:val="20"/>
              </w:rPr>
            </w:pPr>
            <w:r w:rsidDel="00000000" w:rsidR="00000000" w:rsidRPr="00000000">
              <w:rPr>
                <w:b w:val="1"/>
                <w:sz w:val="20"/>
                <w:szCs w:val="20"/>
                <w:rtl w:val="0"/>
              </w:rPr>
              <w:t xml:space="preserve">7</w:t>
            </w:r>
          </w:p>
        </w:tc>
        <w:tc>
          <w:tcPr>
            <w:tcBorders>
              <w:top w:color="000000" w:space="0" w:sz="4" w:val="single"/>
              <w:left w:color="000000" w:space="0" w:sz="0" w:val="nil"/>
              <w:bottom w:color="000000" w:space="0" w:sz="4" w:val="single"/>
              <w:right w:color="000000" w:space="0" w:sz="0" w:val="nil"/>
            </w:tcBorders>
            <w:shd w:fill="ffe5e5" w:val="clear"/>
            <w:vAlign w:val="center"/>
          </w:tcPr>
          <w:p w:rsidR="00000000" w:rsidDel="00000000" w:rsidP="00000000" w:rsidRDefault="00000000" w:rsidRPr="00000000" w14:paraId="00000438">
            <w:pPr>
              <w:spacing w:after="0" w:line="240" w:lineRule="auto"/>
              <w:jc w:val="right"/>
              <w:rPr>
                <w:b w:val="1"/>
                <w:sz w:val="20"/>
                <w:szCs w:val="20"/>
              </w:rPr>
            </w:pPr>
            <w:r w:rsidDel="00000000" w:rsidR="00000000" w:rsidRPr="00000000">
              <w:rPr>
                <w:b w:val="1"/>
                <w:sz w:val="20"/>
                <w:szCs w:val="20"/>
                <w:rtl w:val="0"/>
              </w:rPr>
              <w:t xml:space="preserve">6</w:t>
            </w:r>
          </w:p>
        </w:tc>
        <w:tc>
          <w:tcPr>
            <w:tcBorders>
              <w:top w:color="000000" w:space="0" w:sz="4" w:val="single"/>
              <w:left w:color="000000" w:space="0" w:sz="0" w:val="nil"/>
              <w:bottom w:color="000000" w:space="0" w:sz="4" w:val="single"/>
              <w:right w:color="000000" w:space="0" w:sz="0" w:val="nil"/>
            </w:tcBorders>
            <w:shd w:fill="ffe5e5" w:val="clear"/>
            <w:vAlign w:val="center"/>
          </w:tcPr>
          <w:p w:rsidR="00000000" w:rsidDel="00000000" w:rsidP="00000000" w:rsidRDefault="00000000" w:rsidRPr="00000000" w14:paraId="00000439">
            <w:pPr>
              <w:spacing w:after="0" w:line="240" w:lineRule="auto"/>
              <w:jc w:val="right"/>
              <w:rPr>
                <w:b w:val="1"/>
                <w:sz w:val="20"/>
                <w:szCs w:val="20"/>
              </w:rPr>
            </w:pPr>
            <w:r w:rsidDel="00000000" w:rsidR="00000000" w:rsidRPr="00000000">
              <w:rPr>
                <w:b w:val="1"/>
                <w:sz w:val="20"/>
                <w:szCs w:val="20"/>
                <w:rtl w:val="0"/>
              </w:rPr>
              <w:t xml:space="preserve">11</w:t>
            </w:r>
          </w:p>
        </w:tc>
      </w:tr>
      <w:tr>
        <w:trPr>
          <w:cantSplit w:val="0"/>
          <w:trHeight w:val="31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43A">
            <w:pPr>
              <w:spacing w:after="0" w:line="240" w:lineRule="auto"/>
              <w:rPr>
                <w:sz w:val="20"/>
                <w:szCs w:val="20"/>
              </w:rPr>
            </w:pPr>
            <w:r w:rsidDel="00000000" w:rsidR="00000000" w:rsidRPr="00000000">
              <w:rPr>
                <w:sz w:val="20"/>
                <w:szCs w:val="20"/>
                <w:rtl w:val="0"/>
              </w:rPr>
              <w:t xml:space="preserve">Clapdale, Fox Holes Cave</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43B">
            <w:pPr>
              <w:spacing w:after="0" w:line="240" w:lineRule="auto"/>
              <w:jc w:val="right"/>
              <w:rPr>
                <w:sz w:val="20"/>
                <w:szCs w:val="20"/>
              </w:rPr>
            </w:pPr>
            <w:r w:rsidDel="00000000" w:rsidR="00000000" w:rsidRPr="00000000">
              <w:rPr>
                <w:sz w:val="20"/>
                <w:szCs w:val="20"/>
                <w:rtl w:val="0"/>
              </w:rPr>
              <w:t xml:space="preserve">1</w:t>
            </w:r>
          </w:p>
        </w:tc>
        <w:tc>
          <w:tcPr>
            <w:tcBorders>
              <w:top w:color="000000" w:space="0" w:sz="0" w:val="nil"/>
              <w:left w:color="000000" w:space="0" w:sz="0" w:val="nil"/>
              <w:bottom w:color="000000" w:space="0" w:sz="0" w:val="nil"/>
              <w:right w:color="000000" w:space="0" w:sz="0" w:val="nil"/>
            </w:tcBorders>
            <w:shd w:fill="e2efda" w:val="clear"/>
            <w:vAlign w:val="center"/>
          </w:tcPr>
          <w:p w:rsidR="00000000" w:rsidDel="00000000" w:rsidP="00000000" w:rsidRDefault="00000000" w:rsidRPr="00000000" w14:paraId="0000043C">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0" w:val="nil"/>
              <w:right w:color="000000" w:space="0" w:sz="0" w:val="nil"/>
            </w:tcBorders>
            <w:shd w:fill="e2efda" w:val="clear"/>
            <w:vAlign w:val="center"/>
          </w:tcPr>
          <w:p w:rsidR="00000000" w:rsidDel="00000000" w:rsidP="00000000" w:rsidRDefault="00000000" w:rsidRPr="00000000" w14:paraId="0000043D">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0" w:val="nil"/>
              <w:right w:color="000000" w:space="0" w:sz="0" w:val="nil"/>
            </w:tcBorders>
            <w:shd w:fill="ddebf7" w:val="clear"/>
            <w:vAlign w:val="center"/>
          </w:tcPr>
          <w:p w:rsidR="00000000" w:rsidDel="00000000" w:rsidP="00000000" w:rsidRDefault="00000000" w:rsidRPr="00000000" w14:paraId="0000043E">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0" w:val="nil"/>
              <w:right w:color="000000" w:space="0" w:sz="0" w:val="nil"/>
            </w:tcBorders>
            <w:shd w:fill="ddebf7" w:val="clear"/>
            <w:vAlign w:val="center"/>
          </w:tcPr>
          <w:p w:rsidR="00000000" w:rsidDel="00000000" w:rsidP="00000000" w:rsidRDefault="00000000" w:rsidRPr="00000000" w14:paraId="0000043F">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0" w:val="nil"/>
              <w:right w:color="000000" w:space="0" w:sz="0" w:val="nil"/>
            </w:tcBorders>
            <w:shd w:fill="ffe5e5" w:val="clear"/>
            <w:vAlign w:val="center"/>
          </w:tcPr>
          <w:p w:rsidR="00000000" w:rsidDel="00000000" w:rsidP="00000000" w:rsidRDefault="00000000" w:rsidRPr="00000000" w14:paraId="00000440">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0" w:val="nil"/>
              <w:right w:color="000000" w:space="0" w:sz="0" w:val="nil"/>
            </w:tcBorders>
            <w:shd w:fill="ffe5e5" w:val="clear"/>
            <w:vAlign w:val="center"/>
          </w:tcPr>
          <w:p w:rsidR="00000000" w:rsidDel="00000000" w:rsidP="00000000" w:rsidRDefault="00000000" w:rsidRPr="00000000" w14:paraId="00000441">
            <w:pPr>
              <w:spacing w:after="0" w:line="240" w:lineRule="auto"/>
              <w:jc w:val="right"/>
              <w:rPr>
                <w:sz w:val="20"/>
                <w:szCs w:val="20"/>
              </w:rPr>
            </w:pPr>
            <w:r w:rsidDel="00000000" w:rsidR="00000000" w:rsidRPr="00000000">
              <w:rPr>
                <w:sz w:val="20"/>
                <w:szCs w:val="20"/>
                <w:rtl w:val="0"/>
              </w:rPr>
              <w:t xml:space="preserve"> </w:t>
            </w:r>
          </w:p>
        </w:tc>
      </w:tr>
      <w:tr>
        <w:trPr>
          <w:cantSplit w:val="0"/>
          <w:trHeight w:val="31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442">
            <w:pPr>
              <w:spacing w:after="0" w:line="240" w:lineRule="auto"/>
              <w:rPr>
                <w:sz w:val="20"/>
                <w:szCs w:val="20"/>
              </w:rPr>
            </w:pPr>
            <w:r w:rsidDel="00000000" w:rsidR="00000000" w:rsidRPr="00000000">
              <w:rPr>
                <w:sz w:val="20"/>
                <w:szCs w:val="20"/>
                <w:rtl w:val="0"/>
              </w:rPr>
              <w:t xml:space="preserve">Hartlepool, Olive Street</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443">
            <w:pPr>
              <w:spacing w:after="0" w:line="240" w:lineRule="auto"/>
              <w:jc w:val="right"/>
              <w:rPr>
                <w:sz w:val="20"/>
                <w:szCs w:val="20"/>
              </w:rPr>
            </w:pPr>
            <w:r w:rsidDel="00000000" w:rsidR="00000000" w:rsidRPr="00000000">
              <w:rPr>
                <w:sz w:val="20"/>
                <w:szCs w:val="20"/>
                <w:rtl w:val="0"/>
              </w:rPr>
              <w:t xml:space="preserve">1</w:t>
            </w:r>
          </w:p>
        </w:tc>
        <w:tc>
          <w:tcPr>
            <w:tcBorders>
              <w:top w:color="000000" w:space="0" w:sz="0" w:val="nil"/>
              <w:left w:color="000000" w:space="0" w:sz="0" w:val="nil"/>
              <w:bottom w:color="000000" w:space="0" w:sz="0" w:val="nil"/>
              <w:right w:color="000000" w:space="0" w:sz="0" w:val="nil"/>
            </w:tcBorders>
            <w:shd w:fill="e2efda" w:val="clear"/>
            <w:vAlign w:val="center"/>
          </w:tcPr>
          <w:p w:rsidR="00000000" w:rsidDel="00000000" w:rsidP="00000000" w:rsidRDefault="00000000" w:rsidRPr="00000000" w14:paraId="00000444">
            <w:pPr>
              <w:spacing w:after="0" w:line="240" w:lineRule="auto"/>
              <w:jc w:val="right"/>
              <w:rPr>
                <w:sz w:val="20"/>
                <w:szCs w:val="20"/>
              </w:rPr>
            </w:pPr>
            <w:r w:rsidDel="00000000" w:rsidR="00000000" w:rsidRPr="00000000">
              <w:rPr>
                <w:sz w:val="20"/>
                <w:szCs w:val="20"/>
                <w:rtl w:val="0"/>
              </w:rPr>
              <w:t xml:space="preserve">1</w:t>
            </w:r>
          </w:p>
        </w:tc>
        <w:tc>
          <w:tcPr>
            <w:tcBorders>
              <w:top w:color="000000" w:space="0" w:sz="0" w:val="nil"/>
              <w:left w:color="000000" w:space="0" w:sz="0" w:val="nil"/>
              <w:bottom w:color="000000" w:space="0" w:sz="0" w:val="nil"/>
              <w:right w:color="000000" w:space="0" w:sz="0" w:val="nil"/>
            </w:tcBorders>
            <w:shd w:fill="e2efda" w:val="clear"/>
            <w:vAlign w:val="center"/>
          </w:tcPr>
          <w:p w:rsidR="00000000" w:rsidDel="00000000" w:rsidP="00000000" w:rsidRDefault="00000000" w:rsidRPr="00000000" w14:paraId="00000445">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0" w:val="nil"/>
              <w:right w:color="000000" w:space="0" w:sz="0" w:val="nil"/>
            </w:tcBorders>
            <w:shd w:fill="ddebf7" w:val="clear"/>
            <w:vAlign w:val="center"/>
          </w:tcPr>
          <w:p w:rsidR="00000000" w:rsidDel="00000000" w:rsidP="00000000" w:rsidRDefault="00000000" w:rsidRPr="00000000" w14:paraId="00000446">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0" w:val="nil"/>
              <w:right w:color="000000" w:space="0" w:sz="0" w:val="nil"/>
            </w:tcBorders>
            <w:shd w:fill="ddebf7" w:val="clear"/>
            <w:vAlign w:val="center"/>
          </w:tcPr>
          <w:p w:rsidR="00000000" w:rsidDel="00000000" w:rsidP="00000000" w:rsidRDefault="00000000" w:rsidRPr="00000000" w14:paraId="00000447">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0" w:val="nil"/>
              <w:right w:color="000000" w:space="0" w:sz="0" w:val="nil"/>
            </w:tcBorders>
            <w:shd w:fill="ffe5e5" w:val="clear"/>
            <w:vAlign w:val="center"/>
          </w:tcPr>
          <w:p w:rsidR="00000000" w:rsidDel="00000000" w:rsidP="00000000" w:rsidRDefault="00000000" w:rsidRPr="00000000" w14:paraId="00000448">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0" w:val="nil"/>
              <w:right w:color="000000" w:space="0" w:sz="0" w:val="nil"/>
            </w:tcBorders>
            <w:shd w:fill="ffe5e5" w:val="clear"/>
            <w:vAlign w:val="center"/>
          </w:tcPr>
          <w:p w:rsidR="00000000" w:rsidDel="00000000" w:rsidP="00000000" w:rsidRDefault="00000000" w:rsidRPr="00000000" w14:paraId="00000449">
            <w:pPr>
              <w:spacing w:after="0" w:line="240" w:lineRule="auto"/>
              <w:jc w:val="right"/>
              <w:rPr>
                <w:sz w:val="20"/>
                <w:szCs w:val="20"/>
              </w:rPr>
            </w:pPr>
            <w:r w:rsidDel="00000000" w:rsidR="00000000" w:rsidRPr="00000000">
              <w:rPr>
                <w:sz w:val="20"/>
                <w:szCs w:val="20"/>
                <w:rtl w:val="0"/>
              </w:rPr>
              <w:t xml:space="preserve"> </w:t>
            </w:r>
          </w:p>
        </w:tc>
      </w:tr>
      <w:tr>
        <w:trPr>
          <w:cantSplit w:val="0"/>
          <w:trHeight w:val="31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44A">
            <w:pPr>
              <w:spacing w:after="0" w:line="240" w:lineRule="auto"/>
              <w:rPr>
                <w:sz w:val="20"/>
                <w:szCs w:val="20"/>
              </w:rPr>
            </w:pPr>
            <w:r w:rsidDel="00000000" w:rsidR="00000000" w:rsidRPr="00000000">
              <w:rPr>
                <w:sz w:val="20"/>
                <w:szCs w:val="20"/>
                <w:rtl w:val="0"/>
              </w:rPr>
              <w:t xml:space="preserve">Norton Bishops Mill</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44B">
            <w:pPr>
              <w:spacing w:after="0" w:line="240" w:lineRule="auto"/>
              <w:jc w:val="right"/>
              <w:rPr>
                <w:sz w:val="20"/>
                <w:szCs w:val="20"/>
              </w:rPr>
            </w:pPr>
            <w:r w:rsidDel="00000000" w:rsidR="00000000" w:rsidRPr="00000000">
              <w:rPr>
                <w:sz w:val="20"/>
                <w:szCs w:val="20"/>
                <w:rtl w:val="0"/>
              </w:rPr>
              <w:t xml:space="preserve">5</w:t>
            </w:r>
          </w:p>
        </w:tc>
        <w:tc>
          <w:tcPr>
            <w:tcBorders>
              <w:top w:color="000000" w:space="0" w:sz="0" w:val="nil"/>
              <w:left w:color="000000" w:space="0" w:sz="0" w:val="nil"/>
              <w:bottom w:color="000000" w:space="0" w:sz="0" w:val="nil"/>
              <w:right w:color="000000" w:space="0" w:sz="0" w:val="nil"/>
            </w:tcBorders>
            <w:shd w:fill="e2efda" w:val="clear"/>
            <w:vAlign w:val="center"/>
          </w:tcPr>
          <w:p w:rsidR="00000000" w:rsidDel="00000000" w:rsidP="00000000" w:rsidRDefault="00000000" w:rsidRPr="00000000" w14:paraId="0000044C">
            <w:pPr>
              <w:spacing w:after="0" w:line="240" w:lineRule="auto"/>
              <w:jc w:val="right"/>
              <w:rPr>
                <w:sz w:val="20"/>
                <w:szCs w:val="20"/>
              </w:rPr>
            </w:pPr>
            <w:r w:rsidDel="00000000" w:rsidR="00000000" w:rsidRPr="00000000">
              <w:rPr>
                <w:sz w:val="20"/>
                <w:szCs w:val="20"/>
                <w:rtl w:val="0"/>
              </w:rPr>
              <w:t xml:space="preserve">1</w:t>
            </w:r>
          </w:p>
        </w:tc>
        <w:tc>
          <w:tcPr>
            <w:tcBorders>
              <w:top w:color="000000" w:space="0" w:sz="0" w:val="nil"/>
              <w:left w:color="000000" w:space="0" w:sz="0" w:val="nil"/>
              <w:bottom w:color="000000" w:space="0" w:sz="0" w:val="nil"/>
              <w:right w:color="000000" w:space="0" w:sz="0" w:val="nil"/>
            </w:tcBorders>
            <w:shd w:fill="e2efda" w:val="clear"/>
            <w:vAlign w:val="center"/>
          </w:tcPr>
          <w:p w:rsidR="00000000" w:rsidDel="00000000" w:rsidP="00000000" w:rsidRDefault="00000000" w:rsidRPr="00000000" w14:paraId="0000044D">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0" w:val="nil"/>
              <w:right w:color="000000" w:space="0" w:sz="0" w:val="nil"/>
            </w:tcBorders>
            <w:shd w:fill="ddebf7" w:val="clear"/>
            <w:vAlign w:val="center"/>
          </w:tcPr>
          <w:p w:rsidR="00000000" w:rsidDel="00000000" w:rsidP="00000000" w:rsidRDefault="00000000" w:rsidRPr="00000000" w14:paraId="0000044E">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0" w:val="nil"/>
              <w:right w:color="000000" w:space="0" w:sz="0" w:val="nil"/>
            </w:tcBorders>
            <w:shd w:fill="ddebf7" w:val="clear"/>
            <w:vAlign w:val="center"/>
          </w:tcPr>
          <w:p w:rsidR="00000000" w:rsidDel="00000000" w:rsidP="00000000" w:rsidRDefault="00000000" w:rsidRPr="00000000" w14:paraId="0000044F">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0" w:val="nil"/>
              <w:right w:color="000000" w:space="0" w:sz="0" w:val="nil"/>
            </w:tcBorders>
            <w:shd w:fill="ffe5e5" w:val="clear"/>
            <w:vAlign w:val="center"/>
          </w:tcPr>
          <w:p w:rsidR="00000000" w:rsidDel="00000000" w:rsidP="00000000" w:rsidRDefault="00000000" w:rsidRPr="00000000" w14:paraId="00000450">
            <w:pPr>
              <w:spacing w:after="0" w:line="240" w:lineRule="auto"/>
              <w:jc w:val="right"/>
              <w:rPr>
                <w:sz w:val="20"/>
                <w:szCs w:val="20"/>
              </w:rPr>
            </w:pPr>
            <w:r w:rsidDel="00000000" w:rsidR="00000000" w:rsidRPr="00000000">
              <w:rPr>
                <w:sz w:val="20"/>
                <w:szCs w:val="20"/>
                <w:rtl w:val="0"/>
              </w:rPr>
              <w:t xml:space="preserve">1</w:t>
            </w:r>
          </w:p>
        </w:tc>
        <w:tc>
          <w:tcPr>
            <w:tcBorders>
              <w:top w:color="000000" w:space="0" w:sz="0" w:val="nil"/>
              <w:left w:color="000000" w:space="0" w:sz="0" w:val="nil"/>
              <w:bottom w:color="000000" w:space="0" w:sz="0" w:val="nil"/>
              <w:right w:color="000000" w:space="0" w:sz="0" w:val="nil"/>
            </w:tcBorders>
            <w:shd w:fill="ffe5e5" w:val="clear"/>
            <w:vAlign w:val="center"/>
          </w:tcPr>
          <w:p w:rsidR="00000000" w:rsidDel="00000000" w:rsidP="00000000" w:rsidRDefault="00000000" w:rsidRPr="00000000" w14:paraId="00000451">
            <w:pPr>
              <w:spacing w:after="0" w:line="240" w:lineRule="auto"/>
              <w:jc w:val="right"/>
              <w:rPr>
                <w:sz w:val="20"/>
                <w:szCs w:val="20"/>
              </w:rPr>
            </w:pPr>
            <w:r w:rsidDel="00000000" w:rsidR="00000000" w:rsidRPr="00000000">
              <w:rPr>
                <w:sz w:val="20"/>
                <w:szCs w:val="20"/>
                <w:rtl w:val="0"/>
              </w:rPr>
              <w:t xml:space="preserve"> </w:t>
            </w:r>
          </w:p>
        </w:tc>
      </w:tr>
      <w:tr>
        <w:trPr>
          <w:cantSplit w:val="0"/>
          <w:trHeight w:val="31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452">
            <w:pPr>
              <w:spacing w:after="0" w:line="240" w:lineRule="auto"/>
              <w:rPr>
                <w:sz w:val="20"/>
                <w:szCs w:val="20"/>
              </w:rPr>
            </w:pPr>
            <w:r w:rsidDel="00000000" w:rsidR="00000000" w:rsidRPr="00000000">
              <w:rPr>
                <w:sz w:val="20"/>
                <w:szCs w:val="20"/>
                <w:rtl w:val="0"/>
              </w:rPr>
              <w:t xml:space="preserve">Norton East Mill</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453">
            <w:pPr>
              <w:spacing w:after="0" w:line="240" w:lineRule="auto"/>
              <w:jc w:val="right"/>
              <w:rPr>
                <w:sz w:val="20"/>
                <w:szCs w:val="20"/>
              </w:rPr>
            </w:pPr>
            <w:r w:rsidDel="00000000" w:rsidR="00000000" w:rsidRPr="00000000">
              <w:rPr>
                <w:sz w:val="20"/>
                <w:szCs w:val="20"/>
                <w:rtl w:val="0"/>
              </w:rPr>
              <w:t xml:space="preserve">5</w:t>
            </w:r>
          </w:p>
        </w:tc>
        <w:tc>
          <w:tcPr>
            <w:tcBorders>
              <w:top w:color="000000" w:space="0" w:sz="0" w:val="nil"/>
              <w:left w:color="000000" w:space="0" w:sz="0" w:val="nil"/>
              <w:bottom w:color="000000" w:space="0" w:sz="0" w:val="nil"/>
              <w:right w:color="000000" w:space="0" w:sz="0" w:val="nil"/>
            </w:tcBorders>
            <w:shd w:fill="e2efda" w:val="clear"/>
            <w:vAlign w:val="center"/>
          </w:tcPr>
          <w:p w:rsidR="00000000" w:rsidDel="00000000" w:rsidP="00000000" w:rsidRDefault="00000000" w:rsidRPr="00000000" w14:paraId="00000454">
            <w:pPr>
              <w:spacing w:after="0" w:line="240" w:lineRule="auto"/>
              <w:jc w:val="right"/>
              <w:rPr>
                <w:sz w:val="20"/>
                <w:szCs w:val="20"/>
              </w:rPr>
            </w:pPr>
            <w:r w:rsidDel="00000000" w:rsidR="00000000" w:rsidRPr="00000000">
              <w:rPr>
                <w:sz w:val="20"/>
                <w:szCs w:val="20"/>
                <w:rtl w:val="0"/>
              </w:rPr>
              <w:t xml:space="preserve">1</w:t>
            </w:r>
          </w:p>
        </w:tc>
        <w:tc>
          <w:tcPr>
            <w:tcBorders>
              <w:top w:color="000000" w:space="0" w:sz="0" w:val="nil"/>
              <w:left w:color="000000" w:space="0" w:sz="0" w:val="nil"/>
              <w:bottom w:color="000000" w:space="0" w:sz="0" w:val="nil"/>
              <w:right w:color="000000" w:space="0" w:sz="0" w:val="nil"/>
            </w:tcBorders>
            <w:shd w:fill="e2efda" w:val="clear"/>
            <w:vAlign w:val="center"/>
          </w:tcPr>
          <w:p w:rsidR="00000000" w:rsidDel="00000000" w:rsidP="00000000" w:rsidRDefault="00000000" w:rsidRPr="00000000" w14:paraId="00000455">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0" w:val="nil"/>
              <w:right w:color="000000" w:space="0" w:sz="0" w:val="nil"/>
            </w:tcBorders>
            <w:shd w:fill="ddebf7" w:val="clear"/>
            <w:vAlign w:val="center"/>
          </w:tcPr>
          <w:p w:rsidR="00000000" w:rsidDel="00000000" w:rsidP="00000000" w:rsidRDefault="00000000" w:rsidRPr="00000000" w14:paraId="00000456">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0" w:val="nil"/>
              <w:right w:color="000000" w:space="0" w:sz="0" w:val="nil"/>
            </w:tcBorders>
            <w:shd w:fill="ddebf7" w:val="clear"/>
            <w:vAlign w:val="center"/>
          </w:tcPr>
          <w:p w:rsidR="00000000" w:rsidDel="00000000" w:rsidP="00000000" w:rsidRDefault="00000000" w:rsidRPr="00000000" w14:paraId="00000457">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0" w:val="nil"/>
              <w:right w:color="000000" w:space="0" w:sz="0" w:val="nil"/>
            </w:tcBorders>
            <w:shd w:fill="ffe5e5" w:val="clear"/>
            <w:vAlign w:val="center"/>
          </w:tcPr>
          <w:p w:rsidR="00000000" w:rsidDel="00000000" w:rsidP="00000000" w:rsidRDefault="00000000" w:rsidRPr="00000000" w14:paraId="00000458">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0" w:val="nil"/>
              <w:right w:color="000000" w:space="0" w:sz="0" w:val="nil"/>
            </w:tcBorders>
            <w:shd w:fill="ffe5e5" w:val="clear"/>
            <w:vAlign w:val="center"/>
          </w:tcPr>
          <w:p w:rsidR="00000000" w:rsidDel="00000000" w:rsidP="00000000" w:rsidRDefault="00000000" w:rsidRPr="00000000" w14:paraId="00000459">
            <w:pPr>
              <w:spacing w:after="0" w:line="240" w:lineRule="auto"/>
              <w:jc w:val="right"/>
              <w:rPr>
                <w:sz w:val="20"/>
                <w:szCs w:val="20"/>
              </w:rPr>
            </w:pPr>
            <w:r w:rsidDel="00000000" w:rsidR="00000000" w:rsidRPr="00000000">
              <w:rPr>
                <w:sz w:val="20"/>
                <w:szCs w:val="20"/>
                <w:rtl w:val="0"/>
              </w:rPr>
              <w:t xml:space="preserve"> </w:t>
            </w:r>
          </w:p>
        </w:tc>
      </w:tr>
      <w:tr>
        <w:trPr>
          <w:cantSplit w:val="0"/>
          <w:trHeight w:val="31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45A">
            <w:pPr>
              <w:spacing w:after="0" w:line="240" w:lineRule="auto"/>
              <w:rPr>
                <w:sz w:val="20"/>
                <w:szCs w:val="20"/>
              </w:rPr>
            </w:pPr>
            <w:r w:rsidDel="00000000" w:rsidR="00000000" w:rsidRPr="00000000">
              <w:rPr>
                <w:sz w:val="20"/>
                <w:szCs w:val="20"/>
                <w:rtl w:val="0"/>
              </w:rPr>
              <w:t xml:space="preserve">Ribblesdale, Selside Grike</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45B">
            <w:pPr>
              <w:spacing w:after="0" w:line="240" w:lineRule="auto"/>
              <w:jc w:val="right"/>
              <w:rPr>
                <w:sz w:val="20"/>
                <w:szCs w:val="20"/>
              </w:rPr>
            </w:pPr>
            <w:r w:rsidDel="00000000" w:rsidR="00000000" w:rsidRPr="00000000">
              <w:rPr>
                <w:sz w:val="20"/>
                <w:szCs w:val="20"/>
                <w:rtl w:val="0"/>
              </w:rPr>
              <w:t xml:space="preserve">1</w:t>
            </w:r>
          </w:p>
        </w:tc>
        <w:tc>
          <w:tcPr>
            <w:tcBorders>
              <w:top w:color="000000" w:space="0" w:sz="0" w:val="nil"/>
              <w:left w:color="000000" w:space="0" w:sz="0" w:val="nil"/>
              <w:bottom w:color="000000" w:space="0" w:sz="0" w:val="nil"/>
              <w:right w:color="000000" w:space="0" w:sz="0" w:val="nil"/>
            </w:tcBorders>
            <w:shd w:fill="e2efda" w:val="clear"/>
            <w:vAlign w:val="center"/>
          </w:tcPr>
          <w:p w:rsidR="00000000" w:rsidDel="00000000" w:rsidP="00000000" w:rsidRDefault="00000000" w:rsidRPr="00000000" w14:paraId="0000045C">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0" w:val="nil"/>
              <w:right w:color="000000" w:space="0" w:sz="0" w:val="nil"/>
            </w:tcBorders>
            <w:shd w:fill="e2efda" w:val="clear"/>
            <w:vAlign w:val="center"/>
          </w:tcPr>
          <w:p w:rsidR="00000000" w:rsidDel="00000000" w:rsidP="00000000" w:rsidRDefault="00000000" w:rsidRPr="00000000" w14:paraId="0000045D">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0" w:val="nil"/>
              <w:right w:color="000000" w:space="0" w:sz="0" w:val="nil"/>
            </w:tcBorders>
            <w:shd w:fill="ddebf7" w:val="clear"/>
            <w:vAlign w:val="center"/>
          </w:tcPr>
          <w:p w:rsidR="00000000" w:rsidDel="00000000" w:rsidP="00000000" w:rsidRDefault="00000000" w:rsidRPr="00000000" w14:paraId="0000045E">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0" w:val="nil"/>
              <w:right w:color="000000" w:space="0" w:sz="0" w:val="nil"/>
            </w:tcBorders>
            <w:shd w:fill="ddebf7" w:val="clear"/>
            <w:vAlign w:val="center"/>
          </w:tcPr>
          <w:p w:rsidR="00000000" w:rsidDel="00000000" w:rsidP="00000000" w:rsidRDefault="00000000" w:rsidRPr="00000000" w14:paraId="0000045F">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0" w:val="nil"/>
              <w:right w:color="000000" w:space="0" w:sz="0" w:val="nil"/>
            </w:tcBorders>
            <w:shd w:fill="ffe5e5" w:val="clear"/>
            <w:vAlign w:val="center"/>
          </w:tcPr>
          <w:p w:rsidR="00000000" w:rsidDel="00000000" w:rsidP="00000000" w:rsidRDefault="00000000" w:rsidRPr="00000000" w14:paraId="00000460">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0" w:val="nil"/>
              <w:right w:color="000000" w:space="0" w:sz="0" w:val="nil"/>
            </w:tcBorders>
            <w:shd w:fill="ffe5e5" w:val="clear"/>
            <w:vAlign w:val="center"/>
          </w:tcPr>
          <w:p w:rsidR="00000000" w:rsidDel="00000000" w:rsidP="00000000" w:rsidRDefault="00000000" w:rsidRPr="00000000" w14:paraId="00000461">
            <w:pPr>
              <w:spacing w:after="0" w:line="240" w:lineRule="auto"/>
              <w:jc w:val="right"/>
              <w:rPr>
                <w:sz w:val="20"/>
                <w:szCs w:val="20"/>
              </w:rPr>
            </w:pPr>
            <w:r w:rsidDel="00000000" w:rsidR="00000000" w:rsidRPr="00000000">
              <w:rPr>
                <w:sz w:val="20"/>
                <w:szCs w:val="20"/>
                <w:rtl w:val="0"/>
              </w:rPr>
              <w:t xml:space="preserve"> </w:t>
            </w:r>
          </w:p>
        </w:tc>
      </w:tr>
      <w:tr>
        <w:trPr>
          <w:cantSplit w:val="0"/>
          <w:trHeight w:val="31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462">
            <w:pPr>
              <w:spacing w:after="0" w:line="240" w:lineRule="auto"/>
              <w:rPr>
                <w:sz w:val="20"/>
                <w:szCs w:val="20"/>
              </w:rPr>
            </w:pPr>
            <w:r w:rsidDel="00000000" w:rsidR="00000000" w:rsidRPr="00000000">
              <w:rPr>
                <w:sz w:val="20"/>
                <w:szCs w:val="20"/>
                <w:rtl w:val="0"/>
              </w:rPr>
              <w:t xml:space="preserve">West Heslerton</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463">
            <w:pPr>
              <w:spacing w:after="0" w:line="240" w:lineRule="auto"/>
              <w:jc w:val="right"/>
              <w:rPr>
                <w:sz w:val="20"/>
                <w:szCs w:val="20"/>
              </w:rPr>
            </w:pPr>
            <w:r w:rsidDel="00000000" w:rsidR="00000000" w:rsidRPr="00000000">
              <w:rPr>
                <w:sz w:val="20"/>
                <w:szCs w:val="20"/>
                <w:rtl w:val="0"/>
              </w:rPr>
              <w:t xml:space="preserve">42</w:t>
            </w:r>
          </w:p>
        </w:tc>
        <w:tc>
          <w:tcPr>
            <w:tcBorders>
              <w:top w:color="000000" w:space="0" w:sz="0" w:val="nil"/>
              <w:left w:color="000000" w:space="0" w:sz="0" w:val="nil"/>
              <w:bottom w:color="000000" w:space="0" w:sz="0" w:val="nil"/>
              <w:right w:color="000000" w:space="0" w:sz="0" w:val="nil"/>
            </w:tcBorders>
            <w:shd w:fill="e2efda" w:val="clear"/>
            <w:vAlign w:val="center"/>
          </w:tcPr>
          <w:p w:rsidR="00000000" w:rsidDel="00000000" w:rsidP="00000000" w:rsidRDefault="00000000" w:rsidRPr="00000000" w14:paraId="00000464">
            <w:pPr>
              <w:spacing w:after="0" w:line="240" w:lineRule="auto"/>
              <w:jc w:val="right"/>
              <w:rPr>
                <w:sz w:val="20"/>
                <w:szCs w:val="20"/>
              </w:rPr>
            </w:pPr>
            <w:r w:rsidDel="00000000" w:rsidR="00000000" w:rsidRPr="00000000">
              <w:rPr>
                <w:sz w:val="20"/>
                <w:szCs w:val="20"/>
                <w:rtl w:val="0"/>
              </w:rPr>
              <w:t xml:space="preserve">6</w:t>
            </w:r>
          </w:p>
        </w:tc>
        <w:tc>
          <w:tcPr>
            <w:tcBorders>
              <w:top w:color="000000" w:space="0" w:sz="0" w:val="nil"/>
              <w:left w:color="000000" w:space="0" w:sz="0" w:val="nil"/>
              <w:bottom w:color="000000" w:space="0" w:sz="0" w:val="nil"/>
              <w:right w:color="000000" w:space="0" w:sz="0" w:val="nil"/>
            </w:tcBorders>
            <w:shd w:fill="e2efda" w:val="clear"/>
            <w:vAlign w:val="center"/>
          </w:tcPr>
          <w:p w:rsidR="00000000" w:rsidDel="00000000" w:rsidP="00000000" w:rsidRDefault="00000000" w:rsidRPr="00000000" w14:paraId="00000465">
            <w:pPr>
              <w:spacing w:after="0" w:line="240" w:lineRule="auto"/>
              <w:jc w:val="right"/>
              <w:rPr>
                <w:sz w:val="20"/>
                <w:szCs w:val="20"/>
              </w:rPr>
            </w:pPr>
            <w:r w:rsidDel="00000000" w:rsidR="00000000" w:rsidRPr="00000000">
              <w:rPr>
                <w:sz w:val="20"/>
                <w:szCs w:val="20"/>
                <w:rtl w:val="0"/>
              </w:rPr>
              <w:t xml:space="preserve">14</w:t>
            </w:r>
          </w:p>
        </w:tc>
        <w:tc>
          <w:tcPr>
            <w:tcBorders>
              <w:top w:color="000000" w:space="0" w:sz="0" w:val="nil"/>
              <w:left w:color="000000" w:space="0" w:sz="0" w:val="nil"/>
              <w:bottom w:color="000000" w:space="0" w:sz="0" w:val="nil"/>
              <w:right w:color="000000" w:space="0" w:sz="0" w:val="nil"/>
            </w:tcBorders>
            <w:shd w:fill="ddebf7" w:val="clear"/>
            <w:vAlign w:val="center"/>
          </w:tcPr>
          <w:p w:rsidR="00000000" w:rsidDel="00000000" w:rsidP="00000000" w:rsidRDefault="00000000" w:rsidRPr="00000000" w14:paraId="00000466">
            <w:pPr>
              <w:spacing w:after="0" w:line="240" w:lineRule="auto"/>
              <w:jc w:val="right"/>
              <w:rPr>
                <w:sz w:val="20"/>
                <w:szCs w:val="20"/>
              </w:rPr>
            </w:pPr>
            <w:r w:rsidDel="00000000" w:rsidR="00000000" w:rsidRPr="00000000">
              <w:rPr>
                <w:sz w:val="20"/>
                <w:szCs w:val="20"/>
                <w:rtl w:val="0"/>
              </w:rPr>
              <w:t xml:space="preserve">4</w:t>
            </w:r>
          </w:p>
        </w:tc>
        <w:tc>
          <w:tcPr>
            <w:tcBorders>
              <w:top w:color="000000" w:space="0" w:sz="0" w:val="nil"/>
              <w:left w:color="000000" w:space="0" w:sz="0" w:val="nil"/>
              <w:bottom w:color="000000" w:space="0" w:sz="0" w:val="nil"/>
              <w:right w:color="000000" w:space="0" w:sz="0" w:val="nil"/>
            </w:tcBorders>
            <w:shd w:fill="ddebf7" w:val="clear"/>
            <w:vAlign w:val="center"/>
          </w:tcPr>
          <w:p w:rsidR="00000000" w:rsidDel="00000000" w:rsidP="00000000" w:rsidRDefault="00000000" w:rsidRPr="00000000" w14:paraId="00000467">
            <w:pPr>
              <w:spacing w:after="0" w:line="240" w:lineRule="auto"/>
              <w:jc w:val="right"/>
              <w:rPr>
                <w:sz w:val="20"/>
                <w:szCs w:val="20"/>
              </w:rPr>
            </w:pPr>
            <w:r w:rsidDel="00000000" w:rsidR="00000000" w:rsidRPr="00000000">
              <w:rPr>
                <w:sz w:val="20"/>
                <w:szCs w:val="20"/>
                <w:rtl w:val="0"/>
              </w:rPr>
              <w:t xml:space="preserve">10</w:t>
            </w:r>
          </w:p>
        </w:tc>
        <w:tc>
          <w:tcPr>
            <w:tcBorders>
              <w:top w:color="000000" w:space="0" w:sz="0" w:val="nil"/>
              <w:left w:color="000000" w:space="0" w:sz="0" w:val="nil"/>
              <w:bottom w:color="000000" w:space="0" w:sz="0" w:val="nil"/>
              <w:right w:color="000000" w:space="0" w:sz="0" w:val="nil"/>
            </w:tcBorders>
            <w:shd w:fill="ffe5e5" w:val="clear"/>
            <w:vAlign w:val="center"/>
          </w:tcPr>
          <w:p w:rsidR="00000000" w:rsidDel="00000000" w:rsidP="00000000" w:rsidRDefault="00000000" w:rsidRPr="00000000" w14:paraId="00000468">
            <w:pPr>
              <w:spacing w:after="0" w:line="240" w:lineRule="auto"/>
              <w:jc w:val="right"/>
              <w:rPr>
                <w:sz w:val="20"/>
                <w:szCs w:val="20"/>
              </w:rPr>
            </w:pPr>
            <w:r w:rsidDel="00000000" w:rsidR="00000000" w:rsidRPr="00000000">
              <w:rPr>
                <w:sz w:val="20"/>
                <w:szCs w:val="20"/>
                <w:rtl w:val="0"/>
              </w:rPr>
              <w:t xml:space="preserve">5</w:t>
            </w:r>
          </w:p>
        </w:tc>
        <w:tc>
          <w:tcPr>
            <w:tcBorders>
              <w:top w:color="000000" w:space="0" w:sz="0" w:val="nil"/>
              <w:left w:color="000000" w:space="0" w:sz="0" w:val="nil"/>
              <w:bottom w:color="000000" w:space="0" w:sz="0" w:val="nil"/>
              <w:right w:color="000000" w:space="0" w:sz="0" w:val="nil"/>
            </w:tcBorders>
            <w:shd w:fill="ffe5e5" w:val="clear"/>
            <w:vAlign w:val="center"/>
          </w:tcPr>
          <w:p w:rsidR="00000000" w:rsidDel="00000000" w:rsidP="00000000" w:rsidRDefault="00000000" w:rsidRPr="00000000" w14:paraId="00000469">
            <w:pPr>
              <w:spacing w:after="0" w:line="240" w:lineRule="auto"/>
              <w:jc w:val="right"/>
              <w:rPr>
                <w:sz w:val="20"/>
                <w:szCs w:val="20"/>
              </w:rPr>
            </w:pPr>
            <w:r w:rsidDel="00000000" w:rsidR="00000000" w:rsidRPr="00000000">
              <w:rPr>
                <w:sz w:val="20"/>
                <w:szCs w:val="20"/>
                <w:rtl w:val="0"/>
              </w:rPr>
              <w:t xml:space="preserve">12</w:t>
            </w:r>
          </w:p>
        </w:tc>
      </w:tr>
      <w:tr>
        <w:trPr>
          <w:cantSplit w:val="0"/>
          <w:trHeight w:val="315" w:hRule="atLeast"/>
          <w:tblHeader w:val="0"/>
        </w:trPr>
        <w:tc>
          <w:tcPr>
            <w:tcBorders>
              <w:top w:color="000000" w:space="0" w:sz="4" w:val="single"/>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46A">
            <w:pPr>
              <w:spacing w:after="0" w:line="240" w:lineRule="auto"/>
              <w:rPr>
                <w:b w:val="1"/>
                <w:sz w:val="20"/>
                <w:szCs w:val="20"/>
              </w:rPr>
            </w:pPr>
            <w:r w:rsidDel="00000000" w:rsidR="00000000" w:rsidRPr="00000000">
              <w:rPr>
                <w:b w:val="1"/>
                <w:sz w:val="20"/>
                <w:szCs w:val="20"/>
                <w:rtl w:val="0"/>
              </w:rPr>
              <w:t xml:space="preserve">East Midlands</w:t>
            </w:r>
          </w:p>
        </w:tc>
        <w:tc>
          <w:tcPr>
            <w:tcBorders>
              <w:top w:color="000000" w:space="0" w:sz="4" w:val="single"/>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46B">
            <w:pPr>
              <w:spacing w:after="0" w:line="240" w:lineRule="auto"/>
              <w:jc w:val="right"/>
              <w:rPr>
                <w:b w:val="1"/>
                <w:sz w:val="20"/>
                <w:szCs w:val="20"/>
              </w:rPr>
            </w:pPr>
            <w:r w:rsidDel="00000000" w:rsidR="00000000" w:rsidRPr="00000000">
              <w:rPr>
                <w:b w:val="1"/>
                <w:sz w:val="20"/>
                <w:szCs w:val="20"/>
                <w:rtl w:val="0"/>
              </w:rPr>
              <w:t xml:space="preserve">3</w:t>
            </w:r>
          </w:p>
        </w:tc>
        <w:tc>
          <w:tcPr>
            <w:tcBorders>
              <w:top w:color="000000" w:space="0" w:sz="4" w:val="single"/>
              <w:left w:color="000000" w:space="0" w:sz="0" w:val="nil"/>
              <w:bottom w:color="000000" w:space="0" w:sz="4" w:val="single"/>
              <w:right w:color="000000" w:space="0" w:sz="0" w:val="nil"/>
            </w:tcBorders>
            <w:shd w:fill="e2efda" w:val="clear"/>
            <w:vAlign w:val="center"/>
          </w:tcPr>
          <w:p w:rsidR="00000000" w:rsidDel="00000000" w:rsidP="00000000" w:rsidRDefault="00000000" w:rsidRPr="00000000" w14:paraId="0000046C">
            <w:pPr>
              <w:spacing w:after="0" w:line="240" w:lineRule="auto"/>
              <w:jc w:val="right"/>
              <w:rPr>
                <w:b w:val="1"/>
                <w:sz w:val="20"/>
                <w:szCs w:val="20"/>
              </w:rPr>
            </w:pPr>
            <w:r w:rsidDel="00000000" w:rsidR="00000000" w:rsidRPr="00000000">
              <w:rPr>
                <w:b w:val="1"/>
                <w:sz w:val="20"/>
                <w:szCs w:val="20"/>
                <w:rtl w:val="0"/>
              </w:rPr>
              <w:t xml:space="preserve"> </w:t>
            </w:r>
          </w:p>
        </w:tc>
        <w:tc>
          <w:tcPr>
            <w:tcBorders>
              <w:top w:color="000000" w:space="0" w:sz="4" w:val="single"/>
              <w:left w:color="000000" w:space="0" w:sz="0" w:val="nil"/>
              <w:bottom w:color="000000" w:space="0" w:sz="4" w:val="single"/>
              <w:right w:color="000000" w:space="0" w:sz="0" w:val="nil"/>
            </w:tcBorders>
            <w:shd w:fill="e2efda" w:val="clear"/>
            <w:vAlign w:val="center"/>
          </w:tcPr>
          <w:p w:rsidR="00000000" w:rsidDel="00000000" w:rsidP="00000000" w:rsidRDefault="00000000" w:rsidRPr="00000000" w14:paraId="0000046D">
            <w:pPr>
              <w:spacing w:after="0" w:line="240" w:lineRule="auto"/>
              <w:jc w:val="right"/>
              <w:rPr>
                <w:b w:val="1"/>
                <w:sz w:val="20"/>
                <w:szCs w:val="20"/>
              </w:rPr>
            </w:pPr>
            <w:r w:rsidDel="00000000" w:rsidR="00000000" w:rsidRPr="00000000">
              <w:rPr>
                <w:b w:val="1"/>
                <w:sz w:val="20"/>
                <w:szCs w:val="20"/>
                <w:rtl w:val="0"/>
              </w:rPr>
              <w:t xml:space="preserve"> </w:t>
            </w:r>
          </w:p>
        </w:tc>
        <w:tc>
          <w:tcPr>
            <w:tcBorders>
              <w:top w:color="000000" w:space="0" w:sz="4" w:val="single"/>
              <w:left w:color="000000" w:space="0" w:sz="0" w:val="nil"/>
              <w:bottom w:color="000000" w:space="0" w:sz="4" w:val="single"/>
              <w:right w:color="000000" w:space="0" w:sz="0" w:val="nil"/>
            </w:tcBorders>
            <w:shd w:fill="ddebf7" w:val="clear"/>
            <w:vAlign w:val="center"/>
          </w:tcPr>
          <w:p w:rsidR="00000000" w:rsidDel="00000000" w:rsidP="00000000" w:rsidRDefault="00000000" w:rsidRPr="00000000" w14:paraId="0000046E">
            <w:pPr>
              <w:spacing w:after="0" w:line="240" w:lineRule="auto"/>
              <w:jc w:val="right"/>
              <w:rPr>
                <w:b w:val="1"/>
                <w:sz w:val="20"/>
                <w:szCs w:val="20"/>
              </w:rPr>
            </w:pPr>
            <w:r w:rsidDel="00000000" w:rsidR="00000000" w:rsidRPr="00000000">
              <w:rPr>
                <w:b w:val="1"/>
                <w:sz w:val="20"/>
                <w:szCs w:val="20"/>
                <w:rtl w:val="0"/>
              </w:rPr>
              <w:t xml:space="preserve"> </w:t>
            </w:r>
          </w:p>
        </w:tc>
        <w:tc>
          <w:tcPr>
            <w:tcBorders>
              <w:top w:color="000000" w:space="0" w:sz="4" w:val="single"/>
              <w:left w:color="000000" w:space="0" w:sz="0" w:val="nil"/>
              <w:bottom w:color="000000" w:space="0" w:sz="4" w:val="single"/>
              <w:right w:color="000000" w:space="0" w:sz="0" w:val="nil"/>
            </w:tcBorders>
            <w:shd w:fill="ddebf7" w:val="clear"/>
            <w:vAlign w:val="center"/>
          </w:tcPr>
          <w:p w:rsidR="00000000" w:rsidDel="00000000" w:rsidP="00000000" w:rsidRDefault="00000000" w:rsidRPr="00000000" w14:paraId="0000046F">
            <w:pPr>
              <w:spacing w:after="0" w:line="240" w:lineRule="auto"/>
              <w:jc w:val="right"/>
              <w:rPr>
                <w:b w:val="1"/>
                <w:sz w:val="20"/>
                <w:szCs w:val="20"/>
              </w:rPr>
            </w:pPr>
            <w:r w:rsidDel="00000000" w:rsidR="00000000" w:rsidRPr="00000000">
              <w:rPr>
                <w:b w:val="1"/>
                <w:sz w:val="20"/>
                <w:szCs w:val="20"/>
                <w:rtl w:val="0"/>
              </w:rPr>
              <w:t xml:space="preserve"> </w:t>
            </w:r>
          </w:p>
        </w:tc>
        <w:tc>
          <w:tcPr>
            <w:tcBorders>
              <w:top w:color="000000" w:space="0" w:sz="4" w:val="single"/>
              <w:left w:color="000000" w:space="0" w:sz="0" w:val="nil"/>
              <w:bottom w:color="000000" w:space="0" w:sz="4" w:val="single"/>
              <w:right w:color="000000" w:space="0" w:sz="0" w:val="nil"/>
            </w:tcBorders>
            <w:shd w:fill="ffe5e5" w:val="clear"/>
            <w:vAlign w:val="center"/>
          </w:tcPr>
          <w:p w:rsidR="00000000" w:rsidDel="00000000" w:rsidP="00000000" w:rsidRDefault="00000000" w:rsidRPr="00000000" w14:paraId="00000470">
            <w:pPr>
              <w:spacing w:after="0" w:line="240" w:lineRule="auto"/>
              <w:jc w:val="right"/>
              <w:rPr>
                <w:b w:val="1"/>
                <w:sz w:val="20"/>
                <w:szCs w:val="20"/>
              </w:rPr>
            </w:pPr>
            <w:r w:rsidDel="00000000" w:rsidR="00000000" w:rsidRPr="00000000">
              <w:rPr>
                <w:b w:val="1"/>
                <w:sz w:val="20"/>
                <w:szCs w:val="20"/>
                <w:rtl w:val="0"/>
              </w:rPr>
              <w:t xml:space="preserve"> </w:t>
            </w:r>
          </w:p>
        </w:tc>
        <w:tc>
          <w:tcPr>
            <w:tcBorders>
              <w:top w:color="000000" w:space="0" w:sz="4" w:val="single"/>
              <w:left w:color="000000" w:space="0" w:sz="0" w:val="nil"/>
              <w:bottom w:color="000000" w:space="0" w:sz="4" w:val="single"/>
              <w:right w:color="000000" w:space="0" w:sz="0" w:val="nil"/>
            </w:tcBorders>
            <w:shd w:fill="ffe5e5" w:val="clear"/>
            <w:vAlign w:val="center"/>
          </w:tcPr>
          <w:p w:rsidR="00000000" w:rsidDel="00000000" w:rsidP="00000000" w:rsidRDefault="00000000" w:rsidRPr="00000000" w14:paraId="00000471">
            <w:pPr>
              <w:spacing w:after="0" w:line="240" w:lineRule="auto"/>
              <w:jc w:val="right"/>
              <w:rPr>
                <w:b w:val="1"/>
                <w:sz w:val="20"/>
                <w:szCs w:val="20"/>
              </w:rPr>
            </w:pPr>
            <w:r w:rsidDel="00000000" w:rsidR="00000000" w:rsidRPr="00000000">
              <w:rPr>
                <w:b w:val="1"/>
                <w:sz w:val="20"/>
                <w:szCs w:val="20"/>
                <w:rtl w:val="0"/>
              </w:rPr>
              <w:t xml:space="preserve"> </w:t>
            </w:r>
          </w:p>
        </w:tc>
      </w:tr>
      <w:tr>
        <w:trPr>
          <w:cantSplit w:val="0"/>
          <w:trHeight w:val="31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472">
            <w:pPr>
              <w:spacing w:after="0" w:line="240" w:lineRule="auto"/>
              <w:rPr>
                <w:sz w:val="20"/>
                <w:szCs w:val="20"/>
              </w:rPr>
            </w:pPr>
            <w:r w:rsidDel="00000000" w:rsidR="00000000" w:rsidRPr="00000000">
              <w:rPr>
                <w:sz w:val="20"/>
                <w:szCs w:val="20"/>
                <w:rtl w:val="0"/>
              </w:rPr>
              <w:t xml:space="preserve">Lincoln, Lincoln Castle</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473">
            <w:pPr>
              <w:spacing w:after="0" w:line="240" w:lineRule="auto"/>
              <w:jc w:val="right"/>
              <w:rPr>
                <w:sz w:val="20"/>
                <w:szCs w:val="20"/>
              </w:rPr>
            </w:pPr>
            <w:r w:rsidDel="00000000" w:rsidR="00000000" w:rsidRPr="00000000">
              <w:rPr>
                <w:sz w:val="20"/>
                <w:szCs w:val="20"/>
                <w:rtl w:val="0"/>
              </w:rPr>
              <w:t xml:space="preserve">3</w:t>
            </w:r>
          </w:p>
        </w:tc>
        <w:tc>
          <w:tcPr>
            <w:tcBorders>
              <w:top w:color="000000" w:space="0" w:sz="0" w:val="nil"/>
              <w:left w:color="000000" w:space="0" w:sz="0" w:val="nil"/>
              <w:bottom w:color="000000" w:space="0" w:sz="0" w:val="nil"/>
              <w:right w:color="000000" w:space="0" w:sz="0" w:val="nil"/>
            </w:tcBorders>
            <w:shd w:fill="e2efda" w:val="clear"/>
            <w:vAlign w:val="center"/>
          </w:tcPr>
          <w:p w:rsidR="00000000" w:rsidDel="00000000" w:rsidP="00000000" w:rsidRDefault="00000000" w:rsidRPr="00000000" w14:paraId="00000474">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0" w:val="nil"/>
              <w:right w:color="000000" w:space="0" w:sz="0" w:val="nil"/>
            </w:tcBorders>
            <w:shd w:fill="e2efda" w:val="clear"/>
            <w:vAlign w:val="center"/>
          </w:tcPr>
          <w:p w:rsidR="00000000" w:rsidDel="00000000" w:rsidP="00000000" w:rsidRDefault="00000000" w:rsidRPr="00000000" w14:paraId="00000475">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0" w:val="nil"/>
              <w:right w:color="000000" w:space="0" w:sz="0" w:val="nil"/>
            </w:tcBorders>
            <w:shd w:fill="ddebf7" w:val="clear"/>
            <w:vAlign w:val="center"/>
          </w:tcPr>
          <w:p w:rsidR="00000000" w:rsidDel="00000000" w:rsidP="00000000" w:rsidRDefault="00000000" w:rsidRPr="00000000" w14:paraId="00000476">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0" w:val="nil"/>
              <w:right w:color="000000" w:space="0" w:sz="0" w:val="nil"/>
            </w:tcBorders>
            <w:shd w:fill="ddebf7" w:val="clear"/>
            <w:vAlign w:val="center"/>
          </w:tcPr>
          <w:p w:rsidR="00000000" w:rsidDel="00000000" w:rsidP="00000000" w:rsidRDefault="00000000" w:rsidRPr="00000000" w14:paraId="00000477">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0" w:val="nil"/>
              <w:right w:color="000000" w:space="0" w:sz="0" w:val="nil"/>
            </w:tcBorders>
            <w:shd w:fill="ffe5e5" w:val="clear"/>
            <w:vAlign w:val="center"/>
          </w:tcPr>
          <w:p w:rsidR="00000000" w:rsidDel="00000000" w:rsidP="00000000" w:rsidRDefault="00000000" w:rsidRPr="00000000" w14:paraId="00000478">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0" w:val="nil"/>
              <w:right w:color="000000" w:space="0" w:sz="0" w:val="nil"/>
            </w:tcBorders>
            <w:shd w:fill="ffe5e5" w:val="clear"/>
            <w:vAlign w:val="center"/>
          </w:tcPr>
          <w:p w:rsidR="00000000" w:rsidDel="00000000" w:rsidP="00000000" w:rsidRDefault="00000000" w:rsidRPr="00000000" w14:paraId="00000479">
            <w:pPr>
              <w:spacing w:after="0" w:line="240" w:lineRule="auto"/>
              <w:jc w:val="right"/>
              <w:rPr>
                <w:sz w:val="20"/>
                <w:szCs w:val="20"/>
              </w:rPr>
            </w:pPr>
            <w:r w:rsidDel="00000000" w:rsidR="00000000" w:rsidRPr="00000000">
              <w:rPr>
                <w:sz w:val="20"/>
                <w:szCs w:val="20"/>
                <w:rtl w:val="0"/>
              </w:rPr>
              <w:t xml:space="preserve"> </w:t>
            </w:r>
          </w:p>
        </w:tc>
      </w:tr>
      <w:tr>
        <w:trPr>
          <w:cantSplit w:val="0"/>
          <w:trHeight w:val="315" w:hRule="atLeast"/>
          <w:tblHeader w:val="0"/>
        </w:trPr>
        <w:tc>
          <w:tcPr>
            <w:tcBorders>
              <w:top w:color="000000" w:space="0" w:sz="4" w:val="single"/>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47A">
            <w:pPr>
              <w:spacing w:after="0" w:line="240" w:lineRule="auto"/>
              <w:rPr>
                <w:b w:val="1"/>
                <w:sz w:val="20"/>
                <w:szCs w:val="20"/>
              </w:rPr>
            </w:pPr>
            <w:r w:rsidDel="00000000" w:rsidR="00000000" w:rsidRPr="00000000">
              <w:rPr>
                <w:b w:val="1"/>
                <w:sz w:val="20"/>
                <w:szCs w:val="20"/>
                <w:rtl w:val="0"/>
              </w:rPr>
              <w:t xml:space="preserve">England East</w:t>
            </w:r>
          </w:p>
        </w:tc>
        <w:tc>
          <w:tcPr>
            <w:tcBorders>
              <w:top w:color="000000" w:space="0" w:sz="4" w:val="single"/>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47B">
            <w:pPr>
              <w:spacing w:after="0" w:line="240" w:lineRule="auto"/>
              <w:jc w:val="right"/>
              <w:rPr>
                <w:b w:val="1"/>
                <w:sz w:val="20"/>
                <w:szCs w:val="20"/>
              </w:rPr>
            </w:pPr>
            <w:r w:rsidDel="00000000" w:rsidR="00000000" w:rsidRPr="00000000">
              <w:rPr>
                <w:b w:val="1"/>
                <w:sz w:val="20"/>
                <w:szCs w:val="20"/>
                <w:rtl w:val="0"/>
              </w:rPr>
              <w:t xml:space="preserve">88</w:t>
            </w:r>
          </w:p>
        </w:tc>
        <w:tc>
          <w:tcPr>
            <w:tcBorders>
              <w:top w:color="000000" w:space="0" w:sz="4" w:val="single"/>
              <w:left w:color="000000" w:space="0" w:sz="0" w:val="nil"/>
              <w:bottom w:color="000000" w:space="0" w:sz="4" w:val="single"/>
              <w:right w:color="000000" w:space="0" w:sz="0" w:val="nil"/>
            </w:tcBorders>
            <w:shd w:fill="e2efda" w:val="clear"/>
            <w:vAlign w:val="center"/>
          </w:tcPr>
          <w:p w:rsidR="00000000" w:rsidDel="00000000" w:rsidP="00000000" w:rsidRDefault="00000000" w:rsidRPr="00000000" w14:paraId="0000047C">
            <w:pPr>
              <w:spacing w:after="0" w:line="240" w:lineRule="auto"/>
              <w:jc w:val="right"/>
              <w:rPr>
                <w:b w:val="1"/>
                <w:sz w:val="20"/>
                <w:szCs w:val="20"/>
              </w:rPr>
            </w:pPr>
            <w:r w:rsidDel="00000000" w:rsidR="00000000" w:rsidRPr="00000000">
              <w:rPr>
                <w:b w:val="1"/>
                <w:sz w:val="20"/>
                <w:szCs w:val="20"/>
                <w:rtl w:val="0"/>
              </w:rPr>
              <w:t xml:space="preserve">13</w:t>
            </w:r>
          </w:p>
        </w:tc>
        <w:tc>
          <w:tcPr>
            <w:tcBorders>
              <w:top w:color="000000" w:space="0" w:sz="4" w:val="single"/>
              <w:left w:color="000000" w:space="0" w:sz="0" w:val="nil"/>
              <w:bottom w:color="000000" w:space="0" w:sz="4" w:val="single"/>
              <w:right w:color="000000" w:space="0" w:sz="0" w:val="nil"/>
            </w:tcBorders>
            <w:shd w:fill="e2efda" w:val="clear"/>
            <w:vAlign w:val="center"/>
          </w:tcPr>
          <w:p w:rsidR="00000000" w:rsidDel="00000000" w:rsidP="00000000" w:rsidRDefault="00000000" w:rsidRPr="00000000" w14:paraId="0000047D">
            <w:pPr>
              <w:spacing w:after="0" w:line="240" w:lineRule="auto"/>
              <w:jc w:val="right"/>
              <w:rPr>
                <w:b w:val="1"/>
                <w:sz w:val="20"/>
                <w:szCs w:val="20"/>
              </w:rPr>
            </w:pPr>
            <w:r w:rsidDel="00000000" w:rsidR="00000000" w:rsidRPr="00000000">
              <w:rPr>
                <w:b w:val="1"/>
                <w:sz w:val="20"/>
                <w:szCs w:val="20"/>
                <w:rtl w:val="0"/>
              </w:rPr>
              <w:t xml:space="preserve">15</w:t>
            </w:r>
          </w:p>
        </w:tc>
        <w:tc>
          <w:tcPr>
            <w:tcBorders>
              <w:top w:color="000000" w:space="0" w:sz="4" w:val="single"/>
              <w:left w:color="000000" w:space="0" w:sz="0" w:val="nil"/>
              <w:bottom w:color="000000" w:space="0" w:sz="4" w:val="single"/>
              <w:right w:color="000000" w:space="0" w:sz="0" w:val="nil"/>
            </w:tcBorders>
            <w:shd w:fill="ddebf7" w:val="clear"/>
            <w:vAlign w:val="center"/>
          </w:tcPr>
          <w:p w:rsidR="00000000" w:rsidDel="00000000" w:rsidP="00000000" w:rsidRDefault="00000000" w:rsidRPr="00000000" w14:paraId="0000047E">
            <w:pPr>
              <w:spacing w:after="0" w:line="240" w:lineRule="auto"/>
              <w:jc w:val="right"/>
              <w:rPr>
                <w:b w:val="1"/>
                <w:sz w:val="20"/>
                <w:szCs w:val="20"/>
              </w:rPr>
            </w:pPr>
            <w:r w:rsidDel="00000000" w:rsidR="00000000" w:rsidRPr="00000000">
              <w:rPr>
                <w:b w:val="1"/>
                <w:sz w:val="20"/>
                <w:szCs w:val="20"/>
                <w:rtl w:val="0"/>
              </w:rPr>
              <w:t xml:space="preserve">9</w:t>
            </w:r>
          </w:p>
        </w:tc>
        <w:tc>
          <w:tcPr>
            <w:tcBorders>
              <w:top w:color="000000" w:space="0" w:sz="4" w:val="single"/>
              <w:left w:color="000000" w:space="0" w:sz="0" w:val="nil"/>
              <w:bottom w:color="000000" w:space="0" w:sz="4" w:val="single"/>
              <w:right w:color="000000" w:space="0" w:sz="0" w:val="nil"/>
            </w:tcBorders>
            <w:shd w:fill="ddebf7" w:val="clear"/>
            <w:vAlign w:val="center"/>
          </w:tcPr>
          <w:p w:rsidR="00000000" w:rsidDel="00000000" w:rsidP="00000000" w:rsidRDefault="00000000" w:rsidRPr="00000000" w14:paraId="0000047F">
            <w:pPr>
              <w:spacing w:after="0" w:line="240" w:lineRule="auto"/>
              <w:jc w:val="right"/>
              <w:rPr>
                <w:b w:val="1"/>
                <w:sz w:val="20"/>
                <w:szCs w:val="20"/>
              </w:rPr>
            </w:pPr>
            <w:r w:rsidDel="00000000" w:rsidR="00000000" w:rsidRPr="00000000">
              <w:rPr>
                <w:b w:val="1"/>
                <w:sz w:val="20"/>
                <w:szCs w:val="20"/>
                <w:rtl w:val="0"/>
              </w:rPr>
              <w:t xml:space="preserve">10</w:t>
            </w:r>
          </w:p>
        </w:tc>
        <w:tc>
          <w:tcPr>
            <w:tcBorders>
              <w:top w:color="000000" w:space="0" w:sz="4" w:val="single"/>
              <w:left w:color="000000" w:space="0" w:sz="0" w:val="nil"/>
              <w:bottom w:color="000000" w:space="0" w:sz="4" w:val="single"/>
              <w:right w:color="000000" w:space="0" w:sz="0" w:val="nil"/>
            </w:tcBorders>
            <w:shd w:fill="ffe5e5" w:val="clear"/>
            <w:vAlign w:val="center"/>
          </w:tcPr>
          <w:p w:rsidR="00000000" w:rsidDel="00000000" w:rsidP="00000000" w:rsidRDefault="00000000" w:rsidRPr="00000000" w14:paraId="00000480">
            <w:pPr>
              <w:spacing w:after="0" w:line="240" w:lineRule="auto"/>
              <w:jc w:val="right"/>
              <w:rPr>
                <w:b w:val="1"/>
                <w:sz w:val="20"/>
                <w:szCs w:val="20"/>
              </w:rPr>
            </w:pPr>
            <w:r w:rsidDel="00000000" w:rsidR="00000000" w:rsidRPr="00000000">
              <w:rPr>
                <w:b w:val="1"/>
                <w:sz w:val="20"/>
                <w:szCs w:val="20"/>
                <w:rtl w:val="0"/>
              </w:rPr>
              <w:t xml:space="preserve">3</w:t>
            </w:r>
          </w:p>
        </w:tc>
        <w:tc>
          <w:tcPr>
            <w:tcBorders>
              <w:top w:color="000000" w:space="0" w:sz="4" w:val="single"/>
              <w:left w:color="000000" w:space="0" w:sz="0" w:val="nil"/>
              <w:bottom w:color="000000" w:space="0" w:sz="4" w:val="single"/>
              <w:right w:color="000000" w:space="0" w:sz="0" w:val="nil"/>
            </w:tcBorders>
            <w:shd w:fill="ffe5e5" w:val="clear"/>
            <w:vAlign w:val="center"/>
          </w:tcPr>
          <w:p w:rsidR="00000000" w:rsidDel="00000000" w:rsidP="00000000" w:rsidRDefault="00000000" w:rsidRPr="00000000" w14:paraId="00000481">
            <w:pPr>
              <w:spacing w:after="0" w:line="240" w:lineRule="auto"/>
              <w:jc w:val="right"/>
              <w:rPr>
                <w:b w:val="1"/>
                <w:sz w:val="20"/>
                <w:szCs w:val="20"/>
              </w:rPr>
            </w:pPr>
            <w:r w:rsidDel="00000000" w:rsidR="00000000" w:rsidRPr="00000000">
              <w:rPr>
                <w:b w:val="1"/>
                <w:sz w:val="20"/>
                <w:szCs w:val="20"/>
                <w:rtl w:val="0"/>
              </w:rPr>
              <w:t xml:space="preserve">3</w:t>
            </w:r>
          </w:p>
        </w:tc>
      </w:tr>
      <w:tr>
        <w:trPr>
          <w:cantSplit w:val="0"/>
          <w:trHeight w:val="31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482">
            <w:pPr>
              <w:spacing w:after="0" w:line="240" w:lineRule="auto"/>
              <w:rPr>
                <w:sz w:val="20"/>
                <w:szCs w:val="20"/>
              </w:rPr>
            </w:pPr>
            <w:r w:rsidDel="00000000" w:rsidR="00000000" w:rsidRPr="00000000">
              <w:rPr>
                <w:sz w:val="20"/>
                <w:szCs w:val="20"/>
                <w:rtl w:val="0"/>
              </w:rPr>
              <w:t xml:space="preserve">Ely</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483">
            <w:pPr>
              <w:spacing w:after="0" w:line="240" w:lineRule="auto"/>
              <w:jc w:val="right"/>
              <w:rPr>
                <w:sz w:val="20"/>
                <w:szCs w:val="20"/>
              </w:rPr>
            </w:pPr>
            <w:r w:rsidDel="00000000" w:rsidR="00000000" w:rsidRPr="00000000">
              <w:rPr>
                <w:sz w:val="20"/>
                <w:szCs w:val="20"/>
                <w:rtl w:val="0"/>
              </w:rPr>
              <w:t xml:space="preserve">6</w:t>
            </w:r>
          </w:p>
        </w:tc>
        <w:tc>
          <w:tcPr>
            <w:tcBorders>
              <w:top w:color="000000" w:space="0" w:sz="0" w:val="nil"/>
              <w:left w:color="000000" w:space="0" w:sz="0" w:val="nil"/>
              <w:bottom w:color="000000" w:space="0" w:sz="0" w:val="nil"/>
              <w:right w:color="000000" w:space="0" w:sz="0" w:val="nil"/>
            </w:tcBorders>
            <w:shd w:fill="e2efda" w:val="clear"/>
            <w:vAlign w:val="center"/>
          </w:tcPr>
          <w:p w:rsidR="00000000" w:rsidDel="00000000" w:rsidP="00000000" w:rsidRDefault="00000000" w:rsidRPr="00000000" w14:paraId="00000484">
            <w:pPr>
              <w:spacing w:after="0" w:line="240" w:lineRule="auto"/>
              <w:jc w:val="right"/>
              <w:rPr>
                <w:sz w:val="20"/>
                <w:szCs w:val="20"/>
              </w:rPr>
            </w:pPr>
            <w:r w:rsidDel="00000000" w:rsidR="00000000" w:rsidRPr="00000000">
              <w:rPr>
                <w:sz w:val="20"/>
                <w:szCs w:val="20"/>
                <w:rtl w:val="0"/>
              </w:rPr>
              <w:t xml:space="preserve">1</w:t>
            </w:r>
          </w:p>
        </w:tc>
        <w:tc>
          <w:tcPr>
            <w:tcBorders>
              <w:top w:color="000000" w:space="0" w:sz="0" w:val="nil"/>
              <w:left w:color="000000" w:space="0" w:sz="0" w:val="nil"/>
              <w:bottom w:color="000000" w:space="0" w:sz="0" w:val="nil"/>
              <w:right w:color="000000" w:space="0" w:sz="0" w:val="nil"/>
            </w:tcBorders>
            <w:shd w:fill="e2efda" w:val="clear"/>
            <w:vAlign w:val="center"/>
          </w:tcPr>
          <w:p w:rsidR="00000000" w:rsidDel="00000000" w:rsidP="00000000" w:rsidRDefault="00000000" w:rsidRPr="00000000" w14:paraId="00000485">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0" w:val="nil"/>
              <w:right w:color="000000" w:space="0" w:sz="0" w:val="nil"/>
            </w:tcBorders>
            <w:shd w:fill="ddebf7" w:val="clear"/>
            <w:vAlign w:val="center"/>
          </w:tcPr>
          <w:p w:rsidR="00000000" w:rsidDel="00000000" w:rsidP="00000000" w:rsidRDefault="00000000" w:rsidRPr="00000000" w14:paraId="00000486">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0" w:val="nil"/>
              <w:right w:color="000000" w:space="0" w:sz="0" w:val="nil"/>
            </w:tcBorders>
            <w:shd w:fill="ddebf7" w:val="clear"/>
            <w:vAlign w:val="center"/>
          </w:tcPr>
          <w:p w:rsidR="00000000" w:rsidDel="00000000" w:rsidP="00000000" w:rsidRDefault="00000000" w:rsidRPr="00000000" w14:paraId="00000487">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0" w:val="nil"/>
              <w:right w:color="000000" w:space="0" w:sz="0" w:val="nil"/>
            </w:tcBorders>
            <w:shd w:fill="ffe5e5" w:val="clear"/>
            <w:vAlign w:val="center"/>
          </w:tcPr>
          <w:p w:rsidR="00000000" w:rsidDel="00000000" w:rsidP="00000000" w:rsidRDefault="00000000" w:rsidRPr="00000000" w14:paraId="00000488">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0" w:val="nil"/>
              <w:right w:color="000000" w:space="0" w:sz="0" w:val="nil"/>
            </w:tcBorders>
            <w:shd w:fill="ffe5e5" w:val="clear"/>
            <w:vAlign w:val="center"/>
          </w:tcPr>
          <w:p w:rsidR="00000000" w:rsidDel="00000000" w:rsidP="00000000" w:rsidRDefault="00000000" w:rsidRPr="00000000" w14:paraId="00000489">
            <w:pPr>
              <w:spacing w:after="0" w:line="240" w:lineRule="auto"/>
              <w:jc w:val="right"/>
              <w:rPr>
                <w:sz w:val="20"/>
                <w:szCs w:val="20"/>
              </w:rPr>
            </w:pPr>
            <w:r w:rsidDel="00000000" w:rsidR="00000000" w:rsidRPr="00000000">
              <w:rPr>
                <w:sz w:val="20"/>
                <w:szCs w:val="20"/>
                <w:rtl w:val="0"/>
              </w:rPr>
              <w:t xml:space="preserve"> </w:t>
            </w:r>
          </w:p>
        </w:tc>
      </w:tr>
      <w:tr>
        <w:trPr>
          <w:cantSplit w:val="0"/>
          <w:trHeight w:val="31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48A">
            <w:pPr>
              <w:spacing w:after="0" w:line="240" w:lineRule="auto"/>
              <w:rPr>
                <w:sz w:val="20"/>
                <w:szCs w:val="20"/>
              </w:rPr>
            </w:pPr>
            <w:r w:rsidDel="00000000" w:rsidR="00000000" w:rsidRPr="00000000">
              <w:rPr>
                <w:sz w:val="20"/>
                <w:szCs w:val="20"/>
                <w:rtl w:val="0"/>
              </w:rPr>
              <w:t xml:space="preserve">Hatherdene Close</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48B">
            <w:pPr>
              <w:spacing w:after="0" w:line="240" w:lineRule="auto"/>
              <w:jc w:val="right"/>
              <w:rPr>
                <w:sz w:val="20"/>
                <w:szCs w:val="20"/>
              </w:rPr>
            </w:pPr>
            <w:r w:rsidDel="00000000" w:rsidR="00000000" w:rsidRPr="00000000">
              <w:rPr>
                <w:sz w:val="20"/>
                <w:szCs w:val="20"/>
                <w:rtl w:val="0"/>
              </w:rPr>
              <w:t xml:space="preserve">17</w:t>
            </w:r>
          </w:p>
        </w:tc>
        <w:tc>
          <w:tcPr>
            <w:tcBorders>
              <w:top w:color="000000" w:space="0" w:sz="0" w:val="nil"/>
              <w:left w:color="000000" w:space="0" w:sz="0" w:val="nil"/>
              <w:bottom w:color="000000" w:space="0" w:sz="0" w:val="nil"/>
              <w:right w:color="000000" w:space="0" w:sz="0" w:val="nil"/>
            </w:tcBorders>
            <w:shd w:fill="e2efda" w:val="clear"/>
            <w:vAlign w:val="center"/>
          </w:tcPr>
          <w:p w:rsidR="00000000" w:rsidDel="00000000" w:rsidP="00000000" w:rsidRDefault="00000000" w:rsidRPr="00000000" w14:paraId="0000048C">
            <w:pPr>
              <w:spacing w:after="0" w:line="240" w:lineRule="auto"/>
              <w:jc w:val="right"/>
              <w:rPr>
                <w:sz w:val="20"/>
                <w:szCs w:val="20"/>
              </w:rPr>
            </w:pPr>
            <w:r w:rsidDel="00000000" w:rsidR="00000000" w:rsidRPr="00000000">
              <w:rPr>
                <w:sz w:val="20"/>
                <w:szCs w:val="20"/>
                <w:rtl w:val="0"/>
              </w:rPr>
              <w:t xml:space="preserve">5</w:t>
            </w:r>
          </w:p>
        </w:tc>
        <w:tc>
          <w:tcPr>
            <w:tcBorders>
              <w:top w:color="000000" w:space="0" w:sz="0" w:val="nil"/>
              <w:left w:color="000000" w:space="0" w:sz="0" w:val="nil"/>
              <w:bottom w:color="000000" w:space="0" w:sz="0" w:val="nil"/>
              <w:right w:color="000000" w:space="0" w:sz="0" w:val="nil"/>
            </w:tcBorders>
            <w:shd w:fill="e2efda" w:val="clear"/>
            <w:vAlign w:val="center"/>
          </w:tcPr>
          <w:p w:rsidR="00000000" w:rsidDel="00000000" w:rsidP="00000000" w:rsidRDefault="00000000" w:rsidRPr="00000000" w14:paraId="0000048D">
            <w:pPr>
              <w:spacing w:after="0" w:line="240" w:lineRule="auto"/>
              <w:jc w:val="right"/>
              <w:rPr>
                <w:sz w:val="20"/>
                <w:szCs w:val="20"/>
              </w:rPr>
            </w:pPr>
            <w:r w:rsidDel="00000000" w:rsidR="00000000" w:rsidRPr="00000000">
              <w:rPr>
                <w:sz w:val="20"/>
                <w:szCs w:val="20"/>
                <w:rtl w:val="0"/>
              </w:rPr>
              <w:t xml:space="preserve">29</w:t>
            </w:r>
          </w:p>
        </w:tc>
        <w:tc>
          <w:tcPr>
            <w:tcBorders>
              <w:top w:color="000000" w:space="0" w:sz="0" w:val="nil"/>
              <w:left w:color="000000" w:space="0" w:sz="0" w:val="nil"/>
              <w:bottom w:color="000000" w:space="0" w:sz="0" w:val="nil"/>
              <w:right w:color="000000" w:space="0" w:sz="0" w:val="nil"/>
            </w:tcBorders>
            <w:shd w:fill="ddebf7" w:val="clear"/>
            <w:vAlign w:val="center"/>
          </w:tcPr>
          <w:p w:rsidR="00000000" w:rsidDel="00000000" w:rsidP="00000000" w:rsidRDefault="00000000" w:rsidRPr="00000000" w14:paraId="0000048E">
            <w:pPr>
              <w:spacing w:after="0" w:line="240" w:lineRule="auto"/>
              <w:jc w:val="right"/>
              <w:rPr>
                <w:sz w:val="20"/>
                <w:szCs w:val="20"/>
              </w:rPr>
            </w:pPr>
            <w:r w:rsidDel="00000000" w:rsidR="00000000" w:rsidRPr="00000000">
              <w:rPr>
                <w:sz w:val="20"/>
                <w:szCs w:val="20"/>
                <w:rtl w:val="0"/>
              </w:rPr>
              <w:t xml:space="preserve">2</w:t>
            </w:r>
          </w:p>
        </w:tc>
        <w:tc>
          <w:tcPr>
            <w:tcBorders>
              <w:top w:color="000000" w:space="0" w:sz="0" w:val="nil"/>
              <w:left w:color="000000" w:space="0" w:sz="0" w:val="nil"/>
              <w:bottom w:color="000000" w:space="0" w:sz="0" w:val="nil"/>
              <w:right w:color="000000" w:space="0" w:sz="0" w:val="nil"/>
            </w:tcBorders>
            <w:shd w:fill="ddebf7" w:val="clear"/>
            <w:vAlign w:val="center"/>
          </w:tcPr>
          <w:p w:rsidR="00000000" w:rsidDel="00000000" w:rsidP="00000000" w:rsidRDefault="00000000" w:rsidRPr="00000000" w14:paraId="0000048F">
            <w:pPr>
              <w:spacing w:after="0" w:line="240" w:lineRule="auto"/>
              <w:jc w:val="right"/>
              <w:rPr>
                <w:sz w:val="20"/>
                <w:szCs w:val="20"/>
              </w:rPr>
            </w:pPr>
            <w:r w:rsidDel="00000000" w:rsidR="00000000" w:rsidRPr="00000000">
              <w:rPr>
                <w:sz w:val="20"/>
                <w:szCs w:val="20"/>
                <w:rtl w:val="0"/>
              </w:rPr>
              <w:t xml:space="preserve">12</w:t>
            </w:r>
          </w:p>
        </w:tc>
        <w:tc>
          <w:tcPr>
            <w:tcBorders>
              <w:top w:color="000000" w:space="0" w:sz="0" w:val="nil"/>
              <w:left w:color="000000" w:space="0" w:sz="0" w:val="nil"/>
              <w:bottom w:color="000000" w:space="0" w:sz="0" w:val="nil"/>
              <w:right w:color="000000" w:space="0" w:sz="0" w:val="nil"/>
            </w:tcBorders>
            <w:shd w:fill="ffe5e5" w:val="clear"/>
            <w:vAlign w:val="center"/>
          </w:tcPr>
          <w:p w:rsidR="00000000" w:rsidDel="00000000" w:rsidP="00000000" w:rsidRDefault="00000000" w:rsidRPr="00000000" w14:paraId="00000490">
            <w:pPr>
              <w:spacing w:after="0" w:line="240" w:lineRule="auto"/>
              <w:jc w:val="right"/>
              <w:rPr>
                <w:sz w:val="20"/>
                <w:szCs w:val="20"/>
              </w:rPr>
            </w:pPr>
            <w:r w:rsidDel="00000000" w:rsidR="00000000" w:rsidRPr="00000000">
              <w:rPr>
                <w:sz w:val="20"/>
                <w:szCs w:val="20"/>
                <w:rtl w:val="0"/>
              </w:rPr>
              <w:t xml:space="preserve">1</w:t>
            </w:r>
          </w:p>
        </w:tc>
        <w:tc>
          <w:tcPr>
            <w:tcBorders>
              <w:top w:color="000000" w:space="0" w:sz="0" w:val="nil"/>
              <w:left w:color="000000" w:space="0" w:sz="0" w:val="nil"/>
              <w:bottom w:color="000000" w:space="0" w:sz="0" w:val="nil"/>
              <w:right w:color="000000" w:space="0" w:sz="0" w:val="nil"/>
            </w:tcBorders>
            <w:shd w:fill="ffe5e5" w:val="clear"/>
            <w:vAlign w:val="center"/>
          </w:tcPr>
          <w:p w:rsidR="00000000" w:rsidDel="00000000" w:rsidP="00000000" w:rsidRDefault="00000000" w:rsidRPr="00000000" w14:paraId="00000491">
            <w:pPr>
              <w:spacing w:after="0" w:line="240" w:lineRule="auto"/>
              <w:jc w:val="right"/>
              <w:rPr>
                <w:sz w:val="20"/>
                <w:szCs w:val="20"/>
              </w:rPr>
            </w:pPr>
            <w:r w:rsidDel="00000000" w:rsidR="00000000" w:rsidRPr="00000000">
              <w:rPr>
                <w:sz w:val="20"/>
                <w:szCs w:val="20"/>
                <w:rtl w:val="0"/>
              </w:rPr>
              <w:t xml:space="preserve">6</w:t>
            </w:r>
          </w:p>
        </w:tc>
      </w:tr>
      <w:tr>
        <w:trPr>
          <w:cantSplit w:val="0"/>
          <w:trHeight w:val="31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492">
            <w:pPr>
              <w:spacing w:after="0" w:line="240" w:lineRule="auto"/>
              <w:rPr>
                <w:sz w:val="20"/>
                <w:szCs w:val="20"/>
              </w:rPr>
            </w:pPr>
            <w:r w:rsidDel="00000000" w:rsidR="00000000" w:rsidRPr="00000000">
              <w:rPr>
                <w:sz w:val="20"/>
                <w:szCs w:val="20"/>
                <w:rtl w:val="0"/>
              </w:rPr>
              <w:t xml:space="preserve">Hinxton</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493">
            <w:pPr>
              <w:spacing w:after="0" w:line="240" w:lineRule="auto"/>
              <w:jc w:val="right"/>
              <w:rPr>
                <w:sz w:val="20"/>
                <w:szCs w:val="20"/>
              </w:rPr>
            </w:pPr>
            <w:r w:rsidDel="00000000" w:rsidR="00000000" w:rsidRPr="00000000">
              <w:rPr>
                <w:sz w:val="20"/>
                <w:szCs w:val="20"/>
                <w:rtl w:val="0"/>
              </w:rPr>
              <w:t xml:space="preserve">3</w:t>
            </w:r>
          </w:p>
        </w:tc>
        <w:tc>
          <w:tcPr>
            <w:tcBorders>
              <w:top w:color="000000" w:space="0" w:sz="0" w:val="nil"/>
              <w:left w:color="000000" w:space="0" w:sz="0" w:val="nil"/>
              <w:bottom w:color="000000" w:space="0" w:sz="0" w:val="nil"/>
              <w:right w:color="000000" w:space="0" w:sz="0" w:val="nil"/>
            </w:tcBorders>
            <w:shd w:fill="e2efda" w:val="clear"/>
            <w:vAlign w:val="center"/>
          </w:tcPr>
          <w:p w:rsidR="00000000" w:rsidDel="00000000" w:rsidP="00000000" w:rsidRDefault="00000000" w:rsidRPr="00000000" w14:paraId="00000494">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0" w:val="nil"/>
              <w:right w:color="000000" w:space="0" w:sz="0" w:val="nil"/>
            </w:tcBorders>
            <w:shd w:fill="e2efda" w:val="clear"/>
            <w:vAlign w:val="center"/>
          </w:tcPr>
          <w:p w:rsidR="00000000" w:rsidDel="00000000" w:rsidP="00000000" w:rsidRDefault="00000000" w:rsidRPr="00000000" w14:paraId="00000495">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0" w:val="nil"/>
              <w:right w:color="000000" w:space="0" w:sz="0" w:val="nil"/>
            </w:tcBorders>
            <w:shd w:fill="ddebf7" w:val="clear"/>
            <w:vAlign w:val="center"/>
          </w:tcPr>
          <w:p w:rsidR="00000000" w:rsidDel="00000000" w:rsidP="00000000" w:rsidRDefault="00000000" w:rsidRPr="00000000" w14:paraId="00000496">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0" w:val="nil"/>
              <w:right w:color="000000" w:space="0" w:sz="0" w:val="nil"/>
            </w:tcBorders>
            <w:shd w:fill="ddebf7" w:val="clear"/>
            <w:vAlign w:val="center"/>
          </w:tcPr>
          <w:p w:rsidR="00000000" w:rsidDel="00000000" w:rsidP="00000000" w:rsidRDefault="00000000" w:rsidRPr="00000000" w14:paraId="00000497">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0" w:val="nil"/>
              <w:right w:color="000000" w:space="0" w:sz="0" w:val="nil"/>
            </w:tcBorders>
            <w:shd w:fill="ffe5e5" w:val="clear"/>
            <w:vAlign w:val="center"/>
          </w:tcPr>
          <w:p w:rsidR="00000000" w:rsidDel="00000000" w:rsidP="00000000" w:rsidRDefault="00000000" w:rsidRPr="00000000" w14:paraId="00000498">
            <w:pPr>
              <w:spacing w:after="0" w:line="240" w:lineRule="auto"/>
              <w:jc w:val="right"/>
              <w:rPr>
                <w:sz w:val="20"/>
                <w:szCs w:val="20"/>
              </w:rPr>
            </w:pPr>
            <w:r w:rsidDel="00000000" w:rsidR="00000000" w:rsidRPr="00000000">
              <w:rPr>
                <w:sz w:val="20"/>
                <w:szCs w:val="20"/>
                <w:rtl w:val="0"/>
              </w:rPr>
              <w:t xml:space="preserve">1</w:t>
            </w:r>
          </w:p>
        </w:tc>
        <w:tc>
          <w:tcPr>
            <w:tcBorders>
              <w:top w:color="000000" w:space="0" w:sz="0" w:val="nil"/>
              <w:left w:color="000000" w:space="0" w:sz="0" w:val="nil"/>
              <w:bottom w:color="000000" w:space="0" w:sz="0" w:val="nil"/>
              <w:right w:color="000000" w:space="0" w:sz="0" w:val="nil"/>
            </w:tcBorders>
            <w:shd w:fill="ffe5e5" w:val="clear"/>
            <w:vAlign w:val="center"/>
          </w:tcPr>
          <w:p w:rsidR="00000000" w:rsidDel="00000000" w:rsidP="00000000" w:rsidRDefault="00000000" w:rsidRPr="00000000" w14:paraId="00000499">
            <w:pPr>
              <w:spacing w:after="0" w:line="240" w:lineRule="auto"/>
              <w:jc w:val="right"/>
              <w:rPr>
                <w:sz w:val="20"/>
                <w:szCs w:val="20"/>
              </w:rPr>
            </w:pPr>
            <w:r w:rsidDel="00000000" w:rsidR="00000000" w:rsidRPr="00000000">
              <w:rPr>
                <w:sz w:val="20"/>
                <w:szCs w:val="20"/>
                <w:rtl w:val="0"/>
              </w:rPr>
              <w:t xml:space="preserve"> </w:t>
            </w:r>
          </w:p>
        </w:tc>
      </w:tr>
      <w:tr>
        <w:trPr>
          <w:cantSplit w:val="0"/>
          <w:trHeight w:val="31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49A">
            <w:pPr>
              <w:spacing w:after="0" w:line="240" w:lineRule="auto"/>
              <w:rPr>
                <w:sz w:val="20"/>
                <w:szCs w:val="20"/>
              </w:rPr>
            </w:pPr>
            <w:r w:rsidDel="00000000" w:rsidR="00000000" w:rsidRPr="00000000">
              <w:rPr>
                <w:sz w:val="20"/>
                <w:szCs w:val="20"/>
                <w:rtl w:val="0"/>
              </w:rPr>
              <w:t xml:space="preserve">Linton</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49B">
            <w:pPr>
              <w:spacing w:after="0" w:line="240" w:lineRule="auto"/>
              <w:jc w:val="right"/>
              <w:rPr>
                <w:sz w:val="20"/>
                <w:szCs w:val="20"/>
              </w:rPr>
            </w:pPr>
            <w:r w:rsidDel="00000000" w:rsidR="00000000" w:rsidRPr="00000000">
              <w:rPr>
                <w:sz w:val="20"/>
                <w:szCs w:val="20"/>
                <w:rtl w:val="0"/>
              </w:rPr>
              <w:t xml:space="preserve">2</w:t>
            </w:r>
          </w:p>
        </w:tc>
        <w:tc>
          <w:tcPr>
            <w:tcBorders>
              <w:top w:color="000000" w:space="0" w:sz="0" w:val="nil"/>
              <w:left w:color="000000" w:space="0" w:sz="0" w:val="nil"/>
              <w:bottom w:color="000000" w:space="0" w:sz="0" w:val="nil"/>
              <w:right w:color="000000" w:space="0" w:sz="0" w:val="nil"/>
            </w:tcBorders>
            <w:shd w:fill="e2efda" w:val="clear"/>
            <w:vAlign w:val="center"/>
          </w:tcPr>
          <w:p w:rsidR="00000000" w:rsidDel="00000000" w:rsidP="00000000" w:rsidRDefault="00000000" w:rsidRPr="00000000" w14:paraId="0000049C">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0" w:val="nil"/>
              <w:right w:color="000000" w:space="0" w:sz="0" w:val="nil"/>
            </w:tcBorders>
            <w:shd w:fill="e2efda" w:val="clear"/>
            <w:vAlign w:val="center"/>
          </w:tcPr>
          <w:p w:rsidR="00000000" w:rsidDel="00000000" w:rsidP="00000000" w:rsidRDefault="00000000" w:rsidRPr="00000000" w14:paraId="0000049D">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0" w:val="nil"/>
              <w:right w:color="000000" w:space="0" w:sz="0" w:val="nil"/>
            </w:tcBorders>
            <w:shd w:fill="ddebf7" w:val="clear"/>
            <w:vAlign w:val="center"/>
          </w:tcPr>
          <w:p w:rsidR="00000000" w:rsidDel="00000000" w:rsidP="00000000" w:rsidRDefault="00000000" w:rsidRPr="00000000" w14:paraId="0000049E">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0" w:val="nil"/>
              <w:right w:color="000000" w:space="0" w:sz="0" w:val="nil"/>
            </w:tcBorders>
            <w:shd w:fill="ddebf7" w:val="clear"/>
            <w:vAlign w:val="center"/>
          </w:tcPr>
          <w:p w:rsidR="00000000" w:rsidDel="00000000" w:rsidP="00000000" w:rsidRDefault="00000000" w:rsidRPr="00000000" w14:paraId="0000049F">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0" w:val="nil"/>
              <w:right w:color="000000" w:space="0" w:sz="0" w:val="nil"/>
            </w:tcBorders>
            <w:shd w:fill="ffe5e5" w:val="clear"/>
            <w:vAlign w:val="center"/>
          </w:tcPr>
          <w:p w:rsidR="00000000" w:rsidDel="00000000" w:rsidP="00000000" w:rsidRDefault="00000000" w:rsidRPr="00000000" w14:paraId="000004A0">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0" w:val="nil"/>
              <w:right w:color="000000" w:space="0" w:sz="0" w:val="nil"/>
            </w:tcBorders>
            <w:shd w:fill="ffe5e5" w:val="clear"/>
            <w:vAlign w:val="center"/>
          </w:tcPr>
          <w:p w:rsidR="00000000" w:rsidDel="00000000" w:rsidP="00000000" w:rsidRDefault="00000000" w:rsidRPr="00000000" w14:paraId="000004A1">
            <w:pPr>
              <w:spacing w:after="0" w:line="240" w:lineRule="auto"/>
              <w:jc w:val="right"/>
              <w:rPr>
                <w:sz w:val="20"/>
                <w:szCs w:val="20"/>
              </w:rPr>
            </w:pPr>
            <w:r w:rsidDel="00000000" w:rsidR="00000000" w:rsidRPr="00000000">
              <w:rPr>
                <w:sz w:val="20"/>
                <w:szCs w:val="20"/>
                <w:rtl w:val="0"/>
              </w:rPr>
              <w:t xml:space="preserve"> </w:t>
            </w:r>
          </w:p>
        </w:tc>
      </w:tr>
      <w:tr>
        <w:trPr>
          <w:cantSplit w:val="0"/>
          <w:trHeight w:val="31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4A2">
            <w:pPr>
              <w:spacing w:after="0" w:line="240" w:lineRule="auto"/>
              <w:rPr>
                <w:sz w:val="20"/>
                <w:szCs w:val="20"/>
              </w:rPr>
            </w:pPr>
            <w:r w:rsidDel="00000000" w:rsidR="00000000" w:rsidRPr="00000000">
              <w:rPr>
                <w:sz w:val="20"/>
                <w:szCs w:val="20"/>
                <w:rtl w:val="0"/>
              </w:rPr>
              <w:t xml:space="preserve">Oakington</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4A3">
            <w:pPr>
              <w:spacing w:after="0" w:line="240" w:lineRule="auto"/>
              <w:jc w:val="right"/>
              <w:rPr>
                <w:sz w:val="20"/>
                <w:szCs w:val="20"/>
              </w:rPr>
            </w:pPr>
            <w:r w:rsidDel="00000000" w:rsidR="00000000" w:rsidRPr="00000000">
              <w:rPr>
                <w:sz w:val="20"/>
                <w:szCs w:val="20"/>
                <w:rtl w:val="0"/>
              </w:rPr>
              <w:t xml:space="preserve">26</w:t>
            </w:r>
          </w:p>
        </w:tc>
        <w:tc>
          <w:tcPr>
            <w:tcBorders>
              <w:top w:color="000000" w:space="0" w:sz="0" w:val="nil"/>
              <w:left w:color="000000" w:space="0" w:sz="0" w:val="nil"/>
              <w:bottom w:color="000000" w:space="0" w:sz="0" w:val="nil"/>
              <w:right w:color="000000" w:space="0" w:sz="0" w:val="nil"/>
            </w:tcBorders>
            <w:shd w:fill="e2efda" w:val="clear"/>
            <w:vAlign w:val="center"/>
          </w:tcPr>
          <w:p w:rsidR="00000000" w:rsidDel="00000000" w:rsidP="00000000" w:rsidRDefault="00000000" w:rsidRPr="00000000" w14:paraId="000004A4">
            <w:pPr>
              <w:spacing w:after="0" w:line="240" w:lineRule="auto"/>
              <w:jc w:val="right"/>
              <w:rPr>
                <w:sz w:val="20"/>
                <w:szCs w:val="20"/>
              </w:rPr>
            </w:pPr>
            <w:r w:rsidDel="00000000" w:rsidR="00000000" w:rsidRPr="00000000">
              <w:rPr>
                <w:sz w:val="20"/>
                <w:szCs w:val="20"/>
                <w:rtl w:val="0"/>
              </w:rPr>
              <w:t xml:space="preserve">4</w:t>
            </w:r>
          </w:p>
        </w:tc>
        <w:tc>
          <w:tcPr>
            <w:tcBorders>
              <w:top w:color="000000" w:space="0" w:sz="0" w:val="nil"/>
              <w:left w:color="000000" w:space="0" w:sz="0" w:val="nil"/>
              <w:bottom w:color="000000" w:space="0" w:sz="0" w:val="nil"/>
              <w:right w:color="000000" w:space="0" w:sz="0" w:val="nil"/>
            </w:tcBorders>
            <w:shd w:fill="e2efda" w:val="clear"/>
            <w:vAlign w:val="center"/>
          </w:tcPr>
          <w:p w:rsidR="00000000" w:rsidDel="00000000" w:rsidP="00000000" w:rsidRDefault="00000000" w:rsidRPr="00000000" w14:paraId="000004A5">
            <w:pPr>
              <w:spacing w:after="0" w:line="240" w:lineRule="auto"/>
              <w:jc w:val="right"/>
              <w:rPr>
                <w:sz w:val="20"/>
                <w:szCs w:val="20"/>
              </w:rPr>
            </w:pPr>
            <w:r w:rsidDel="00000000" w:rsidR="00000000" w:rsidRPr="00000000">
              <w:rPr>
                <w:sz w:val="20"/>
                <w:szCs w:val="20"/>
                <w:rtl w:val="0"/>
              </w:rPr>
              <w:t xml:space="preserve">15</w:t>
            </w:r>
          </w:p>
        </w:tc>
        <w:tc>
          <w:tcPr>
            <w:tcBorders>
              <w:top w:color="000000" w:space="0" w:sz="0" w:val="nil"/>
              <w:left w:color="000000" w:space="0" w:sz="0" w:val="nil"/>
              <w:bottom w:color="000000" w:space="0" w:sz="0" w:val="nil"/>
              <w:right w:color="000000" w:space="0" w:sz="0" w:val="nil"/>
            </w:tcBorders>
            <w:shd w:fill="ddebf7" w:val="clear"/>
            <w:vAlign w:val="center"/>
          </w:tcPr>
          <w:p w:rsidR="00000000" w:rsidDel="00000000" w:rsidP="00000000" w:rsidRDefault="00000000" w:rsidRPr="00000000" w14:paraId="000004A6">
            <w:pPr>
              <w:spacing w:after="0" w:line="240" w:lineRule="auto"/>
              <w:jc w:val="right"/>
              <w:rPr>
                <w:sz w:val="20"/>
                <w:szCs w:val="20"/>
              </w:rPr>
            </w:pPr>
            <w:r w:rsidDel="00000000" w:rsidR="00000000" w:rsidRPr="00000000">
              <w:rPr>
                <w:sz w:val="20"/>
                <w:szCs w:val="20"/>
                <w:rtl w:val="0"/>
              </w:rPr>
              <w:t xml:space="preserve">4</w:t>
            </w:r>
          </w:p>
        </w:tc>
        <w:tc>
          <w:tcPr>
            <w:tcBorders>
              <w:top w:color="000000" w:space="0" w:sz="0" w:val="nil"/>
              <w:left w:color="000000" w:space="0" w:sz="0" w:val="nil"/>
              <w:bottom w:color="000000" w:space="0" w:sz="0" w:val="nil"/>
              <w:right w:color="000000" w:space="0" w:sz="0" w:val="nil"/>
            </w:tcBorders>
            <w:shd w:fill="ddebf7" w:val="clear"/>
            <w:vAlign w:val="center"/>
          </w:tcPr>
          <w:p w:rsidR="00000000" w:rsidDel="00000000" w:rsidP="00000000" w:rsidRDefault="00000000" w:rsidRPr="00000000" w14:paraId="000004A7">
            <w:pPr>
              <w:spacing w:after="0" w:line="240" w:lineRule="auto"/>
              <w:jc w:val="right"/>
              <w:rPr>
                <w:sz w:val="20"/>
                <w:szCs w:val="20"/>
              </w:rPr>
            </w:pPr>
            <w:r w:rsidDel="00000000" w:rsidR="00000000" w:rsidRPr="00000000">
              <w:rPr>
                <w:sz w:val="20"/>
                <w:szCs w:val="20"/>
                <w:rtl w:val="0"/>
              </w:rPr>
              <w:t xml:space="preserve">15</w:t>
            </w:r>
          </w:p>
        </w:tc>
        <w:tc>
          <w:tcPr>
            <w:tcBorders>
              <w:top w:color="000000" w:space="0" w:sz="0" w:val="nil"/>
              <w:left w:color="000000" w:space="0" w:sz="0" w:val="nil"/>
              <w:bottom w:color="000000" w:space="0" w:sz="0" w:val="nil"/>
              <w:right w:color="000000" w:space="0" w:sz="0" w:val="nil"/>
            </w:tcBorders>
            <w:shd w:fill="ffe5e5" w:val="clear"/>
            <w:vAlign w:val="center"/>
          </w:tcPr>
          <w:p w:rsidR="00000000" w:rsidDel="00000000" w:rsidP="00000000" w:rsidRDefault="00000000" w:rsidRPr="00000000" w14:paraId="000004A8">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0" w:val="nil"/>
              <w:right w:color="000000" w:space="0" w:sz="0" w:val="nil"/>
            </w:tcBorders>
            <w:shd w:fill="ffe5e5" w:val="clear"/>
            <w:vAlign w:val="center"/>
          </w:tcPr>
          <w:p w:rsidR="00000000" w:rsidDel="00000000" w:rsidP="00000000" w:rsidRDefault="00000000" w:rsidRPr="00000000" w14:paraId="000004A9">
            <w:pPr>
              <w:spacing w:after="0" w:line="240" w:lineRule="auto"/>
              <w:jc w:val="right"/>
              <w:rPr>
                <w:sz w:val="20"/>
                <w:szCs w:val="20"/>
              </w:rPr>
            </w:pPr>
            <w:r w:rsidDel="00000000" w:rsidR="00000000" w:rsidRPr="00000000">
              <w:rPr>
                <w:sz w:val="20"/>
                <w:szCs w:val="20"/>
                <w:rtl w:val="0"/>
              </w:rPr>
              <w:t xml:space="preserve"> </w:t>
            </w:r>
          </w:p>
        </w:tc>
      </w:tr>
      <w:tr>
        <w:trPr>
          <w:cantSplit w:val="0"/>
          <w:trHeight w:val="31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4AA">
            <w:pPr>
              <w:spacing w:after="0" w:line="240" w:lineRule="auto"/>
              <w:rPr>
                <w:sz w:val="20"/>
                <w:szCs w:val="20"/>
              </w:rPr>
            </w:pPr>
            <w:r w:rsidDel="00000000" w:rsidR="00000000" w:rsidRPr="00000000">
              <w:rPr>
                <w:sz w:val="20"/>
                <w:szCs w:val="20"/>
                <w:rtl w:val="0"/>
              </w:rPr>
              <w:t xml:space="preserve">RAF Lakenheath</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4AB">
            <w:pPr>
              <w:spacing w:after="0" w:line="240" w:lineRule="auto"/>
              <w:jc w:val="right"/>
              <w:rPr>
                <w:sz w:val="20"/>
                <w:szCs w:val="20"/>
              </w:rPr>
            </w:pPr>
            <w:r w:rsidDel="00000000" w:rsidR="00000000" w:rsidRPr="00000000">
              <w:rPr>
                <w:sz w:val="20"/>
                <w:szCs w:val="20"/>
                <w:rtl w:val="0"/>
              </w:rPr>
              <w:t xml:space="preserve">16</w:t>
            </w:r>
          </w:p>
        </w:tc>
        <w:tc>
          <w:tcPr>
            <w:tcBorders>
              <w:top w:color="000000" w:space="0" w:sz="0" w:val="nil"/>
              <w:left w:color="000000" w:space="0" w:sz="0" w:val="nil"/>
              <w:bottom w:color="000000" w:space="0" w:sz="0" w:val="nil"/>
              <w:right w:color="000000" w:space="0" w:sz="0" w:val="nil"/>
            </w:tcBorders>
            <w:shd w:fill="e2efda" w:val="clear"/>
            <w:vAlign w:val="center"/>
          </w:tcPr>
          <w:p w:rsidR="00000000" w:rsidDel="00000000" w:rsidP="00000000" w:rsidRDefault="00000000" w:rsidRPr="00000000" w14:paraId="000004AC">
            <w:pPr>
              <w:spacing w:after="0" w:line="240" w:lineRule="auto"/>
              <w:jc w:val="right"/>
              <w:rPr>
                <w:sz w:val="20"/>
                <w:szCs w:val="20"/>
              </w:rPr>
            </w:pPr>
            <w:r w:rsidDel="00000000" w:rsidR="00000000" w:rsidRPr="00000000">
              <w:rPr>
                <w:sz w:val="20"/>
                <w:szCs w:val="20"/>
                <w:rtl w:val="0"/>
              </w:rPr>
              <w:t xml:space="preserve">2</w:t>
            </w:r>
          </w:p>
        </w:tc>
        <w:tc>
          <w:tcPr>
            <w:tcBorders>
              <w:top w:color="000000" w:space="0" w:sz="0" w:val="nil"/>
              <w:left w:color="000000" w:space="0" w:sz="0" w:val="nil"/>
              <w:bottom w:color="000000" w:space="0" w:sz="0" w:val="nil"/>
              <w:right w:color="000000" w:space="0" w:sz="0" w:val="nil"/>
            </w:tcBorders>
            <w:shd w:fill="e2efda" w:val="clear"/>
            <w:vAlign w:val="center"/>
          </w:tcPr>
          <w:p w:rsidR="00000000" w:rsidDel="00000000" w:rsidP="00000000" w:rsidRDefault="00000000" w:rsidRPr="00000000" w14:paraId="000004AD">
            <w:pPr>
              <w:spacing w:after="0" w:line="240" w:lineRule="auto"/>
              <w:jc w:val="right"/>
              <w:rPr>
                <w:sz w:val="20"/>
                <w:szCs w:val="20"/>
              </w:rPr>
            </w:pPr>
            <w:r w:rsidDel="00000000" w:rsidR="00000000" w:rsidRPr="00000000">
              <w:rPr>
                <w:sz w:val="20"/>
                <w:szCs w:val="20"/>
                <w:rtl w:val="0"/>
              </w:rPr>
              <w:t xml:space="preserve">13</w:t>
            </w:r>
          </w:p>
        </w:tc>
        <w:tc>
          <w:tcPr>
            <w:tcBorders>
              <w:top w:color="000000" w:space="0" w:sz="0" w:val="nil"/>
              <w:left w:color="000000" w:space="0" w:sz="0" w:val="nil"/>
              <w:bottom w:color="000000" w:space="0" w:sz="0" w:val="nil"/>
              <w:right w:color="000000" w:space="0" w:sz="0" w:val="nil"/>
            </w:tcBorders>
            <w:shd w:fill="ddebf7" w:val="clear"/>
            <w:vAlign w:val="center"/>
          </w:tcPr>
          <w:p w:rsidR="00000000" w:rsidDel="00000000" w:rsidP="00000000" w:rsidRDefault="00000000" w:rsidRPr="00000000" w14:paraId="000004AE">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0" w:val="nil"/>
              <w:right w:color="000000" w:space="0" w:sz="0" w:val="nil"/>
            </w:tcBorders>
            <w:shd w:fill="ddebf7" w:val="clear"/>
            <w:vAlign w:val="center"/>
          </w:tcPr>
          <w:p w:rsidR="00000000" w:rsidDel="00000000" w:rsidP="00000000" w:rsidRDefault="00000000" w:rsidRPr="00000000" w14:paraId="000004AF">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0" w:val="nil"/>
              <w:right w:color="000000" w:space="0" w:sz="0" w:val="nil"/>
            </w:tcBorders>
            <w:shd w:fill="ffe5e5" w:val="clear"/>
            <w:vAlign w:val="center"/>
          </w:tcPr>
          <w:p w:rsidR="00000000" w:rsidDel="00000000" w:rsidP="00000000" w:rsidRDefault="00000000" w:rsidRPr="00000000" w14:paraId="000004B0">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0" w:val="nil"/>
              <w:right w:color="000000" w:space="0" w:sz="0" w:val="nil"/>
            </w:tcBorders>
            <w:shd w:fill="ffe5e5" w:val="clear"/>
            <w:vAlign w:val="center"/>
          </w:tcPr>
          <w:p w:rsidR="00000000" w:rsidDel="00000000" w:rsidP="00000000" w:rsidRDefault="00000000" w:rsidRPr="00000000" w14:paraId="000004B1">
            <w:pPr>
              <w:spacing w:after="0" w:line="240" w:lineRule="auto"/>
              <w:jc w:val="right"/>
              <w:rPr>
                <w:sz w:val="20"/>
                <w:szCs w:val="20"/>
              </w:rPr>
            </w:pPr>
            <w:r w:rsidDel="00000000" w:rsidR="00000000" w:rsidRPr="00000000">
              <w:rPr>
                <w:sz w:val="20"/>
                <w:szCs w:val="20"/>
                <w:rtl w:val="0"/>
              </w:rPr>
              <w:t xml:space="preserve"> </w:t>
            </w:r>
          </w:p>
        </w:tc>
      </w:tr>
      <w:tr>
        <w:trPr>
          <w:cantSplit w:val="0"/>
          <w:trHeight w:val="31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4B2">
            <w:pPr>
              <w:spacing w:after="0" w:line="240" w:lineRule="auto"/>
              <w:rPr>
                <w:sz w:val="20"/>
                <w:szCs w:val="20"/>
              </w:rPr>
            </w:pPr>
            <w:r w:rsidDel="00000000" w:rsidR="00000000" w:rsidRPr="00000000">
              <w:rPr>
                <w:sz w:val="20"/>
                <w:szCs w:val="20"/>
                <w:rtl w:val="0"/>
              </w:rPr>
              <w:t xml:space="preserve">Sedgeford</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4B3">
            <w:pPr>
              <w:spacing w:after="0" w:line="240" w:lineRule="auto"/>
              <w:jc w:val="right"/>
              <w:rPr>
                <w:sz w:val="20"/>
                <w:szCs w:val="20"/>
              </w:rPr>
            </w:pPr>
            <w:r w:rsidDel="00000000" w:rsidR="00000000" w:rsidRPr="00000000">
              <w:rPr>
                <w:sz w:val="20"/>
                <w:szCs w:val="20"/>
                <w:rtl w:val="0"/>
              </w:rPr>
              <w:t xml:space="preserve">18</w:t>
            </w:r>
          </w:p>
        </w:tc>
        <w:tc>
          <w:tcPr>
            <w:tcBorders>
              <w:top w:color="000000" w:space="0" w:sz="0" w:val="nil"/>
              <w:left w:color="000000" w:space="0" w:sz="0" w:val="nil"/>
              <w:bottom w:color="000000" w:space="0" w:sz="0" w:val="nil"/>
              <w:right w:color="000000" w:space="0" w:sz="0" w:val="nil"/>
            </w:tcBorders>
            <w:shd w:fill="e2efda" w:val="clear"/>
            <w:vAlign w:val="center"/>
          </w:tcPr>
          <w:p w:rsidR="00000000" w:rsidDel="00000000" w:rsidP="00000000" w:rsidRDefault="00000000" w:rsidRPr="00000000" w14:paraId="000004B4">
            <w:pPr>
              <w:spacing w:after="0" w:line="240" w:lineRule="auto"/>
              <w:jc w:val="right"/>
              <w:rPr>
                <w:sz w:val="20"/>
                <w:szCs w:val="20"/>
              </w:rPr>
            </w:pPr>
            <w:r w:rsidDel="00000000" w:rsidR="00000000" w:rsidRPr="00000000">
              <w:rPr>
                <w:sz w:val="20"/>
                <w:szCs w:val="20"/>
                <w:rtl w:val="0"/>
              </w:rPr>
              <w:t xml:space="preserve">1</w:t>
            </w:r>
          </w:p>
        </w:tc>
        <w:tc>
          <w:tcPr>
            <w:tcBorders>
              <w:top w:color="000000" w:space="0" w:sz="0" w:val="nil"/>
              <w:left w:color="000000" w:space="0" w:sz="0" w:val="nil"/>
              <w:bottom w:color="000000" w:space="0" w:sz="0" w:val="nil"/>
              <w:right w:color="000000" w:space="0" w:sz="0" w:val="nil"/>
            </w:tcBorders>
            <w:shd w:fill="e2efda" w:val="clear"/>
            <w:vAlign w:val="center"/>
          </w:tcPr>
          <w:p w:rsidR="00000000" w:rsidDel="00000000" w:rsidP="00000000" w:rsidRDefault="00000000" w:rsidRPr="00000000" w14:paraId="000004B5">
            <w:pPr>
              <w:spacing w:after="0" w:line="240" w:lineRule="auto"/>
              <w:jc w:val="right"/>
              <w:rPr>
                <w:sz w:val="20"/>
                <w:szCs w:val="20"/>
              </w:rPr>
            </w:pPr>
            <w:r w:rsidDel="00000000" w:rsidR="00000000" w:rsidRPr="00000000">
              <w:rPr>
                <w:sz w:val="20"/>
                <w:szCs w:val="20"/>
                <w:rtl w:val="0"/>
              </w:rPr>
              <w:t xml:space="preserve">6</w:t>
            </w:r>
          </w:p>
        </w:tc>
        <w:tc>
          <w:tcPr>
            <w:tcBorders>
              <w:top w:color="000000" w:space="0" w:sz="0" w:val="nil"/>
              <w:left w:color="000000" w:space="0" w:sz="0" w:val="nil"/>
              <w:bottom w:color="000000" w:space="0" w:sz="0" w:val="nil"/>
              <w:right w:color="000000" w:space="0" w:sz="0" w:val="nil"/>
            </w:tcBorders>
            <w:shd w:fill="ddebf7" w:val="clear"/>
            <w:vAlign w:val="center"/>
          </w:tcPr>
          <w:p w:rsidR="00000000" w:rsidDel="00000000" w:rsidP="00000000" w:rsidRDefault="00000000" w:rsidRPr="00000000" w14:paraId="000004B6">
            <w:pPr>
              <w:spacing w:after="0" w:line="240" w:lineRule="auto"/>
              <w:jc w:val="right"/>
              <w:rPr>
                <w:sz w:val="20"/>
                <w:szCs w:val="20"/>
              </w:rPr>
            </w:pPr>
            <w:r w:rsidDel="00000000" w:rsidR="00000000" w:rsidRPr="00000000">
              <w:rPr>
                <w:sz w:val="20"/>
                <w:szCs w:val="20"/>
                <w:rtl w:val="0"/>
              </w:rPr>
              <w:t xml:space="preserve">3</w:t>
            </w:r>
          </w:p>
        </w:tc>
        <w:tc>
          <w:tcPr>
            <w:tcBorders>
              <w:top w:color="000000" w:space="0" w:sz="0" w:val="nil"/>
              <w:left w:color="000000" w:space="0" w:sz="0" w:val="nil"/>
              <w:bottom w:color="000000" w:space="0" w:sz="0" w:val="nil"/>
              <w:right w:color="000000" w:space="0" w:sz="0" w:val="nil"/>
            </w:tcBorders>
            <w:shd w:fill="ddebf7" w:val="clear"/>
            <w:vAlign w:val="center"/>
          </w:tcPr>
          <w:p w:rsidR="00000000" w:rsidDel="00000000" w:rsidP="00000000" w:rsidRDefault="00000000" w:rsidRPr="00000000" w14:paraId="000004B7">
            <w:pPr>
              <w:spacing w:after="0" w:line="240" w:lineRule="auto"/>
              <w:jc w:val="right"/>
              <w:rPr>
                <w:sz w:val="20"/>
                <w:szCs w:val="20"/>
              </w:rPr>
            </w:pPr>
            <w:r w:rsidDel="00000000" w:rsidR="00000000" w:rsidRPr="00000000">
              <w:rPr>
                <w:sz w:val="20"/>
                <w:szCs w:val="20"/>
                <w:rtl w:val="0"/>
              </w:rPr>
              <w:t xml:space="preserve">17</w:t>
            </w:r>
          </w:p>
        </w:tc>
        <w:tc>
          <w:tcPr>
            <w:tcBorders>
              <w:top w:color="000000" w:space="0" w:sz="0" w:val="nil"/>
              <w:left w:color="000000" w:space="0" w:sz="0" w:val="nil"/>
              <w:bottom w:color="000000" w:space="0" w:sz="0" w:val="nil"/>
              <w:right w:color="000000" w:space="0" w:sz="0" w:val="nil"/>
            </w:tcBorders>
            <w:shd w:fill="ffe5e5" w:val="clear"/>
            <w:vAlign w:val="center"/>
          </w:tcPr>
          <w:p w:rsidR="00000000" w:rsidDel="00000000" w:rsidP="00000000" w:rsidRDefault="00000000" w:rsidRPr="00000000" w14:paraId="000004B8">
            <w:pPr>
              <w:spacing w:after="0" w:line="240" w:lineRule="auto"/>
              <w:jc w:val="right"/>
              <w:rPr>
                <w:sz w:val="20"/>
                <w:szCs w:val="20"/>
              </w:rPr>
            </w:pPr>
            <w:r w:rsidDel="00000000" w:rsidR="00000000" w:rsidRPr="00000000">
              <w:rPr>
                <w:sz w:val="20"/>
                <w:szCs w:val="20"/>
                <w:rtl w:val="0"/>
              </w:rPr>
              <w:t xml:space="preserve">1</w:t>
            </w:r>
          </w:p>
        </w:tc>
        <w:tc>
          <w:tcPr>
            <w:tcBorders>
              <w:top w:color="000000" w:space="0" w:sz="0" w:val="nil"/>
              <w:left w:color="000000" w:space="0" w:sz="0" w:val="nil"/>
              <w:bottom w:color="000000" w:space="0" w:sz="0" w:val="nil"/>
              <w:right w:color="000000" w:space="0" w:sz="0" w:val="nil"/>
            </w:tcBorders>
            <w:shd w:fill="ffe5e5" w:val="clear"/>
            <w:vAlign w:val="center"/>
          </w:tcPr>
          <w:p w:rsidR="00000000" w:rsidDel="00000000" w:rsidP="00000000" w:rsidRDefault="00000000" w:rsidRPr="00000000" w14:paraId="000004B9">
            <w:pPr>
              <w:spacing w:after="0" w:line="240" w:lineRule="auto"/>
              <w:jc w:val="right"/>
              <w:rPr>
                <w:sz w:val="20"/>
                <w:szCs w:val="20"/>
              </w:rPr>
            </w:pPr>
            <w:r w:rsidDel="00000000" w:rsidR="00000000" w:rsidRPr="00000000">
              <w:rPr>
                <w:sz w:val="20"/>
                <w:szCs w:val="20"/>
                <w:rtl w:val="0"/>
              </w:rPr>
              <w:t xml:space="preserve">6</w:t>
            </w:r>
          </w:p>
        </w:tc>
      </w:tr>
      <w:tr>
        <w:trPr>
          <w:cantSplit w:val="0"/>
          <w:trHeight w:val="315" w:hRule="atLeast"/>
          <w:tblHeader w:val="0"/>
        </w:trPr>
        <w:tc>
          <w:tcPr>
            <w:tcBorders>
              <w:top w:color="000000" w:space="0" w:sz="4" w:val="single"/>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4BA">
            <w:pPr>
              <w:spacing w:after="0" w:line="240" w:lineRule="auto"/>
              <w:rPr>
                <w:b w:val="1"/>
                <w:sz w:val="20"/>
                <w:szCs w:val="20"/>
              </w:rPr>
            </w:pPr>
            <w:r w:rsidDel="00000000" w:rsidR="00000000" w:rsidRPr="00000000">
              <w:rPr>
                <w:b w:val="1"/>
                <w:sz w:val="20"/>
                <w:szCs w:val="20"/>
                <w:rtl w:val="0"/>
              </w:rPr>
              <w:t xml:space="preserve">England Southeast</w:t>
            </w:r>
          </w:p>
        </w:tc>
        <w:tc>
          <w:tcPr>
            <w:tcBorders>
              <w:top w:color="000000" w:space="0" w:sz="4" w:val="single"/>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4BB">
            <w:pPr>
              <w:spacing w:after="0" w:line="240" w:lineRule="auto"/>
              <w:jc w:val="right"/>
              <w:rPr>
                <w:b w:val="1"/>
                <w:sz w:val="20"/>
                <w:szCs w:val="20"/>
              </w:rPr>
            </w:pPr>
            <w:r w:rsidDel="00000000" w:rsidR="00000000" w:rsidRPr="00000000">
              <w:rPr>
                <w:b w:val="1"/>
                <w:sz w:val="20"/>
                <w:szCs w:val="20"/>
                <w:rtl w:val="0"/>
              </w:rPr>
              <w:t xml:space="preserve">93</w:t>
            </w:r>
          </w:p>
        </w:tc>
        <w:tc>
          <w:tcPr>
            <w:tcBorders>
              <w:top w:color="000000" w:space="0" w:sz="4" w:val="single"/>
              <w:left w:color="000000" w:space="0" w:sz="0" w:val="nil"/>
              <w:bottom w:color="000000" w:space="0" w:sz="4" w:val="single"/>
              <w:right w:color="000000" w:space="0" w:sz="0" w:val="nil"/>
            </w:tcBorders>
            <w:shd w:fill="e2efda" w:val="clear"/>
            <w:vAlign w:val="center"/>
          </w:tcPr>
          <w:p w:rsidR="00000000" w:rsidDel="00000000" w:rsidP="00000000" w:rsidRDefault="00000000" w:rsidRPr="00000000" w14:paraId="000004BC">
            <w:pPr>
              <w:spacing w:after="0" w:line="240" w:lineRule="auto"/>
              <w:jc w:val="right"/>
              <w:rPr>
                <w:b w:val="1"/>
                <w:sz w:val="20"/>
                <w:szCs w:val="20"/>
              </w:rPr>
            </w:pPr>
            <w:r w:rsidDel="00000000" w:rsidR="00000000" w:rsidRPr="00000000">
              <w:rPr>
                <w:b w:val="1"/>
                <w:sz w:val="20"/>
                <w:szCs w:val="20"/>
                <w:rtl w:val="0"/>
              </w:rPr>
              <w:t xml:space="preserve">18</w:t>
            </w:r>
          </w:p>
        </w:tc>
        <w:tc>
          <w:tcPr>
            <w:tcBorders>
              <w:top w:color="000000" w:space="0" w:sz="4" w:val="single"/>
              <w:left w:color="000000" w:space="0" w:sz="0" w:val="nil"/>
              <w:bottom w:color="000000" w:space="0" w:sz="4" w:val="single"/>
              <w:right w:color="000000" w:space="0" w:sz="0" w:val="nil"/>
            </w:tcBorders>
            <w:shd w:fill="e2efda" w:val="clear"/>
            <w:vAlign w:val="center"/>
          </w:tcPr>
          <w:p w:rsidR="00000000" w:rsidDel="00000000" w:rsidP="00000000" w:rsidRDefault="00000000" w:rsidRPr="00000000" w14:paraId="000004BD">
            <w:pPr>
              <w:spacing w:after="0" w:line="240" w:lineRule="auto"/>
              <w:jc w:val="right"/>
              <w:rPr>
                <w:b w:val="1"/>
                <w:sz w:val="20"/>
                <w:szCs w:val="20"/>
              </w:rPr>
            </w:pPr>
            <w:r w:rsidDel="00000000" w:rsidR="00000000" w:rsidRPr="00000000">
              <w:rPr>
                <w:b w:val="1"/>
                <w:sz w:val="20"/>
                <w:szCs w:val="20"/>
                <w:rtl w:val="0"/>
              </w:rPr>
              <w:t xml:space="preserve">19</w:t>
            </w:r>
          </w:p>
        </w:tc>
        <w:tc>
          <w:tcPr>
            <w:tcBorders>
              <w:top w:color="000000" w:space="0" w:sz="4" w:val="single"/>
              <w:left w:color="000000" w:space="0" w:sz="0" w:val="nil"/>
              <w:bottom w:color="000000" w:space="0" w:sz="4" w:val="single"/>
              <w:right w:color="000000" w:space="0" w:sz="0" w:val="nil"/>
            </w:tcBorders>
            <w:shd w:fill="ddebf7" w:val="clear"/>
            <w:vAlign w:val="center"/>
          </w:tcPr>
          <w:p w:rsidR="00000000" w:rsidDel="00000000" w:rsidP="00000000" w:rsidRDefault="00000000" w:rsidRPr="00000000" w14:paraId="000004BE">
            <w:pPr>
              <w:spacing w:after="0" w:line="240" w:lineRule="auto"/>
              <w:jc w:val="right"/>
              <w:rPr>
                <w:b w:val="1"/>
                <w:sz w:val="20"/>
                <w:szCs w:val="20"/>
              </w:rPr>
            </w:pPr>
            <w:r w:rsidDel="00000000" w:rsidR="00000000" w:rsidRPr="00000000">
              <w:rPr>
                <w:b w:val="1"/>
                <w:sz w:val="20"/>
                <w:szCs w:val="20"/>
                <w:rtl w:val="0"/>
              </w:rPr>
              <w:t xml:space="preserve">8</w:t>
            </w:r>
          </w:p>
        </w:tc>
        <w:tc>
          <w:tcPr>
            <w:tcBorders>
              <w:top w:color="000000" w:space="0" w:sz="4" w:val="single"/>
              <w:left w:color="000000" w:space="0" w:sz="0" w:val="nil"/>
              <w:bottom w:color="000000" w:space="0" w:sz="4" w:val="single"/>
              <w:right w:color="000000" w:space="0" w:sz="0" w:val="nil"/>
            </w:tcBorders>
            <w:shd w:fill="ddebf7" w:val="clear"/>
            <w:vAlign w:val="center"/>
          </w:tcPr>
          <w:p w:rsidR="00000000" w:rsidDel="00000000" w:rsidP="00000000" w:rsidRDefault="00000000" w:rsidRPr="00000000" w14:paraId="000004BF">
            <w:pPr>
              <w:spacing w:after="0" w:line="240" w:lineRule="auto"/>
              <w:jc w:val="right"/>
              <w:rPr>
                <w:b w:val="1"/>
                <w:sz w:val="20"/>
                <w:szCs w:val="20"/>
              </w:rPr>
            </w:pPr>
            <w:r w:rsidDel="00000000" w:rsidR="00000000" w:rsidRPr="00000000">
              <w:rPr>
                <w:b w:val="1"/>
                <w:sz w:val="20"/>
                <w:szCs w:val="20"/>
                <w:rtl w:val="0"/>
              </w:rPr>
              <w:t xml:space="preserve">9</w:t>
            </w:r>
          </w:p>
        </w:tc>
        <w:tc>
          <w:tcPr>
            <w:tcBorders>
              <w:top w:color="000000" w:space="0" w:sz="4" w:val="single"/>
              <w:left w:color="000000" w:space="0" w:sz="0" w:val="nil"/>
              <w:bottom w:color="000000" w:space="0" w:sz="4" w:val="single"/>
              <w:right w:color="000000" w:space="0" w:sz="0" w:val="nil"/>
            </w:tcBorders>
            <w:shd w:fill="ffe5e5" w:val="clear"/>
            <w:vAlign w:val="center"/>
          </w:tcPr>
          <w:p w:rsidR="00000000" w:rsidDel="00000000" w:rsidP="00000000" w:rsidRDefault="00000000" w:rsidRPr="00000000" w14:paraId="000004C0">
            <w:pPr>
              <w:spacing w:after="0" w:line="240" w:lineRule="auto"/>
              <w:jc w:val="right"/>
              <w:rPr>
                <w:b w:val="1"/>
                <w:sz w:val="20"/>
                <w:szCs w:val="20"/>
              </w:rPr>
            </w:pPr>
            <w:r w:rsidDel="00000000" w:rsidR="00000000" w:rsidRPr="00000000">
              <w:rPr>
                <w:b w:val="1"/>
                <w:sz w:val="20"/>
                <w:szCs w:val="20"/>
                <w:rtl w:val="0"/>
              </w:rPr>
              <w:t xml:space="preserve">4</w:t>
            </w:r>
          </w:p>
        </w:tc>
        <w:tc>
          <w:tcPr>
            <w:tcBorders>
              <w:top w:color="000000" w:space="0" w:sz="4" w:val="single"/>
              <w:left w:color="000000" w:space="0" w:sz="0" w:val="nil"/>
              <w:bottom w:color="000000" w:space="0" w:sz="4" w:val="single"/>
              <w:right w:color="000000" w:space="0" w:sz="0" w:val="nil"/>
            </w:tcBorders>
            <w:shd w:fill="ffe5e5" w:val="clear"/>
            <w:vAlign w:val="center"/>
          </w:tcPr>
          <w:p w:rsidR="00000000" w:rsidDel="00000000" w:rsidP="00000000" w:rsidRDefault="00000000" w:rsidRPr="00000000" w14:paraId="000004C1">
            <w:pPr>
              <w:spacing w:after="0" w:line="240" w:lineRule="auto"/>
              <w:jc w:val="right"/>
              <w:rPr>
                <w:b w:val="1"/>
                <w:sz w:val="20"/>
                <w:szCs w:val="20"/>
              </w:rPr>
            </w:pPr>
            <w:r w:rsidDel="00000000" w:rsidR="00000000" w:rsidRPr="00000000">
              <w:rPr>
                <w:b w:val="1"/>
                <w:sz w:val="20"/>
                <w:szCs w:val="20"/>
                <w:rtl w:val="0"/>
              </w:rPr>
              <w:t xml:space="preserve">4</w:t>
            </w:r>
          </w:p>
        </w:tc>
      </w:tr>
      <w:tr>
        <w:trPr>
          <w:cantSplit w:val="0"/>
          <w:trHeight w:val="31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4C2">
            <w:pPr>
              <w:spacing w:after="0" w:line="240" w:lineRule="auto"/>
              <w:rPr>
                <w:sz w:val="20"/>
                <w:szCs w:val="20"/>
              </w:rPr>
            </w:pPr>
            <w:r w:rsidDel="00000000" w:rsidR="00000000" w:rsidRPr="00000000">
              <w:rPr>
                <w:sz w:val="20"/>
                <w:szCs w:val="20"/>
                <w:rtl w:val="0"/>
              </w:rPr>
              <w:t xml:space="preserve">Apple Down, West Chichester</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4C3">
            <w:pPr>
              <w:spacing w:after="0" w:line="240" w:lineRule="auto"/>
              <w:jc w:val="right"/>
              <w:rPr>
                <w:sz w:val="20"/>
                <w:szCs w:val="20"/>
              </w:rPr>
            </w:pPr>
            <w:r w:rsidDel="00000000" w:rsidR="00000000" w:rsidRPr="00000000">
              <w:rPr>
                <w:sz w:val="20"/>
                <w:szCs w:val="20"/>
                <w:rtl w:val="0"/>
              </w:rPr>
              <w:t xml:space="preserve">9</w:t>
            </w:r>
          </w:p>
        </w:tc>
        <w:tc>
          <w:tcPr>
            <w:tcBorders>
              <w:top w:color="000000" w:space="0" w:sz="0" w:val="nil"/>
              <w:left w:color="000000" w:space="0" w:sz="0" w:val="nil"/>
              <w:bottom w:color="000000" w:space="0" w:sz="0" w:val="nil"/>
              <w:right w:color="000000" w:space="0" w:sz="0" w:val="nil"/>
            </w:tcBorders>
            <w:shd w:fill="e2efda" w:val="clear"/>
            <w:vAlign w:val="center"/>
          </w:tcPr>
          <w:p w:rsidR="00000000" w:rsidDel="00000000" w:rsidP="00000000" w:rsidRDefault="00000000" w:rsidRPr="00000000" w14:paraId="000004C4">
            <w:pPr>
              <w:spacing w:after="0" w:line="240" w:lineRule="auto"/>
              <w:jc w:val="right"/>
              <w:rPr>
                <w:sz w:val="20"/>
                <w:szCs w:val="20"/>
              </w:rPr>
            </w:pPr>
            <w:r w:rsidDel="00000000" w:rsidR="00000000" w:rsidRPr="00000000">
              <w:rPr>
                <w:sz w:val="20"/>
                <w:szCs w:val="20"/>
                <w:rtl w:val="0"/>
              </w:rPr>
              <w:t xml:space="preserve">3</w:t>
            </w:r>
          </w:p>
        </w:tc>
        <w:tc>
          <w:tcPr>
            <w:tcBorders>
              <w:top w:color="000000" w:space="0" w:sz="0" w:val="nil"/>
              <w:left w:color="000000" w:space="0" w:sz="0" w:val="nil"/>
              <w:bottom w:color="000000" w:space="0" w:sz="0" w:val="nil"/>
              <w:right w:color="000000" w:space="0" w:sz="0" w:val="nil"/>
            </w:tcBorders>
            <w:shd w:fill="e2efda" w:val="clear"/>
            <w:vAlign w:val="center"/>
          </w:tcPr>
          <w:p w:rsidR="00000000" w:rsidDel="00000000" w:rsidP="00000000" w:rsidRDefault="00000000" w:rsidRPr="00000000" w14:paraId="000004C5">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0" w:val="nil"/>
              <w:right w:color="000000" w:space="0" w:sz="0" w:val="nil"/>
            </w:tcBorders>
            <w:shd w:fill="ddebf7" w:val="clear"/>
            <w:vAlign w:val="center"/>
          </w:tcPr>
          <w:p w:rsidR="00000000" w:rsidDel="00000000" w:rsidP="00000000" w:rsidRDefault="00000000" w:rsidRPr="00000000" w14:paraId="000004C6">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0" w:val="nil"/>
              <w:right w:color="000000" w:space="0" w:sz="0" w:val="nil"/>
            </w:tcBorders>
            <w:shd w:fill="ddebf7" w:val="clear"/>
            <w:vAlign w:val="center"/>
          </w:tcPr>
          <w:p w:rsidR="00000000" w:rsidDel="00000000" w:rsidP="00000000" w:rsidRDefault="00000000" w:rsidRPr="00000000" w14:paraId="000004C7">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0" w:val="nil"/>
              <w:right w:color="000000" w:space="0" w:sz="0" w:val="nil"/>
            </w:tcBorders>
            <w:shd w:fill="ffe5e5" w:val="clear"/>
            <w:vAlign w:val="center"/>
          </w:tcPr>
          <w:p w:rsidR="00000000" w:rsidDel="00000000" w:rsidP="00000000" w:rsidRDefault="00000000" w:rsidRPr="00000000" w14:paraId="000004C8">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0" w:val="nil"/>
              <w:right w:color="000000" w:space="0" w:sz="0" w:val="nil"/>
            </w:tcBorders>
            <w:shd w:fill="ffe5e5" w:val="clear"/>
            <w:vAlign w:val="center"/>
          </w:tcPr>
          <w:p w:rsidR="00000000" w:rsidDel="00000000" w:rsidP="00000000" w:rsidRDefault="00000000" w:rsidRPr="00000000" w14:paraId="000004C9">
            <w:pPr>
              <w:spacing w:after="0" w:line="240" w:lineRule="auto"/>
              <w:jc w:val="right"/>
              <w:rPr>
                <w:sz w:val="20"/>
                <w:szCs w:val="20"/>
              </w:rPr>
            </w:pPr>
            <w:r w:rsidDel="00000000" w:rsidR="00000000" w:rsidRPr="00000000">
              <w:rPr>
                <w:sz w:val="20"/>
                <w:szCs w:val="20"/>
                <w:rtl w:val="0"/>
              </w:rPr>
              <w:t xml:space="preserve"> </w:t>
            </w:r>
          </w:p>
        </w:tc>
      </w:tr>
      <w:tr>
        <w:trPr>
          <w:cantSplit w:val="0"/>
          <w:trHeight w:val="31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4CA">
            <w:pPr>
              <w:spacing w:after="0" w:line="240" w:lineRule="auto"/>
              <w:rPr>
                <w:sz w:val="20"/>
                <w:szCs w:val="20"/>
              </w:rPr>
            </w:pPr>
            <w:r w:rsidDel="00000000" w:rsidR="00000000" w:rsidRPr="00000000">
              <w:rPr>
                <w:sz w:val="20"/>
                <w:szCs w:val="20"/>
                <w:rtl w:val="0"/>
              </w:rPr>
              <w:t xml:space="preserve">Dover Buckland</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4CB">
            <w:pPr>
              <w:spacing w:after="0" w:line="240" w:lineRule="auto"/>
              <w:jc w:val="right"/>
              <w:rPr>
                <w:sz w:val="20"/>
                <w:szCs w:val="20"/>
              </w:rPr>
            </w:pPr>
            <w:r w:rsidDel="00000000" w:rsidR="00000000" w:rsidRPr="00000000">
              <w:rPr>
                <w:sz w:val="20"/>
                <w:szCs w:val="20"/>
                <w:rtl w:val="0"/>
              </w:rPr>
              <w:t xml:space="preserve">56</w:t>
            </w:r>
          </w:p>
        </w:tc>
        <w:tc>
          <w:tcPr>
            <w:tcBorders>
              <w:top w:color="000000" w:space="0" w:sz="0" w:val="nil"/>
              <w:left w:color="000000" w:space="0" w:sz="0" w:val="nil"/>
              <w:bottom w:color="000000" w:space="0" w:sz="0" w:val="nil"/>
              <w:right w:color="000000" w:space="0" w:sz="0" w:val="nil"/>
            </w:tcBorders>
            <w:shd w:fill="e2efda" w:val="clear"/>
            <w:vAlign w:val="center"/>
          </w:tcPr>
          <w:p w:rsidR="00000000" w:rsidDel="00000000" w:rsidP="00000000" w:rsidRDefault="00000000" w:rsidRPr="00000000" w14:paraId="000004CC">
            <w:pPr>
              <w:spacing w:after="0" w:line="240" w:lineRule="auto"/>
              <w:jc w:val="right"/>
              <w:rPr>
                <w:sz w:val="20"/>
                <w:szCs w:val="20"/>
              </w:rPr>
            </w:pPr>
            <w:r w:rsidDel="00000000" w:rsidR="00000000" w:rsidRPr="00000000">
              <w:rPr>
                <w:sz w:val="20"/>
                <w:szCs w:val="20"/>
                <w:rtl w:val="0"/>
              </w:rPr>
              <w:t xml:space="preserve">9</w:t>
            </w:r>
          </w:p>
        </w:tc>
        <w:tc>
          <w:tcPr>
            <w:tcBorders>
              <w:top w:color="000000" w:space="0" w:sz="0" w:val="nil"/>
              <w:left w:color="000000" w:space="0" w:sz="0" w:val="nil"/>
              <w:bottom w:color="000000" w:space="0" w:sz="0" w:val="nil"/>
              <w:right w:color="000000" w:space="0" w:sz="0" w:val="nil"/>
            </w:tcBorders>
            <w:shd w:fill="e2efda" w:val="clear"/>
            <w:vAlign w:val="center"/>
          </w:tcPr>
          <w:p w:rsidR="00000000" w:rsidDel="00000000" w:rsidP="00000000" w:rsidRDefault="00000000" w:rsidRPr="00000000" w14:paraId="000004CD">
            <w:pPr>
              <w:spacing w:after="0" w:line="240" w:lineRule="auto"/>
              <w:jc w:val="right"/>
              <w:rPr>
                <w:sz w:val="20"/>
                <w:szCs w:val="20"/>
              </w:rPr>
            </w:pPr>
            <w:r w:rsidDel="00000000" w:rsidR="00000000" w:rsidRPr="00000000">
              <w:rPr>
                <w:sz w:val="20"/>
                <w:szCs w:val="20"/>
                <w:rtl w:val="0"/>
              </w:rPr>
              <w:t xml:space="preserve">16</w:t>
            </w:r>
          </w:p>
        </w:tc>
        <w:tc>
          <w:tcPr>
            <w:tcBorders>
              <w:top w:color="000000" w:space="0" w:sz="0" w:val="nil"/>
              <w:left w:color="000000" w:space="0" w:sz="0" w:val="nil"/>
              <w:bottom w:color="000000" w:space="0" w:sz="0" w:val="nil"/>
              <w:right w:color="000000" w:space="0" w:sz="0" w:val="nil"/>
            </w:tcBorders>
            <w:shd w:fill="ddebf7" w:val="clear"/>
            <w:vAlign w:val="center"/>
          </w:tcPr>
          <w:p w:rsidR="00000000" w:rsidDel="00000000" w:rsidP="00000000" w:rsidRDefault="00000000" w:rsidRPr="00000000" w14:paraId="000004CE">
            <w:pPr>
              <w:spacing w:after="0" w:line="240" w:lineRule="auto"/>
              <w:jc w:val="right"/>
              <w:rPr>
                <w:sz w:val="20"/>
                <w:szCs w:val="20"/>
              </w:rPr>
            </w:pPr>
            <w:r w:rsidDel="00000000" w:rsidR="00000000" w:rsidRPr="00000000">
              <w:rPr>
                <w:sz w:val="20"/>
                <w:szCs w:val="20"/>
                <w:rtl w:val="0"/>
              </w:rPr>
              <w:t xml:space="preserve">7</w:t>
            </w:r>
          </w:p>
        </w:tc>
        <w:tc>
          <w:tcPr>
            <w:tcBorders>
              <w:top w:color="000000" w:space="0" w:sz="0" w:val="nil"/>
              <w:left w:color="000000" w:space="0" w:sz="0" w:val="nil"/>
              <w:bottom w:color="000000" w:space="0" w:sz="0" w:val="nil"/>
              <w:right w:color="000000" w:space="0" w:sz="0" w:val="nil"/>
            </w:tcBorders>
            <w:shd w:fill="ddebf7" w:val="clear"/>
            <w:vAlign w:val="center"/>
          </w:tcPr>
          <w:p w:rsidR="00000000" w:rsidDel="00000000" w:rsidP="00000000" w:rsidRDefault="00000000" w:rsidRPr="00000000" w14:paraId="000004CF">
            <w:pPr>
              <w:spacing w:after="0" w:line="240" w:lineRule="auto"/>
              <w:jc w:val="right"/>
              <w:rPr>
                <w:sz w:val="20"/>
                <w:szCs w:val="20"/>
              </w:rPr>
            </w:pPr>
            <w:r w:rsidDel="00000000" w:rsidR="00000000" w:rsidRPr="00000000">
              <w:rPr>
                <w:sz w:val="20"/>
                <w:szCs w:val="20"/>
                <w:rtl w:val="0"/>
              </w:rPr>
              <w:t xml:space="preserve">13</w:t>
            </w:r>
          </w:p>
        </w:tc>
        <w:tc>
          <w:tcPr>
            <w:tcBorders>
              <w:top w:color="000000" w:space="0" w:sz="0" w:val="nil"/>
              <w:left w:color="000000" w:space="0" w:sz="0" w:val="nil"/>
              <w:bottom w:color="000000" w:space="0" w:sz="0" w:val="nil"/>
              <w:right w:color="000000" w:space="0" w:sz="0" w:val="nil"/>
            </w:tcBorders>
            <w:shd w:fill="ffe5e5" w:val="clear"/>
            <w:vAlign w:val="center"/>
          </w:tcPr>
          <w:p w:rsidR="00000000" w:rsidDel="00000000" w:rsidP="00000000" w:rsidRDefault="00000000" w:rsidRPr="00000000" w14:paraId="000004D0">
            <w:pPr>
              <w:spacing w:after="0" w:line="240" w:lineRule="auto"/>
              <w:jc w:val="right"/>
              <w:rPr>
                <w:sz w:val="20"/>
                <w:szCs w:val="20"/>
              </w:rPr>
            </w:pPr>
            <w:r w:rsidDel="00000000" w:rsidR="00000000" w:rsidRPr="00000000">
              <w:rPr>
                <w:sz w:val="20"/>
                <w:szCs w:val="20"/>
                <w:rtl w:val="0"/>
              </w:rPr>
              <w:t xml:space="preserve">1</w:t>
            </w:r>
          </w:p>
        </w:tc>
        <w:tc>
          <w:tcPr>
            <w:tcBorders>
              <w:top w:color="000000" w:space="0" w:sz="0" w:val="nil"/>
              <w:left w:color="000000" w:space="0" w:sz="0" w:val="nil"/>
              <w:bottom w:color="000000" w:space="0" w:sz="0" w:val="nil"/>
              <w:right w:color="000000" w:space="0" w:sz="0" w:val="nil"/>
            </w:tcBorders>
            <w:shd w:fill="ffe5e5" w:val="clear"/>
            <w:vAlign w:val="center"/>
          </w:tcPr>
          <w:p w:rsidR="00000000" w:rsidDel="00000000" w:rsidP="00000000" w:rsidRDefault="00000000" w:rsidRPr="00000000" w14:paraId="000004D1">
            <w:pPr>
              <w:spacing w:after="0" w:line="240" w:lineRule="auto"/>
              <w:jc w:val="right"/>
              <w:rPr>
                <w:sz w:val="20"/>
                <w:szCs w:val="20"/>
              </w:rPr>
            </w:pPr>
            <w:r w:rsidDel="00000000" w:rsidR="00000000" w:rsidRPr="00000000">
              <w:rPr>
                <w:sz w:val="20"/>
                <w:szCs w:val="20"/>
                <w:rtl w:val="0"/>
              </w:rPr>
              <w:t xml:space="preserve">2</w:t>
            </w:r>
          </w:p>
        </w:tc>
      </w:tr>
      <w:tr>
        <w:trPr>
          <w:cantSplit w:val="0"/>
          <w:trHeight w:val="31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4D2">
            <w:pPr>
              <w:spacing w:after="0" w:line="240" w:lineRule="auto"/>
              <w:rPr>
                <w:sz w:val="20"/>
                <w:szCs w:val="20"/>
              </w:rPr>
            </w:pPr>
            <w:r w:rsidDel="00000000" w:rsidR="00000000" w:rsidRPr="00000000">
              <w:rPr>
                <w:sz w:val="20"/>
                <w:szCs w:val="20"/>
                <w:rtl w:val="0"/>
              </w:rPr>
              <w:t xml:space="preserve">Eastry Updown</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4D3">
            <w:pPr>
              <w:spacing w:after="0" w:line="240" w:lineRule="auto"/>
              <w:jc w:val="right"/>
              <w:rPr>
                <w:sz w:val="20"/>
                <w:szCs w:val="20"/>
              </w:rPr>
            </w:pPr>
            <w:r w:rsidDel="00000000" w:rsidR="00000000" w:rsidRPr="00000000">
              <w:rPr>
                <w:sz w:val="20"/>
                <w:szCs w:val="20"/>
                <w:rtl w:val="0"/>
              </w:rPr>
              <w:t xml:space="preserve">6</w:t>
            </w:r>
          </w:p>
        </w:tc>
        <w:tc>
          <w:tcPr>
            <w:tcBorders>
              <w:top w:color="000000" w:space="0" w:sz="0" w:val="nil"/>
              <w:left w:color="000000" w:space="0" w:sz="0" w:val="nil"/>
              <w:bottom w:color="000000" w:space="0" w:sz="0" w:val="nil"/>
              <w:right w:color="000000" w:space="0" w:sz="0" w:val="nil"/>
            </w:tcBorders>
            <w:shd w:fill="e2efda" w:val="clear"/>
            <w:vAlign w:val="center"/>
          </w:tcPr>
          <w:p w:rsidR="00000000" w:rsidDel="00000000" w:rsidP="00000000" w:rsidRDefault="00000000" w:rsidRPr="00000000" w14:paraId="000004D4">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0" w:val="nil"/>
              <w:right w:color="000000" w:space="0" w:sz="0" w:val="nil"/>
            </w:tcBorders>
            <w:shd w:fill="e2efda" w:val="clear"/>
            <w:vAlign w:val="center"/>
          </w:tcPr>
          <w:p w:rsidR="00000000" w:rsidDel="00000000" w:rsidP="00000000" w:rsidRDefault="00000000" w:rsidRPr="00000000" w14:paraId="000004D5">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0" w:val="nil"/>
              <w:right w:color="000000" w:space="0" w:sz="0" w:val="nil"/>
            </w:tcBorders>
            <w:shd w:fill="ddebf7" w:val="clear"/>
            <w:vAlign w:val="center"/>
          </w:tcPr>
          <w:p w:rsidR="00000000" w:rsidDel="00000000" w:rsidP="00000000" w:rsidRDefault="00000000" w:rsidRPr="00000000" w14:paraId="000004D6">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0" w:val="nil"/>
              <w:right w:color="000000" w:space="0" w:sz="0" w:val="nil"/>
            </w:tcBorders>
            <w:shd w:fill="ddebf7" w:val="clear"/>
            <w:vAlign w:val="center"/>
          </w:tcPr>
          <w:p w:rsidR="00000000" w:rsidDel="00000000" w:rsidP="00000000" w:rsidRDefault="00000000" w:rsidRPr="00000000" w14:paraId="000004D7">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0" w:val="nil"/>
              <w:right w:color="000000" w:space="0" w:sz="0" w:val="nil"/>
            </w:tcBorders>
            <w:shd w:fill="ffe5e5" w:val="clear"/>
            <w:vAlign w:val="center"/>
          </w:tcPr>
          <w:p w:rsidR="00000000" w:rsidDel="00000000" w:rsidP="00000000" w:rsidRDefault="00000000" w:rsidRPr="00000000" w14:paraId="000004D8">
            <w:pPr>
              <w:spacing w:after="0" w:line="240" w:lineRule="auto"/>
              <w:jc w:val="right"/>
              <w:rPr>
                <w:sz w:val="20"/>
                <w:szCs w:val="20"/>
              </w:rPr>
            </w:pPr>
            <w:r w:rsidDel="00000000" w:rsidR="00000000" w:rsidRPr="00000000">
              <w:rPr>
                <w:sz w:val="20"/>
                <w:szCs w:val="20"/>
                <w:rtl w:val="0"/>
              </w:rPr>
              <w:t xml:space="preserve">2</w:t>
            </w:r>
          </w:p>
        </w:tc>
        <w:tc>
          <w:tcPr>
            <w:tcBorders>
              <w:top w:color="000000" w:space="0" w:sz="0" w:val="nil"/>
              <w:left w:color="000000" w:space="0" w:sz="0" w:val="nil"/>
              <w:bottom w:color="000000" w:space="0" w:sz="0" w:val="nil"/>
              <w:right w:color="000000" w:space="0" w:sz="0" w:val="nil"/>
            </w:tcBorders>
            <w:shd w:fill="ffe5e5" w:val="clear"/>
            <w:vAlign w:val="center"/>
          </w:tcPr>
          <w:p w:rsidR="00000000" w:rsidDel="00000000" w:rsidP="00000000" w:rsidRDefault="00000000" w:rsidRPr="00000000" w14:paraId="000004D9">
            <w:pPr>
              <w:spacing w:after="0" w:line="240" w:lineRule="auto"/>
              <w:jc w:val="right"/>
              <w:rPr>
                <w:sz w:val="20"/>
                <w:szCs w:val="20"/>
              </w:rPr>
            </w:pPr>
            <w:r w:rsidDel="00000000" w:rsidR="00000000" w:rsidRPr="00000000">
              <w:rPr>
                <w:sz w:val="20"/>
                <w:szCs w:val="20"/>
                <w:rtl w:val="0"/>
              </w:rPr>
              <w:t xml:space="preserve"> </w:t>
            </w:r>
          </w:p>
        </w:tc>
      </w:tr>
      <w:tr>
        <w:trPr>
          <w:cantSplit w:val="0"/>
          <w:trHeight w:val="31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4DA">
            <w:pPr>
              <w:spacing w:after="0" w:line="240" w:lineRule="auto"/>
              <w:rPr>
                <w:sz w:val="20"/>
                <w:szCs w:val="20"/>
              </w:rPr>
            </w:pPr>
            <w:r w:rsidDel="00000000" w:rsidR="00000000" w:rsidRPr="00000000">
              <w:rPr>
                <w:sz w:val="20"/>
                <w:szCs w:val="20"/>
                <w:rtl w:val="0"/>
              </w:rPr>
              <w:t xml:space="preserve">Polhill</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4DB">
            <w:pPr>
              <w:spacing w:after="0" w:line="240" w:lineRule="auto"/>
              <w:jc w:val="right"/>
              <w:rPr>
                <w:sz w:val="20"/>
                <w:szCs w:val="20"/>
              </w:rPr>
            </w:pPr>
            <w:r w:rsidDel="00000000" w:rsidR="00000000" w:rsidRPr="00000000">
              <w:rPr>
                <w:sz w:val="20"/>
                <w:szCs w:val="20"/>
                <w:rtl w:val="0"/>
              </w:rPr>
              <w:t xml:space="preserve">9</w:t>
            </w:r>
          </w:p>
        </w:tc>
        <w:tc>
          <w:tcPr>
            <w:tcBorders>
              <w:top w:color="000000" w:space="0" w:sz="0" w:val="nil"/>
              <w:left w:color="000000" w:space="0" w:sz="0" w:val="nil"/>
              <w:bottom w:color="000000" w:space="0" w:sz="0" w:val="nil"/>
              <w:right w:color="000000" w:space="0" w:sz="0" w:val="nil"/>
            </w:tcBorders>
            <w:shd w:fill="e2efda" w:val="clear"/>
            <w:vAlign w:val="center"/>
          </w:tcPr>
          <w:p w:rsidR="00000000" w:rsidDel="00000000" w:rsidP="00000000" w:rsidRDefault="00000000" w:rsidRPr="00000000" w14:paraId="000004DC">
            <w:pPr>
              <w:spacing w:after="0" w:line="240" w:lineRule="auto"/>
              <w:jc w:val="right"/>
              <w:rPr>
                <w:sz w:val="20"/>
                <w:szCs w:val="20"/>
              </w:rPr>
            </w:pPr>
            <w:r w:rsidDel="00000000" w:rsidR="00000000" w:rsidRPr="00000000">
              <w:rPr>
                <w:sz w:val="20"/>
                <w:szCs w:val="20"/>
                <w:rtl w:val="0"/>
              </w:rPr>
              <w:t xml:space="preserve">4</w:t>
            </w:r>
          </w:p>
        </w:tc>
        <w:tc>
          <w:tcPr>
            <w:tcBorders>
              <w:top w:color="000000" w:space="0" w:sz="0" w:val="nil"/>
              <w:left w:color="000000" w:space="0" w:sz="0" w:val="nil"/>
              <w:bottom w:color="000000" w:space="0" w:sz="0" w:val="nil"/>
              <w:right w:color="000000" w:space="0" w:sz="0" w:val="nil"/>
            </w:tcBorders>
            <w:shd w:fill="e2efda" w:val="clear"/>
            <w:vAlign w:val="center"/>
          </w:tcPr>
          <w:p w:rsidR="00000000" w:rsidDel="00000000" w:rsidP="00000000" w:rsidRDefault="00000000" w:rsidRPr="00000000" w14:paraId="000004DD">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0" w:val="nil"/>
              <w:right w:color="000000" w:space="0" w:sz="0" w:val="nil"/>
            </w:tcBorders>
            <w:shd w:fill="ddebf7" w:val="clear"/>
            <w:vAlign w:val="center"/>
          </w:tcPr>
          <w:p w:rsidR="00000000" w:rsidDel="00000000" w:rsidP="00000000" w:rsidRDefault="00000000" w:rsidRPr="00000000" w14:paraId="000004DE">
            <w:pPr>
              <w:spacing w:after="0" w:line="240" w:lineRule="auto"/>
              <w:jc w:val="right"/>
              <w:rPr>
                <w:sz w:val="20"/>
                <w:szCs w:val="20"/>
              </w:rPr>
            </w:pPr>
            <w:r w:rsidDel="00000000" w:rsidR="00000000" w:rsidRPr="00000000">
              <w:rPr>
                <w:sz w:val="20"/>
                <w:szCs w:val="20"/>
                <w:rtl w:val="0"/>
              </w:rPr>
              <w:t xml:space="preserve">1</w:t>
            </w:r>
          </w:p>
        </w:tc>
        <w:tc>
          <w:tcPr>
            <w:tcBorders>
              <w:top w:color="000000" w:space="0" w:sz="0" w:val="nil"/>
              <w:left w:color="000000" w:space="0" w:sz="0" w:val="nil"/>
              <w:bottom w:color="000000" w:space="0" w:sz="0" w:val="nil"/>
              <w:right w:color="000000" w:space="0" w:sz="0" w:val="nil"/>
            </w:tcBorders>
            <w:shd w:fill="ddebf7" w:val="clear"/>
            <w:vAlign w:val="center"/>
          </w:tcPr>
          <w:p w:rsidR="00000000" w:rsidDel="00000000" w:rsidP="00000000" w:rsidRDefault="00000000" w:rsidRPr="00000000" w14:paraId="000004DF">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0" w:val="nil"/>
              <w:right w:color="000000" w:space="0" w:sz="0" w:val="nil"/>
            </w:tcBorders>
            <w:shd w:fill="ffe5e5" w:val="clear"/>
            <w:vAlign w:val="center"/>
          </w:tcPr>
          <w:p w:rsidR="00000000" w:rsidDel="00000000" w:rsidP="00000000" w:rsidRDefault="00000000" w:rsidRPr="00000000" w14:paraId="000004E0">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0" w:val="nil"/>
              <w:right w:color="000000" w:space="0" w:sz="0" w:val="nil"/>
            </w:tcBorders>
            <w:shd w:fill="ffe5e5" w:val="clear"/>
            <w:vAlign w:val="center"/>
          </w:tcPr>
          <w:p w:rsidR="00000000" w:rsidDel="00000000" w:rsidP="00000000" w:rsidRDefault="00000000" w:rsidRPr="00000000" w14:paraId="000004E1">
            <w:pPr>
              <w:spacing w:after="0" w:line="240" w:lineRule="auto"/>
              <w:jc w:val="right"/>
              <w:rPr>
                <w:sz w:val="20"/>
                <w:szCs w:val="20"/>
              </w:rPr>
            </w:pPr>
            <w:r w:rsidDel="00000000" w:rsidR="00000000" w:rsidRPr="00000000">
              <w:rPr>
                <w:sz w:val="20"/>
                <w:szCs w:val="20"/>
                <w:rtl w:val="0"/>
              </w:rPr>
              <w:t xml:space="preserve"> </w:t>
            </w:r>
          </w:p>
        </w:tc>
      </w:tr>
      <w:tr>
        <w:trPr>
          <w:cantSplit w:val="0"/>
          <w:trHeight w:val="31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4E2">
            <w:pPr>
              <w:spacing w:after="0" w:line="240" w:lineRule="auto"/>
              <w:rPr>
                <w:sz w:val="20"/>
                <w:szCs w:val="20"/>
              </w:rPr>
            </w:pPr>
            <w:r w:rsidDel="00000000" w:rsidR="00000000" w:rsidRPr="00000000">
              <w:rPr>
                <w:sz w:val="20"/>
                <w:szCs w:val="20"/>
                <w:rtl w:val="0"/>
              </w:rPr>
              <w:t xml:space="preserve">Rookery Hill, Bishopstone</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4E3">
            <w:pPr>
              <w:spacing w:after="0" w:line="240" w:lineRule="auto"/>
              <w:jc w:val="right"/>
              <w:rPr>
                <w:sz w:val="20"/>
                <w:szCs w:val="20"/>
              </w:rPr>
            </w:pPr>
            <w:r w:rsidDel="00000000" w:rsidR="00000000" w:rsidRPr="00000000">
              <w:rPr>
                <w:sz w:val="20"/>
                <w:szCs w:val="20"/>
                <w:rtl w:val="0"/>
              </w:rPr>
              <w:t xml:space="preserve">9</w:t>
            </w:r>
          </w:p>
        </w:tc>
        <w:tc>
          <w:tcPr>
            <w:tcBorders>
              <w:top w:color="000000" w:space="0" w:sz="0" w:val="nil"/>
              <w:left w:color="000000" w:space="0" w:sz="0" w:val="nil"/>
              <w:bottom w:color="000000" w:space="0" w:sz="0" w:val="nil"/>
              <w:right w:color="000000" w:space="0" w:sz="0" w:val="nil"/>
            </w:tcBorders>
            <w:shd w:fill="e2efda" w:val="clear"/>
            <w:vAlign w:val="center"/>
          </w:tcPr>
          <w:p w:rsidR="00000000" w:rsidDel="00000000" w:rsidP="00000000" w:rsidRDefault="00000000" w:rsidRPr="00000000" w14:paraId="000004E4">
            <w:pPr>
              <w:spacing w:after="0" w:line="240" w:lineRule="auto"/>
              <w:jc w:val="right"/>
              <w:rPr>
                <w:sz w:val="20"/>
                <w:szCs w:val="20"/>
              </w:rPr>
            </w:pPr>
            <w:r w:rsidDel="00000000" w:rsidR="00000000" w:rsidRPr="00000000">
              <w:rPr>
                <w:sz w:val="20"/>
                <w:szCs w:val="20"/>
                <w:rtl w:val="0"/>
              </w:rPr>
              <w:t xml:space="preserve">2</w:t>
            </w:r>
          </w:p>
        </w:tc>
        <w:tc>
          <w:tcPr>
            <w:tcBorders>
              <w:top w:color="000000" w:space="0" w:sz="0" w:val="nil"/>
              <w:left w:color="000000" w:space="0" w:sz="0" w:val="nil"/>
              <w:bottom w:color="000000" w:space="0" w:sz="0" w:val="nil"/>
              <w:right w:color="000000" w:space="0" w:sz="0" w:val="nil"/>
            </w:tcBorders>
            <w:shd w:fill="e2efda" w:val="clear"/>
            <w:vAlign w:val="center"/>
          </w:tcPr>
          <w:p w:rsidR="00000000" w:rsidDel="00000000" w:rsidP="00000000" w:rsidRDefault="00000000" w:rsidRPr="00000000" w14:paraId="000004E5">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0" w:val="nil"/>
              <w:right w:color="000000" w:space="0" w:sz="0" w:val="nil"/>
            </w:tcBorders>
            <w:shd w:fill="ddebf7" w:val="clear"/>
            <w:vAlign w:val="center"/>
          </w:tcPr>
          <w:p w:rsidR="00000000" w:rsidDel="00000000" w:rsidP="00000000" w:rsidRDefault="00000000" w:rsidRPr="00000000" w14:paraId="000004E6">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0" w:val="nil"/>
              <w:right w:color="000000" w:space="0" w:sz="0" w:val="nil"/>
            </w:tcBorders>
            <w:shd w:fill="ddebf7" w:val="clear"/>
            <w:vAlign w:val="center"/>
          </w:tcPr>
          <w:p w:rsidR="00000000" w:rsidDel="00000000" w:rsidP="00000000" w:rsidRDefault="00000000" w:rsidRPr="00000000" w14:paraId="000004E7">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0" w:val="nil"/>
              <w:right w:color="000000" w:space="0" w:sz="0" w:val="nil"/>
            </w:tcBorders>
            <w:shd w:fill="ffe5e5" w:val="clear"/>
            <w:vAlign w:val="center"/>
          </w:tcPr>
          <w:p w:rsidR="00000000" w:rsidDel="00000000" w:rsidP="00000000" w:rsidRDefault="00000000" w:rsidRPr="00000000" w14:paraId="000004E8">
            <w:pPr>
              <w:spacing w:after="0" w:line="240" w:lineRule="auto"/>
              <w:jc w:val="right"/>
              <w:rPr>
                <w:sz w:val="20"/>
                <w:szCs w:val="20"/>
              </w:rPr>
            </w:pPr>
            <w:r w:rsidDel="00000000" w:rsidR="00000000" w:rsidRPr="00000000">
              <w:rPr>
                <w:sz w:val="20"/>
                <w:szCs w:val="20"/>
                <w:rtl w:val="0"/>
              </w:rPr>
              <w:t xml:space="preserve">1</w:t>
            </w:r>
          </w:p>
        </w:tc>
        <w:tc>
          <w:tcPr>
            <w:tcBorders>
              <w:top w:color="000000" w:space="0" w:sz="0" w:val="nil"/>
              <w:left w:color="000000" w:space="0" w:sz="0" w:val="nil"/>
              <w:bottom w:color="000000" w:space="0" w:sz="0" w:val="nil"/>
              <w:right w:color="000000" w:space="0" w:sz="0" w:val="nil"/>
            </w:tcBorders>
            <w:shd w:fill="ffe5e5" w:val="clear"/>
            <w:vAlign w:val="center"/>
          </w:tcPr>
          <w:p w:rsidR="00000000" w:rsidDel="00000000" w:rsidP="00000000" w:rsidRDefault="00000000" w:rsidRPr="00000000" w14:paraId="000004E9">
            <w:pPr>
              <w:spacing w:after="0" w:line="240" w:lineRule="auto"/>
              <w:jc w:val="right"/>
              <w:rPr>
                <w:sz w:val="20"/>
                <w:szCs w:val="20"/>
              </w:rPr>
            </w:pPr>
            <w:r w:rsidDel="00000000" w:rsidR="00000000" w:rsidRPr="00000000">
              <w:rPr>
                <w:sz w:val="20"/>
                <w:szCs w:val="20"/>
                <w:rtl w:val="0"/>
              </w:rPr>
              <w:t xml:space="preserve"> </w:t>
            </w:r>
          </w:p>
        </w:tc>
      </w:tr>
      <w:tr>
        <w:trPr>
          <w:cantSplit w:val="0"/>
          <w:trHeight w:val="31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4EA">
            <w:pPr>
              <w:spacing w:after="0" w:line="240" w:lineRule="auto"/>
              <w:rPr>
                <w:sz w:val="20"/>
                <w:szCs w:val="20"/>
              </w:rPr>
            </w:pPr>
            <w:r w:rsidDel="00000000" w:rsidR="00000000" w:rsidRPr="00000000">
              <w:rPr>
                <w:sz w:val="20"/>
                <w:szCs w:val="20"/>
                <w:rtl w:val="0"/>
              </w:rPr>
              <w:t xml:space="preserve">Wolverton, Radcliffe School </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4EB">
            <w:pPr>
              <w:spacing w:after="0" w:line="240" w:lineRule="auto"/>
              <w:jc w:val="right"/>
              <w:rPr>
                <w:sz w:val="20"/>
                <w:szCs w:val="20"/>
              </w:rPr>
            </w:pPr>
            <w:r w:rsidDel="00000000" w:rsidR="00000000" w:rsidRPr="00000000">
              <w:rPr>
                <w:sz w:val="20"/>
                <w:szCs w:val="20"/>
                <w:rtl w:val="0"/>
              </w:rPr>
              <w:t xml:space="preserve">4</w:t>
            </w:r>
          </w:p>
        </w:tc>
        <w:tc>
          <w:tcPr>
            <w:tcBorders>
              <w:top w:color="000000" w:space="0" w:sz="0" w:val="nil"/>
              <w:left w:color="000000" w:space="0" w:sz="0" w:val="nil"/>
              <w:bottom w:color="000000" w:space="0" w:sz="0" w:val="nil"/>
              <w:right w:color="000000" w:space="0" w:sz="0" w:val="nil"/>
            </w:tcBorders>
            <w:shd w:fill="e2efda" w:val="clear"/>
            <w:vAlign w:val="center"/>
          </w:tcPr>
          <w:p w:rsidR="00000000" w:rsidDel="00000000" w:rsidP="00000000" w:rsidRDefault="00000000" w:rsidRPr="00000000" w14:paraId="000004EC">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0" w:val="nil"/>
              <w:right w:color="000000" w:space="0" w:sz="0" w:val="nil"/>
            </w:tcBorders>
            <w:shd w:fill="e2efda" w:val="clear"/>
            <w:vAlign w:val="center"/>
          </w:tcPr>
          <w:p w:rsidR="00000000" w:rsidDel="00000000" w:rsidP="00000000" w:rsidRDefault="00000000" w:rsidRPr="00000000" w14:paraId="000004ED">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0" w:val="nil"/>
              <w:right w:color="000000" w:space="0" w:sz="0" w:val="nil"/>
            </w:tcBorders>
            <w:shd w:fill="ddebf7" w:val="clear"/>
            <w:vAlign w:val="center"/>
          </w:tcPr>
          <w:p w:rsidR="00000000" w:rsidDel="00000000" w:rsidP="00000000" w:rsidRDefault="00000000" w:rsidRPr="00000000" w14:paraId="000004EE">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0" w:val="nil"/>
              <w:right w:color="000000" w:space="0" w:sz="0" w:val="nil"/>
            </w:tcBorders>
            <w:shd w:fill="ddebf7" w:val="clear"/>
            <w:vAlign w:val="center"/>
          </w:tcPr>
          <w:p w:rsidR="00000000" w:rsidDel="00000000" w:rsidP="00000000" w:rsidRDefault="00000000" w:rsidRPr="00000000" w14:paraId="000004EF">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0" w:val="nil"/>
              <w:right w:color="000000" w:space="0" w:sz="0" w:val="nil"/>
            </w:tcBorders>
            <w:shd w:fill="ffe5e5" w:val="clear"/>
            <w:vAlign w:val="center"/>
          </w:tcPr>
          <w:p w:rsidR="00000000" w:rsidDel="00000000" w:rsidP="00000000" w:rsidRDefault="00000000" w:rsidRPr="00000000" w14:paraId="000004F0">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0" w:val="nil"/>
              <w:right w:color="000000" w:space="0" w:sz="0" w:val="nil"/>
            </w:tcBorders>
            <w:shd w:fill="ffe5e5" w:val="clear"/>
            <w:vAlign w:val="center"/>
          </w:tcPr>
          <w:p w:rsidR="00000000" w:rsidDel="00000000" w:rsidP="00000000" w:rsidRDefault="00000000" w:rsidRPr="00000000" w14:paraId="000004F1">
            <w:pPr>
              <w:spacing w:after="0" w:line="240" w:lineRule="auto"/>
              <w:jc w:val="right"/>
              <w:rPr>
                <w:sz w:val="20"/>
                <w:szCs w:val="20"/>
              </w:rPr>
            </w:pPr>
            <w:r w:rsidDel="00000000" w:rsidR="00000000" w:rsidRPr="00000000">
              <w:rPr>
                <w:sz w:val="20"/>
                <w:szCs w:val="20"/>
                <w:rtl w:val="0"/>
              </w:rPr>
              <w:t xml:space="preserve"> </w:t>
            </w:r>
          </w:p>
        </w:tc>
      </w:tr>
      <w:tr>
        <w:trPr>
          <w:cantSplit w:val="0"/>
          <w:trHeight w:val="315" w:hRule="atLeast"/>
          <w:tblHeader w:val="0"/>
        </w:trPr>
        <w:tc>
          <w:tcPr>
            <w:tcBorders>
              <w:top w:color="000000" w:space="0" w:sz="4" w:val="single"/>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4F2">
            <w:pPr>
              <w:spacing w:after="0" w:line="240" w:lineRule="auto"/>
              <w:rPr>
                <w:b w:val="1"/>
                <w:sz w:val="20"/>
                <w:szCs w:val="20"/>
              </w:rPr>
            </w:pPr>
            <w:r w:rsidDel="00000000" w:rsidR="00000000" w:rsidRPr="00000000">
              <w:rPr>
                <w:b w:val="1"/>
                <w:sz w:val="20"/>
                <w:szCs w:val="20"/>
                <w:rtl w:val="0"/>
              </w:rPr>
              <w:t xml:space="preserve">England Southwest</w:t>
            </w:r>
          </w:p>
        </w:tc>
        <w:tc>
          <w:tcPr>
            <w:tcBorders>
              <w:top w:color="000000" w:space="0" w:sz="4" w:val="single"/>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4F3">
            <w:pPr>
              <w:spacing w:after="0" w:line="240" w:lineRule="auto"/>
              <w:jc w:val="right"/>
              <w:rPr>
                <w:b w:val="1"/>
                <w:sz w:val="20"/>
                <w:szCs w:val="20"/>
              </w:rPr>
            </w:pPr>
            <w:r w:rsidDel="00000000" w:rsidR="00000000" w:rsidRPr="00000000">
              <w:rPr>
                <w:b w:val="1"/>
                <w:sz w:val="20"/>
                <w:szCs w:val="20"/>
                <w:rtl w:val="0"/>
              </w:rPr>
              <w:t xml:space="preserve">20</w:t>
            </w:r>
          </w:p>
        </w:tc>
        <w:tc>
          <w:tcPr>
            <w:tcBorders>
              <w:top w:color="000000" w:space="0" w:sz="4" w:val="single"/>
              <w:left w:color="000000" w:space="0" w:sz="0" w:val="nil"/>
              <w:bottom w:color="000000" w:space="0" w:sz="4" w:val="single"/>
              <w:right w:color="000000" w:space="0" w:sz="0" w:val="nil"/>
            </w:tcBorders>
            <w:shd w:fill="e2efda" w:val="clear"/>
            <w:vAlign w:val="center"/>
          </w:tcPr>
          <w:p w:rsidR="00000000" w:rsidDel="00000000" w:rsidP="00000000" w:rsidRDefault="00000000" w:rsidRPr="00000000" w14:paraId="000004F4">
            <w:pPr>
              <w:spacing w:after="0" w:line="240" w:lineRule="auto"/>
              <w:jc w:val="right"/>
              <w:rPr>
                <w:b w:val="1"/>
                <w:sz w:val="20"/>
                <w:szCs w:val="20"/>
              </w:rPr>
            </w:pPr>
            <w:r w:rsidDel="00000000" w:rsidR="00000000" w:rsidRPr="00000000">
              <w:rPr>
                <w:b w:val="1"/>
                <w:sz w:val="20"/>
                <w:szCs w:val="20"/>
                <w:rtl w:val="0"/>
              </w:rPr>
              <w:t xml:space="preserve">2</w:t>
            </w:r>
          </w:p>
        </w:tc>
        <w:tc>
          <w:tcPr>
            <w:tcBorders>
              <w:top w:color="000000" w:space="0" w:sz="4" w:val="single"/>
              <w:left w:color="000000" w:space="0" w:sz="0" w:val="nil"/>
              <w:bottom w:color="000000" w:space="0" w:sz="4" w:val="single"/>
              <w:right w:color="000000" w:space="0" w:sz="0" w:val="nil"/>
            </w:tcBorders>
            <w:shd w:fill="e2efda" w:val="clear"/>
            <w:vAlign w:val="center"/>
          </w:tcPr>
          <w:p w:rsidR="00000000" w:rsidDel="00000000" w:rsidP="00000000" w:rsidRDefault="00000000" w:rsidRPr="00000000" w14:paraId="000004F5">
            <w:pPr>
              <w:spacing w:after="0" w:line="240" w:lineRule="auto"/>
              <w:jc w:val="right"/>
              <w:rPr>
                <w:b w:val="1"/>
                <w:sz w:val="20"/>
                <w:szCs w:val="20"/>
              </w:rPr>
            </w:pPr>
            <w:r w:rsidDel="00000000" w:rsidR="00000000" w:rsidRPr="00000000">
              <w:rPr>
                <w:b w:val="1"/>
                <w:sz w:val="20"/>
                <w:szCs w:val="20"/>
                <w:rtl w:val="0"/>
              </w:rPr>
              <w:t xml:space="preserve">10</w:t>
            </w:r>
          </w:p>
        </w:tc>
        <w:tc>
          <w:tcPr>
            <w:tcBorders>
              <w:top w:color="000000" w:space="0" w:sz="4" w:val="single"/>
              <w:left w:color="000000" w:space="0" w:sz="0" w:val="nil"/>
              <w:bottom w:color="000000" w:space="0" w:sz="4" w:val="single"/>
              <w:right w:color="000000" w:space="0" w:sz="0" w:val="nil"/>
            </w:tcBorders>
            <w:shd w:fill="ddebf7" w:val="clear"/>
            <w:vAlign w:val="center"/>
          </w:tcPr>
          <w:p w:rsidR="00000000" w:rsidDel="00000000" w:rsidP="00000000" w:rsidRDefault="00000000" w:rsidRPr="00000000" w14:paraId="000004F6">
            <w:pPr>
              <w:spacing w:after="0" w:line="240" w:lineRule="auto"/>
              <w:jc w:val="right"/>
              <w:rPr>
                <w:b w:val="1"/>
                <w:sz w:val="20"/>
                <w:szCs w:val="20"/>
              </w:rPr>
            </w:pPr>
            <w:r w:rsidDel="00000000" w:rsidR="00000000" w:rsidRPr="00000000">
              <w:rPr>
                <w:b w:val="1"/>
                <w:sz w:val="20"/>
                <w:szCs w:val="20"/>
                <w:rtl w:val="0"/>
              </w:rPr>
              <w:t xml:space="preserve"> </w:t>
            </w:r>
          </w:p>
        </w:tc>
        <w:tc>
          <w:tcPr>
            <w:tcBorders>
              <w:top w:color="000000" w:space="0" w:sz="4" w:val="single"/>
              <w:left w:color="000000" w:space="0" w:sz="0" w:val="nil"/>
              <w:bottom w:color="000000" w:space="0" w:sz="4" w:val="single"/>
              <w:right w:color="000000" w:space="0" w:sz="0" w:val="nil"/>
            </w:tcBorders>
            <w:shd w:fill="ddebf7" w:val="clear"/>
            <w:vAlign w:val="center"/>
          </w:tcPr>
          <w:p w:rsidR="00000000" w:rsidDel="00000000" w:rsidP="00000000" w:rsidRDefault="00000000" w:rsidRPr="00000000" w14:paraId="000004F7">
            <w:pPr>
              <w:spacing w:after="0" w:line="240" w:lineRule="auto"/>
              <w:jc w:val="right"/>
              <w:rPr>
                <w:b w:val="1"/>
                <w:sz w:val="20"/>
                <w:szCs w:val="20"/>
              </w:rPr>
            </w:pPr>
            <w:r w:rsidDel="00000000" w:rsidR="00000000" w:rsidRPr="00000000">
              <w:rPr>
                <w:b w:val="1"/>
                <w:sz w:val="20"/>
                <w:szCs w:val="20"/>
                <w:rtl w:val="0"/>
              </w:rPr>
              <w:t xml:space="preserve"> </w:t>
            </w:r>
          </w:p>
        </w:tc>
        <w:tc>
          <w:tcPr>
            <w:tcBorders>
              <w:top w:color="000000" w:space="0" w:sz="4" w:val="single"/>
              <w:left w:color="000000" w:space="0" w:sz="0" w:val="nil"/>
              <w:bottom w:color="000000" w:space="0" w:sz="4" w:val="single"/>
              <w:right w:color="000000" w:space="0" w:sz="0" w:val="nil"/>
            </w:tcBorders>
            <w:shd w:fill="ffe5e5" w:val="clear"/>
            <w:vAlign w:val="center"/>
          </w:tcPr>
          <w:p w:rsidR="00000000" w:rsidDel="00000000" w:rsidP="00000000" w:rsidRDefault="00000000" w:rsidRPr="00000000" w14:paraId="000004F8">
            <w:pPr>
              <w:spacing w:after="0" w:line="240" w:lineRule="auto"/>
              <w:jc w:val="right"/>
              <w:rPr>
                <w:b w:val="1"/>
                <w:sz w:val="20"/>
                <w:szCs w:val="20"/>
              </w:rPr>
            </w:pPr>
            <w:r w:rsidDel="00000000" w:rsidR="00000000" w:rsidRPr="00000000">
              <w:rPr>
                <w:b w:val="1"/>
                <w:sz w:val="20"/>
                <w:szCs w:val="20"/>
                <w:rtl w:val="0"/>
              </w:rPr>
              <w:t xml:space="preserve"> </w:t>
            </w:r>
          </w:p>
        </w:tc>
        <w:tc>
          <w:tcPr>
            <w:tcBorders>
              <w:top w:color="000000" w:space="0" w:sz="4" w:val="single"/>
              <w:left w:color="000000" w:space="0" w:sz="0" w:val="nil"/>
              <w:bottom w:color="000000" w:space="0" w:sz="4" w:val="single"/>
              <w:right w:color="000000" w:space="0" w:sz="0" w:val="nil"/>
            </w:tcBorders>
            <w:shd w:fill="ffe5e5" w:val="clear"/>
            <w:vAlign w:val="center"/>
          </w:tcPr>
          <w:p w:rsidR="00000000" w:rsidDel="00000000" w:rsidP="00000000" w:rsidRDefault="00000000" w:rsidRPr="00000000" w14:paraId="000004F9">
            <w:pPr>
              <w:spacing w:after="0" w:line="240" w:lineRule="auto"/>
              <w:jc w:val="right"/>
              <w:rPr>
                <w:b w:val="1"/>
                <w:sz w:val="20"/>
                <w:szCs w:val="20"/>
              </w:rPr>
            </w:pPr>
            <w:r w:rsidDel="00000000" w:rsidR="00000000" w:rsidRPr="00000000">
              <w:rPr>
                <w:b w:val="1"/>
                <w:sz w:val="20"/>
                <w:szCs w:val="20"/>
                <w:rtl w:val="0"/>
              </w:rPr>
              <w:t xml:space="preserve"> </w:t>
            </w:r>
          </w:p>
        </w:tc>
      </w:tr>
      <w:tr>
        <w:trPr>
          <w:cantSplit w:val="0"/>
          <w:trHeight w:val="31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4FA">
            <w:pPr>
              <w:spacing w:after="0" w:line="240" w:lineRule="auto"/>
              <w:rPr>
                <w:sz w:val="20"/>
                <w:szCs w:val="20"/>
              </w:rPr>
            </w:pPr>
            <w:r w:rsidDel="00000000" w:rsidR="00000000" w:rsidRPr="00000000">
              <w:rPr>
                <w:sz w:val="20"/>
                <w:szCs w:val="20"/>
                <w:rtl w:val="0"/>
              </w:rPr>
              <w:t xml:space="preserve">Bude, Widemouth Bay</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4FB">
            <w:pPr>
              <w:spacing w:after="0" w:line="240" w:lineRule="auto"/>
              <w:jc w:val="right"/>
              <w:rPr>
                <w:sz w:val="20"/>
                <w:szCs w:val="20"/>
              </w:rPr>
            </w:pPr>
            <w:r w:rsidDel="00000000" w:rsidR="00000000" w:rsidRPr="00000000">
              <w:rPr>
                <w:sz w:val="20"/>
                <w:szCs w:val="20"/>
                <w:rtl w:val="0"/>
              </w:rPr>
              <w:t xml:space="preserve">1</w:t>
            </w:r>
          </w:p>
        </w:tc>
        <w:tc>
          <w:tcPr>
            <w:tcBorders>
              <w:top w:color="000000" w:space="0" w:sz="0" w:val="nil"/>
              <w:left w:color="000000" w:space="0" w:sz="0" w:val="nil"/>
              <w:bottom w:color="000000" w:space="0" w:sz="0" w:val="nil"/>
              <w:right w:color="000000" w:space="0" w:sz="0" w:val="nil"/>
            </w:tcBorders>
            <w:shd w:fill="e2efda" w:val="clear"/>
            <w:vAlign w:val="center"/>
          </w:tcPr>
          <w:p w:rsidR="00000000" w:rsidDel="00000000" w:rsidP="00000000" w:rsidRDefault="00000000" w:rsidRPr="00000000" w14:paraId="000004FC">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0" w:val="nil"/>
              <w:right w:color="000000" w:space="0" w:sz="0" w:val="nil"/>
            </w:tcBorders>
            <w:shd w:fill="e2efda" w:val="clear"/>
            <w:vAlign w:val="center"/>
          </w:tcPr>
          <w:p w:rsidR="00000000" w:rsidDel="00000000" w:rsidP="00000000" w:rsidRDefault="00000000" w:rsidRPr="00000000" w14:paraId="000004FD">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0" w:val="nil"/>
              <w:right w:color="000000" w:space="0" w:sz="0" w:val="nil"/>
            </w:tcBorders>
            <w:shd w:fill="ddebf7" w:val="clear"/>
            <w:vAlign w:val="center"/>
          </w:tcPr>
          <w:p w:rsidR="00000000" w:rsidDel="00000000" w:rsidP="00000000" w:rsidRDefault="00000000" w:rsidRPr="00000000" w14:paraId="000004FE">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0" w:val="nil"/>
              <w:right w:color="000000" w:space="0" w:sz="0" w:val="nil"/>
            </w:tcBorders>
            <w:shd w:fill="ddebf7" w:val="clear"/>
            <w:vAlign w:val="center"/>
          </w:tcPr>
          <w:p w:rsidR="00000000" w:rsidDel="00000000" w:rsidP="00000000" w:rsidRDefault="00000000" w:rsidRPr="00000000" w14:paraId="000004FF">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0" w:val="nil"/>
              <w:right w:color="000000" w:space="0" w:sz="0" w:val="nil"/>
            </w:tcBorders>
            <w:shd w:fill="ffe5e5" w:val="clear"/>
            <w:vAlign w:val="center"/>
          </w:tcPr>
          <w:p w:rsidR="00000000" w:rsidDel="00000000" w:rsidP="00000000" w:rsidRDefault="00000000" w:rsidRPr="00000000" w14:paraId="00000500">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0" w:val="nil"/>
              <w:right w:color="000000" w:space="0" w:sz="0" w:val="nil"/>
            </w:tcBorders>
            <w:shd w:fill="ffe5e5" w:val="clear"/>
            <w:vAlign w:val="center"/>
          </w:tcPr>
          <w:p w:rsidR="00000000" w:rsidDel="00000000" w:rsidP="00000000" w:rsidRDefault="00000000" w:rsidRPr="00000000" w14:paraId="00000501">
            <w:pPr>
              <w:spacing w:after="0" w:line="240" w:lineRule="auto"/>
              <w:jc w:val="right"/>
              <w:rPr>
                <w:sz w:val="20"/>
                <w:szCs w:val="20"/>
              </w:rPr>
            </w:pPr>
            <w:r w:rsidDel="00000000" w:rsidR="00000000" w:rsidRPr="00000000">
              <w:rPr>
                <w:sz w:val="20"/>
                <w:szCs w:val="20"/>
                <w:rtl w:val="0"/>
              </w:rPr>
              <w:t xml:space="preserve"> </w:t>
            </w:r>
          </w:p>
        </w:tc>
      </w:tr>
      <w:tr>
        <w:trPr>
          <w:cantSplit w:val="0"/>
          <w:trHeight w:val="31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502">
            <w:pPr>
              <w:spacing w:after="0" w:line="240" w:lineRule="auto"/>
              <w:rPr>
                <w:sz w:val="20"/>
                <w:szCs w:val="20"/>
              </w:rPr>
            </w:pPr>
            <w:r w:rsidDel="00000000" w:rsidR="00000000" w:rsidRPr="00000000">
              <w:rPr>
                <w:sz w:val="20"/>
                <w:szCs w:val="20"/>
                <w:rtl w:val="0"/>
              </w:rPr>
              <w:t xml:space="preserve">Newquay, Crantock</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503">
            <w:pPr>
              <w:spacing w:after="0" w:line="240" w:lineRule="auto"/>
              <w:jc w:val="right"/>
              <w:rPr>
                <w:sz w:val="20"/>
                <w:szCs w:val="20"/>
              </w:rPr>
            </w:pPr>
            <w:r w:rsidDel="00000000" w:rsidR="00000000" w:rsidRPr="00000000">
              <w:rPr>
                <w:sz w:val="20"/>
                <w:szCs w:val="20"/>
                <w:rtl w:val="0"/>
              </w:rPr>
              <w:t xml:space="preserve">2</w:t>
            </w:r>
          </w:p>
        </w:tc>
        <w:tc>
          <w:tcPr>
            <w:tcBorders>
              <w:top w:color="000000" w:space="0" w:sz="0" w:val="nil"/>
              <w:left w:color="000000" w:space="0" w:sz="0" w:val="nil"/>
              <w:bottom w:color="000000" w:space="0" w:sz="0" w:val="nil"/>
              <w:right w:color="000000" w:space="0" w:sz="0" w:val="nil"/>
            </w:tcBorders>
            <w:shd w:fill="e2efda" w:val="clear"/>
            <w:vAlign w:val="center"/>
          </w:tcPr>
          <w:p w:rsidR="00000000" w:rsidDel="00000000" w:rsidP="00000000" w:rsidRDefault="00000000" w:rsidRPr="00000000" w14:paraId="00000504">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0" w:val="nil"/>
              <w:right w:color="000000" w:space="0" w:sz="0" w:val="nil"/>
            </w:tcBorders>
            <w:shd w:fill="e2efda" w:val="clear"/>
            <w:vAlign w:val="center"/>
          </w:tcPr>
          <w:p w:rsidR="00000000" w:rsidDel="00000000" w:rsidP="00000000" w:rsidRDefault="00000000" w:rsidRPr="00000000" w14:paraId="00000505">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0" w:val="nil"/>
              <w:right w:color="000000" w:space="0" w:sz="0" w:val="nil"/>
            </w:tcBorders>
            <w:shd w:fill="ddebf7" w:val="clear"/>
            <w:vAlign w:val="center"/>
          </w:tcPr>
          <w:p w:rsidR="00000000" w:rsidDel="00000000" w:rsidP="00000000" w:rsidRDefault="00000000" w:rsidRPr="00000000" w14:paraId="00000506">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0" w:val="nil"/>
              <w:right w:color="000000" w:space="0" w:sz="0" w:val="nil"/>
            </w:tcBorders>
            <w:shd w:fill="ddebf7" w:val="clear"/>
            <w:vAlign w:val="center"/>
          </w:tcPr>
          <w:p w:rsidR="00000000" w:rsidDel="00000000" w:rsidP="00000000" w:rsidRDefault="00000000" w:rsidRPr="00000000" w14:paraId="00000507">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0" w:val="nil"/>
              <w:right w:color="000000" w:space="0" w:sz="0" w:val="nil"/>
            </w:tcBorders>
            <w:shd w:fill="ffe5e5" w:val="clear"/>
            <w:vAlign w:val="center"/>
          </w:tcPr>
          <w:p w:rsidR="00000000" w:rsidDel="00000000" w:rsidP="00000000" w:rsidRDefault="00000000" w:rsidRPr="00000000" w14:paraId="00000508">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0" w:val="nil"/>
              <w:right w:color="000000" w:space="0" w:sz="0" w:val="nil"/>
            </w:tcBorders>
            <w:shd w:fill="ffe5e5" w:val="clear"/>
            <w:vAlign w:val="center"/>
          </w:tcPr>
          <w:p w:rsidR="00000000" w:rsidDel="00000000" w:rsidP="00000000" w:rsidRDefault="00000000" w:rsidRPr="00000000" w14:paraId="00000509">
            <w:pPr>
              <w:spacing w:after="0" w:line="240" w:lineRule="auto"/>
              <w:jc w:val="right"/>
              <w:rPr>
                <w:sz w:val="20"/>
                <w:szCs w:val="20"/>
              </w:rPr>
            </w:pPr>
            <w:r w:rsidDel="00000000" w:rsidR="00000000" w:rsidRPr="00000000">
              <w:rPr>
                <w:sz w:val="20"/>
                <w:szCs w:val="20"/>
                <w:rtl w:val="0"/>
              </w:rPr>
              <w:t xml:space="preserve"> </w:t>
            </w:r>
          </w:p>
        </w:tc>
      </w:tr>
      <w:tr>
        <w:trPr>
          <w:cantSplit w:val="0"/>
          <w:trHeight w:val="315" w:hRule="atLeast"/>
          <w:tblHeader w:val="0"/>
        </w:trPr>
        <w:tc>
          <w:tcPr>
            <w:tcBorders>
              <w:top w:color="000000" w:space="0" w:sz="0" w:val="nil"/>
              <w:left w:color="000000" w:space="0" w:sz="0" w:val="nil"/>
              <w:bottom w:color="305496" w:space="0" w:sz="4" w:val="single"/>
              <w:right w:color="000000" w:space="0" w:sz="0" w:val="nil"/>
            </w:tcBorders>
            <w:shd w:fill="auto" w:val="clear"/>
            <w:vAlign w:val="center"/>
          </w:tcPr>
          <w:p w:rsidR="00000000" w:rsidDel="00000000" w:rsidP="00000000" w:rsidRDefault="00000000" w:rsidRPr="00000000" w14:paraId="0000050A">
            <w:pPr>
              <w:spacing w:after="0" w:line="240" w:lineRule="auto"/>
              <w:rPr>
                <w:sz w:val="20"/>
                <w:szCs w:val="20"/>
              </w:rPr>
            </w:pPr>
            <w:r w:rsidDel="00000000" w:rsidR="00000000" w:rsidRPr="00000000">
              <w:rPr>
                <w:sz w:val="20"/>
                <w:szCs w:val="20"/>
                <w:rtl w:val="0"/>
              </w:rPr>
              <w:t xml:space="preserve">Worth Matravers</w:t>
            </w:r>
          </w:p>
        </w:tc>
        <w:tc>
          <w:tcPr>
            <w:tcBorders>
              <w:top w:color="000000" w:space="0" w:sz="0" w:val="nil"/>
              <w:left w:color="000000" w:space="0" w:sz="0" w:val="nil"/>
              <w:bottom w:color="305496" w:space="0" w:sz="4" w:val="single"/>
              <w:right w:color="000000" w:space="0" w:sz="0" w:val="nil"/>
            </w:tcBorders>
            <w:shd w:fill="auto" w:val="clear"/>
            <w:vAlign w:val="center"/>
          </w:tcPr>
          <w:p w:rsidR="00000000" w:rsidDel="00000000" w:rsidP="00000000" w:rsidRDefault="00000000" w:rsidRPr="00000000" w14:paraId="0000050B">
            <w:pPr>
              <w:spacing w:after="0" w:line="240" w:lineRule="auto"/>
              <w:jc w:val="right"/>
              <w:rPr>
                <w:sz w:val="20"/>
                <w:szCs w:val="20"/>
              </w:rPr>
            </w:pPr>
            <w:r w:rsidDel="00000000" w:rsidR="00000000" w:rsidRPr="00000000">
              <w:rPr>
                <w:sz w:val="20"/>
                <w:szCs w:val="20"/>
                <w:rtl w:val="0"/>
              </w:rPr>
              <w:t xml:space="preserve">17</w:t>
            </w:r>
          </w:p>
        </w:tc>
        <w:tc>
          <w:tcPr>
            <w:tcBorders>
              <w:top w:color="000000" w:space="0" w:sz="0" w:val="nil"/>
              <w:left w:color="000000" w:space="0" w:sz="0" w:val="nil"/>
              <w:bottom w:color="305496" w:space="0" w:sz="4" w:val="single"/>
              <w:right w:color="000000" w:space="0" w:sz="0" w:val="nil"/>
            </w:tcBorders>
            <w:shd w:fill="e2efda" w:val="clear"/>
            <w:vAlign w:val="center"/>
          </w:tcPr>
          <w:p w:rsidR="00000000" w:rsidDel="00000000" w:rsidP="00000000" w:rsidRDefault="00000000" w:rsidRPr="00000000" w14:paraId="0000050C">
            <w:pPr>
              <w:spacing w:after="0" w:line="240" w:lineRule="auto"/>
              <w:jc w:val="right"/>
              <w:rPr>
                <w:sz w:val="20"/>
                <w:szCs w:val="20"/>
              </w:rPr>
            </w:pPr>
            <w:r w:rsidDel="00000000" w:rsidR="00000000" w:rsidRPr="00000000">
              <w:rPr>
                <w:sz w:val="20"/>
                <w:szCs w:val="20"/>
                <w:rtl w:val="0"/>
              </w:rPr>
              <w:t xml:space="preserve">2</w:t>
            </w:r>
          </w:p>
        </w:tc>
        <w:tc>
          <w:tcPr>
            <w:tcBorders>
              <w:top w:color="000000" w:space="0" w:sz="0" w:val="nil"/>
              <w:left w:color="000000" w:space="0" w:sz="0" w:val="nil"/>
              <w:bottom w:color="305496" w:space="0" w:sz="4" w:val="single"/>
              <w:right w:color="000000" w:space="0" w:sz="0" w:val="nil"/>
            </w:tcBorders>
            <w:shd w:fill="e2efda" w:val="clear"/>
            <w:vAlign w:val="center"/>
          </w:tcPr>
          <w:p w:rsidR="00000000" w:rsidDel="00000000" w:rsidP="00000000" w:rsidRDefault="00000000" w:rsidRPr="00000000" w14:paraId="0000050D">
            <w:pPr>
              <w:spacing w:after="0" w:line="240" w:lineRule="auto"/>
              <w:jc w:val="right"/>
              <w:rPr>
                <w:sz w:val="20"/>
                <w:szCs w:val="20"/>
              </w:rPr>
            </w:pPr>
            <w:r w:rsidDel="00000000" w:rsidR="00000000" w:rsidRPr="00000000">
              <w:rPr>
                <w:sz w:val="20"/>
                <w:szCs w:val="20"/>
                <w:rtl w:val="0"/>
              </w:rPr>
              <w:t xml:space="preserve">12</w:t>
            </w:r>
          </w:p>
        </w:tc>
        <w:tc>
          <w:tcPr>
            <w:tcBorders>
              <w:top w:color="000000" w:space="0" w:sz="0" w:val="nil"/>
              <w:left w:color="000000" w:space="0" w:sz="0" w:val="nil"/>
              <w:bottom w:color="305496" w:space="0" w:sz="4" w:val="single"/>
              <w:right w:color="000000" w:space="0" w:sz="0" w:val="nil"/>
            </w:tcBorders>
            <w:shd w:fill="ddebf7" w:val="clear"/>
            <w:vAlign w:val="center"/>
          </w:tcPr>
          <w:p w:rsidR="00000000" w:rsidDel="00000000" w:rsidP="00000000" w:rsidRDefault="00000000" w:rsidRPr="00000000" w14:paraId="0000050E">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305496" w:space="0" w:sz="4" w:val="single"/>
              <w:right w:color="000000" w:space="0" w:sz="0" w:val="nil"/>
            </w:tcBorders>
            <w:shd w:fill="ddebf7" w:val="clear"/>
            <w:vAlign w:val="center"/>
          </w:tcPr>
          <w:p w:rsidR="00000000" w:rsidDel="00000000" w:rsidP="00000000" w:rsidRDefault="00000000" w:rsidRPr="00000000" w14:paraId="0000050F">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305496" w:space="0" w:sz="4" w:val="single"/>
              <w:right w:color="000000" w:space="0" w:sz="0" w:val="nil"/>
            </w:tcBorders>
            <w:shd w:fill="ffe5e5" w:val="clear"/>
            <w:vAlign w:val="center"/>
          </w:tcPr>
          <w:p w:rsidR="00000000" w:rsidDel="00000000" w:rsidP="00000000" w:rsidRDefault="00000000" w:rsidRPr="00000000" w14:paraId="00000510">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305496" w:space="0" w:sz="4" w:val="single"/>
              <w:right w:color="000000" w:space="0" w:sz="0" w:val="nil"/>
            </w:tcBorders>
            <w:shd w:fill="ffe5e5" w:val="clear"/>
            <w:vAlign w:val="center"/>
          </w:tcPr>
          <w:p w:rsidR="00000000" w:rsidDel="00000000" w:rsidP="00000000" w:rsidRDefault="00000000" w:rsidRPr="00000000" w14:paraId="00000511">
            <w:pPr>
              <w:spacing w:after="0" w:line="240" w:lineRule="auto"/>
              <w:jc w:val="right"/>
              <w:rPr>
                <w:sz w:val="20"/>
                <w:szCs w:val="20"/>
              </w:rPr>
            </w:pPr>
            <w:r w:rsidDel="00000000" w:rsidR="00000000" w:rsidRPr="00000000">
              <w:rPr>
                <w:sz w:val="20"/>
                <w:szCs w:val="20"/>
                <w:rtl w:val="0"/>
              </w:rPr>
              <w:t xml:space="preserve"> </w:t>
            </w:r>
          </w:p>
        </w:tc>
      </w:tr>
      <w:tr>
        <w:trPr>
          <w:cantSplit w:val="0"/>
          <w:trHeight w:val="315" w:hRule="atLeast"/>
          <w:tblHeader w:val="0"/>
        </w:trPr>
        <w:tc>
          <w:tcPr>
            <w:tcBorders>
              <w:top w:color="000000" w:space="0" w:sz="0" w:val="nil"/>
              <w:left w:color="000000" w:space="0" w:sz="0" w:val="nil"/>
              <w:bottom w:color="8ea9db" w:space="0" w:sz="4" w:val="single"/>
              <w:right w:color="000000" w:space="0" w:sz="0" w:val="nil"/>
            </w:tcBorders>
            <w:shd w:fill="auto" w:val="clear"/>
            <w:vAlign w:val="center"/>
          </w:tcPr>
          <w:p w:rsidR="00000000" w:rsidDel="00000000" w:rsidP="00000000" w:rsidRDefault="00000000" w:rsidRPr="00000000" w14:paraId="00000512">
            <w:pPr>
              <w:spacing w:after="0" w:line="240" w:lineRule="auto"/>
              <w:jc w:val="center"/>
              <w:rPr>
                <w:b w:val="1"/>
                <w:sz w:val="20"/>
                <w:szCs w:val="20"/>
              </w:rPr>
            </w:pPr>
            <w:r w:rsidDel="00000000" w:rsidR="00000000" w:rsidRPr="00000000">
              <w:rPr>
                <w:b w:val="1"/>
                <w:sz w:val="20"/>
                <w:szCs w:val="20"/>
                <w:rtl w:val="0"/>
              </w:rPr>
              <w:t xml:space="preserve">Viking_Britain/Ireland</w:t>
            </w:r>
          </w:p>
        </w:tc>
        <w:tc>
          <w:tcPr>
            <w:tcBorders>
              <w:top w:color="000000" w:space="0" w:sz="0" w:val="nil"/>
              <w:left w:color="000000" w:space="0" w:sz="0" w:val="nil"/>
              <w:bottom w:color="8ea9db" w:space="0" w:sz="4" w:val="single"/>
              <w:right w:color="000000" w:space="0" w:sz="0" w:val="nil"/>
            </w:tcBorders>
            <w:shd w:fill="auto" w:val="clear"/>
            <w:vAlign w:val="center"/>
          </w:tcPr>
          <w:p w:rsidR="00000000" w:rsidDel="00000000" w:rsidP="00000000" w:rsidRDefault="00000000" w:rsidRPr="00000000" w14:paraId="00000513">
            <w:pPr>
              <w:spacing w:after="0" w:line="240" w:lineRule="auto"/>
              <w:jc w:val="right"/>
              <w:rPr>
                <w:b w:val="1"/>
                <w:sz w:val="20"/>
                <w:szCs w:val="20"/>
              </w:rPr>
            </w:pPr>
            <w:r w:rsidDel="00000000" w:rsidR="00000000" w:rsidRPr="00000000">
              <w:rPr>
                <w:b w:val="1"/>
                <w:sz w:val="20"/>
                <w:szCs w:val="20"/>
                <w:rtl w:val="0"/>
              </w:rPr>
              <w:t xml:space="preserve">45</w:t>
            </w:r>
          </w:p>
        </w:tc>
        <w:tc>
          <w:tcPr>
            <w:tcBorders>
              <w:top w:color="000000" w:space="0" w:sz="0" w:val="nil"/>
              <w:left w:color="000000" w:space="0" w:sz="0" w:val="nil"/>
              <w:bottom w:color="8ea9db" w:space="0" w:sz="4" w:val="single"/>
              <w:right w:color="000000" w:space="0" w:sz="0" w:val="nil"/>
            </w:tcBorders>
            <w:shd w:fill="a9d08e" w:val="clear"/>
            <w:vAlign w:val="center"/>
          </w:tcPr>
          <w:p w:rsidR="00000000" w:rsidDel="00000000" w:rsidP="00000000" w:rsidRDefault="00000000" w:rsidRPr="00000000" w14:paraId="00000514">
            <w:pPr>
              <w:spacing w:after="0" w:line="240" w:lineRule="auto"/>
              <w:jc w:val="right"/>
              <w:rPr>
                <w:b w:val="1"/>
                <w:sz w:val="20"/>
                <w:szCs w:val="20"/>
              </w:rPr>
            </w:pPr>
            <w:r w:rsidDel="00000000" w:rsidR="00000000" w:rsidRPr="00000000">
              <w:rPr>
                <w:b w:val="1"/>
                <w:sz w:val="20"/>
                <w:szCs w:val="20"/>
                <w:rtl w:val="0"/>
              </w:rPr>
              <w:t xml:space="preserve">6</w:t>
            </w:r>
          </w:p>
        </w:tc>
        <w:tc>
          <w:tcPr>
            <w:tcBorders>
              <w:top w:color="000000" w:space="0" w:sz="0" w:val="nil"/>
              <w:left w:color="000000" w:space="0" w:sz="0" w:val="nil"/>
              <w:bottom w:color="8ea9db" w:space="0" w:sz="4" w:val="single"/>
              <w:right w:color="000000" w:space="0" w:sz="0" w:val="nil"/>
            </w:tcBorders>
            <w:shd w:fill="a9d08e" w:val="clear"/>
            <w:vAlign w:val="center"/>
          </w:tcPr>
          <w:p w:rsidR="00000000" w:rsidDel="00000000" w:rsidP="00000000" w:rsidRDefault="00000000" w:rsidRPr="00000000" w14:paraId="00000515">
            <w:pPr>
              <w:spacing w:after="0" w:line="240" w:lineRule="auto"/>
              <w:jc w:val="right"/>
              <w:rPr>
                <w:b w:val="1"/>
                <w:sz w:val="20"/>
                <w:szCs w:val="20"/>
              </w:rPr>
            </w:pPr>
            <w:r w:rsidDel="00000000" w:rsidR="00000000" w:rsidRPr="00000000">
              <w:rPr>
                <w:b w:val="1"/>
                <w:sz w:val="20"/>
                <w:szCs w:val="20"/>
                <w:rtl w:val="0"/>
              </w:rPr>
              <w:t xml:space="preserve">13</w:t>
            </w:r>
          </w:p>
        </w:tc>
        <w:tc>
          <w:tcPr>
            <w:tcBorders>
              <w:top w:color="000000" w:space="0" w:sz="0" w:val="nil"/>
              <w:left w:color="000000" w:space="0" w:sz="0" w:val="nil"/>
              <w:bottom w:color="8ea9db" w:space="0" w:sz="4" w:val="single"/>
              <w:right w:color="000000" w:space="0" w:sz="0" w:val="nil"/>
            </w:tcBorders>
            <w:shd w:fill="9bc2e6" w:val="clear"/>
            <w:vAlign w:val="center"/>
          </w:tcPr>
          <w:p w:rsidR="00000000" w:rsidDel="00000000" w:rsidP="00000000" w:rsidRDefault="00000000" w:rsidRPr="00000000" w14:paraId="00000516">
            <w:pPr>
              <w:spacing w:after="0" w:line="240" w:lineRule="auto"/>
              <w:jc w:val="right"/>
              <w:rPr>
                <w:b w:val="1"/>
                <w:sz w:val="20"/>
                <w:szCs w:val="20"/>
              </w:rPr>
            </w:pPr>
            <w:r w:rsidDel="00000000" w:rsidR="00000000" w:rsidRPr="00000000">
              <w:rPr>
                <w:b w:val="1"/>
                <w:sz w:val="20"/>
                <w:szCs w:val="20"/>
                <w:rtl w:val="0"/>
              </w:rPr>
              <w:t xml:space="preserve"> </w:t>
            </w:r>
          </w:p>
        </w:tc>
        <w:tc>
          <w:tcPr>
            <w:tcBorders>
              <w:top w:color="000000" w:space="0" w:sz="0" w:val="nil"/>
              <w:left w:color="000000" w:space="0" w:sz="0" w:val="nil"/>
              <w:bottom w:color="8ea9db" w:space="0" w:sz="4" w:val="single"/>
              <w:right w:color="000000" w:space="0" w:sz="0" w:val="nil"/>
            </w:tcBorders>
            <w:shd w:fill="9bc2e6" w:val="clear"/>
            <w:vAlign w:val="center"/>
          </w:tcPr>
          <w:p w:rsidR="00000000" w:rsidDel="00000000" w:rsidP="00000000" w:rsidRDefault="00000000" w:rsidRPr="00000000" w14:paraId="00000517">
            <w:pPr>
              <w:spacing w:after="0" w:line="240" w:lineRule="auto"/>
              <w:jc w:val="right"/>
              <w:rPr>
                <w:b w:val="1"/>
                <w:sz w:val="20"/>
                <w:szCs w:val="20"/>
              </w:rPr>
            </w:pPr>
            <w:r w:rsidDel="00000000" w:rsidR="00000000" w:rsidRPr="00000000">
              <w:rPr>
                <w:b w:val="1"/>
                <w:sz w:val="20"/>
                <w:szCs w:val="20"/>
                <w:rtl w:val="0"/>
              </w:rPr>
              <w:t xml:space="preserve"> </w:t>
            </w:r>
          </w:p>
        </w:tc>
        <w:tc>
          <w:tcPr>
            <w:tcBorders>
              <w:top w:color="000000" w:space="0" w:sz="0" w:val="nil"/>
              <w:left w:color="000000" w:space="0" w:sz="0" w:val="nil"/>
              <w:bottom w:color="8ea9db" w:space="0" w:sz="4" w:val="single"/>
              <w:right w:color="000000" w:space="0" w:sz="0" w:val="nil"/>
            </w:tcBorders>
            <w:shd w:fill="ff99cc" w:val="clear"/>
            <w:vAlign w:val="center"/>
          </w:tcPr>
          <w:p w:rsidR="00000000" w:rsidDel="00000000" w:rsidP="00000000" w:rsidRDefault="00000000" w:rsidRPr="00000000" w14:paraId="00000518">
            <w:pPr>
              <w:spacing w:after="0" w:line="240" w:lineRule="auto"/>
              <w:jc w:val="right"/>
              <w:rPr>
                <w:b w:val="1"/>
                <w:sz w:val="20"/>
                <w:szCs w:val="20"/>
              </w:rPr>
            </w:pPr>
            <w:r w:rsidDel="00000000" w:rsidR="00000000" w:rsidRPr="00000000">
              <w:rPr>
                <w:b w:val="1"/>
                <w:sz w:val="20"/>
                <w:szCs w:val="20"/>
                <w:rtl w:val="0"/>
              </w:rPr>
              <w:t xml:space="preserve"> </w:t>
            </w:r>
          </w:p>
        </w:tc>
        <w:tc>
          <w:tcPr>
            <w:tcBorders>
              <w:top w:color="000000" w:space="0" w:sz="0" w:val="nil"/>
              <w:left w:color="000000" w:space="0" w:sz="0" w:val="nil"/>
              <w:bottom w:color="8ea9db" w:space="0" w:sz="4" w:val="single"/>
              <w:right w:color="000000" w:space="0" w:sz="0" w:val="nil"/>
            </w:tcBorders>
            <w:shd w:fill="ff99cc" w:val="clear"/>
            <w:vAlign w:val="center"/>
          </w:tcPr>
          <w:p w:rsidR="00000000" w:rsidDel="00000000" w:rsidP="00000000" w:rsidRDefault="00000000" w:rsidRPr="00000000" w14:paraId="00000519">
            <w:pPr>
              <w:spacing w:after="0" w:line="240" w:lineRule="auto"/>
              <w:jc w:val="right"/>
              <w:rPr>
                <w:b w:val="1"/>
                <w:sz w:val="20"/>
                <w:szCs w:val="20"/>
              </w:rPr>
            </w:pPr>
            <w:r w:rsidDel="00000000" w:rsidR="00000000" w:rsidRPr="00000000">
              <w:rPr>
                <w:b w:val="1"/>
                <w:sz w:val="20"/>
                <w:szCs w:val="20"/>
                <w:rtl w:val="0"/>
              </w:rPr>
              <w:t xml:space="preserve"> </w:t>
            </w:r>
          </w:p>
        </w:tc>
      </w:tr>
      <w:tr>
        <w:trPr>
          <w:cantSplit w:val="0"/>
          <w:trHeight w:val="315" w:hRule="atLeast"/>
          <w:tblHeader w:val="0"/>
        </w:trPr>
        <w:tc>
          <w:tcPr>
            <w:tcBorders>
              <w:top w:color="000000" w:space="0" w:sz="0" w:val="nil"/>
              <w:left w:color="000000" w:space="0" w:sz="0" w:val="nil"/>
              <w:bottom w:color="8ea9db" w:space="0" w:sz="4" w:val="single"/>
              <w:right w:color="000000" w:space="0" w:sz="0" w:val="nil"/>
            </w:tcBorders>
            <w:shd w:fill="f2f2f2" w:val="clear"/>
            <w:vAlign w:val="center"/>
          </w:tcPr>
          <w:p w:rsidR="00000000" w:rsidDel="00000000" w:rsidP="00000000" w:rsidRDefault="00000000" w:rsidRPr="00000000" w14:paraId="0000051A">
            <w:pPr>
              <w:spacing w:after="0" w:line="240" w:lineRule="auto"/>
              <w:rPr>
                <w:b w:val="1"/>
                <w:sz w:val="20"/>
                <w:szCs w:val="20"/>
              </w:rPr>
            </w:pPr>
            <w:r w:rsidDel="00000000" w:rsidR="00000000" w:rsidRPr="00000000">
              <w:rPr>
                <w:b w:val="1"/>
                <w:sz w:val="20"/>
                <w:szCs w:val="20"/>
                <w:rtl w:val="0"/>
              </w:rPr>
              <w:t xml:space="preserve">England</w:t>
            </w:r>
          </w:p>
        </w:tc>
        <w:tc>
          <w:tcPr>
            <w:tcBorders>
              <w:top w:color="000000" w:space="0" w:sz="0" w:val="nil"/>
              <w:left w:color="000000" w:space="0" w:sz="0" w:val="nil"/>
              <w:bottom w:color="8ea9db" w:space="0" w:sz="4" w:val="single"/>
              <w:right w:color="000000" w:space="0" w:sz="0" w:val="nil"/>
            </w:tcBorders>
            <w:shd w:fill="f2f2f2" w:val="clear"/>
            <w:vAlign w:val="center"/>
          </w:tcPr>
          <w:p w:rsidR="00000000" w:rsidDel="00000000" w:rsidP="00000000" w:rsidRDefault="00000000" w:rsidRPr="00000000" w14:paraId="0000051B">
            <w:pPr>
              <w:spacing w:after="0" w:line="240" w:lineRule="auto"/>
              <w:jc w:val="right"/>
              <w:rPr>
                <w:b w:val="1"/>
                <w:sz w:val="20"/>
                <w:szCs w:val="20"/>
              </w:rPr>
            </w:pPr>
            <w:r w:rsidDel="00000000" w:rsidR="00000000" w:rsidRPr="00000000">
              <w:rPr>
                <w:b w:val="1"/>
                <w:sz w:val="20"/>
                <w:szCs w:val="20"/>
                <w:rtl w:val="0"/>
              </w:rPr>
              <w:t xml:space="preserve">32</w:t>
            </w:r>
          </w:p>
        </w:tc>
        <w:tc>
          <w:tcPr>
            <w:tcBorders>
              <w:top w:color="000000" w:space="0" w:sz="0" w:val="nil"/>
              <w:left w:color="000000" w:space="0" w:sz="0" w:val="nil"/>
              <w:bottom w:color="8ea9db" w:space="0" w:sz="4" w:val="single"/>
              <w:right w:color="000000" w:space="0" w:sz="0" w:val="nil"/>
            </w:tcBorders>
            <w:shd w:fill="f2f2f2" w:val="clear"/>
            <w:vAlign w:val="center"/>
          </w:tcPr>
          <w:p w:rsidR="00000000" w:rsidDel="00000000" w:rsidP="00000000" w:rsidRDefault="00000000" w:rsidRPr="00000000" w14:paraId="0000051C">
            <w:pPr>
              <w:spacing w:after="0" w:line="240" w:lineRule="auto"/>
              <w:jc w:val="right"/>
              <w:rPr>
                <w:b w:val="1"/>
                <w:sz w:val="20"/>
                <w:szCs w:val="20"/>
              </w:rPr>
            </w:pPr>
            <w:r w:rsidDel="00000000" w:rsidR="00000000" w:rsidRPr="00000000">
              <w:rPr>
                <w:b w:val="1"/>
                <w:sz w:val="20"/>
                <w:szCs w:val="20"/>
                <w:rtl w:val="0"/>
              </w:rPr>
              <w:t xml:space="preserve">5</w:t>
            </w:r>
          </w:p>
        </w:tc>
        <w:tc>
          <w:tcPr>
            <w:tcBorders>
              <w:top w:color="000000" w:space="0" w:sz="0" w:val="nil"/>
              <w:left w:color="000000" w:space="0" w:sz="0" w:val="nil"/>
              <w:bottom w:color="8ea9db" w:space="0" w:sz="4" w:val="single"/>
              <w:right w:color="000000" w:space="0" w:sz="0" w:val="nil"/>
            </w:tcBorders>
            <w:shd w:fill="f2f2f2" w:val="clear"/>
            <w:vAlign w:val="center"/>
          </w:tcPr>
          <w:p w:rsidR="00000000" w:rsidDel="00000000" w:rsidP="00000000" w:rsidRDefault="00000000" w:rsidRPr="00000000" w14:paraId="0000051D">
            <w:pPr>
              <w:spacing w:after="0" w:line="240" w:lineRule="auto"/>
              <w:jc w:val="right"/>
              <w:rPr>
                <w:b w:val="1"/>
                <w:sz w:val="20"/>
                <w:szCs w:val="20"/>
              </w:rPr>
            </w:pPr>
            <w:r w:rsidDel="00000000" w:rsidR="00000000" w:rsidRPr="00000000">
              <w:rPr>
                <w:b w:val="1"/>
                <w:sz w:val="20"/>
                <w:szCs w:val="20"/>
                <w:rtl w:val="0"/>
              </w:rPr>
              <w:t xml:space="preserve">16</w:t>
            </w:r>
          </w:p>
        </w:tc>
        <w:tc>
          <w:tcPr>
            <w:tcBorders>
              <w:top w:color="000000" w:space="0" w:sz="0" w:val="nil"/>
              <w:left w:color="000000" w:space="0" w:sz="0" w:val="nil"/>
              <w:bottom w:color="8ea9db" w:space="0" w:sz="4" w:val="single"/>
              <w:right w:color="000000" w:space="0" w:sz="0" w:val="nil"/>
            </w:tcBorders>
            <w:shd w:fill="f2f2f2" w:val="clear"/>
            <w:vAlign w:val="center"/>
          </w:tcPr>
          <w:p w:rsidR="00000000" w:rsidDel="00000000" w:rsidP="00000000" w:rsidRDefault="00000000" w:rsidRPr="00000000" w14:paraId="0000051E">
            <w:pPr>
              <w:spacing w:after="0" w:line="240" w:lineRule="auto"/>
              <w:jc w:val="right"/>
              <w:rPr>
                <w:b w:val="1"/>
                <w:sz w:val="20"/>
                <w:szCs w:val="20"/>
              </w:rPr>
            </w:pPr>
            <w:r w:rsidDel="00000000" w:rsidR="00000000" w:rsidRPr="00000000">
              <w:rPr>
                <w:b w:val="1"/>
                <w:sz w:val="20"/>
                <w:szCs w:val="20"/>
                <w:rtl w:val="0"/>
              </w:rPr>
              <w:t xml:space="preserve"> </w:t>
            </w:r>
          </w:p>
        </w:tc>
        <w:tc>
          <w:tcPr>
            <w:tcBorders>
              <w:top w:color="000000" w:space="0" w:sz="0" w:val="nil"/>
              <w:left w:color="000000" w:space="0" w:sz="0" w:val="nil"/>
              <w:bottom w:color="8ea9db" w:space="0" w:sz="4" w:val="single"/>
              <w:right w:color="000000" w:space="0" w:sz="0" w:val="nil"/>
            </w:tcBorders>
            <w:shd w:fill="f2f2f2" w:val="clear"/>
            <w:vAlign w:val="center"/>
          </w:tcPr>
          <w:p w:rsidR="00000000" w:rsidDel="00000000" w:rsidP="00000000" w:rsidRDefault="00000000" w:rsidRPr="00000000" w14:paraId="0000051F">
            <w:pPr>
              <w:spacing w:after="0" w:line="240" w:lineRule="auto"/>
              <w:jc w:val="right"/>
              <w:rPr>
                <w:b w:val="1"/>
                <w:sz w:val="20"/>
                <w:szCs w:val="20"/>
              </w:rPr>
            </w:pPr>
            <w:r w:rsidDel="00000000" w:rsidR="00000000" w:rsidRPr="00000000">
              <w:rPr>
                <w:b w:val="1"/>
                <w:sz w:val="20"/>
                <w:szCs w:val="20"/>
                <w:rtl w:val="0"/>
              </w:rPr>
              <w:t xml:space="preserve"> </w:t>
            </w:r>
          </w:p>
        </w:tc>
        <w:tc>
          <w:tcPr>
            <w:tcBorders>
              <w:top w:color="000000" w:space="0" w:sz="0" w:val="nil"/>
              <w:left w:color="000000" w:space="0" w:sz="0" w:val="nil"/>
              <w:bottom w:color="8ea9db" w:space="0" w:sz="4" w:val="single"/>
              <w:right w:color="000000" w:space="0" w:sz="0" w:val="nil"/>
            </w:tcBorders>
            <w:shd w:fill="f2f2f2" w:val="clear"/>
            <w:vAlign w:val="center"/>
          </w:tcPr>
          <w:p w:rsidR="00000000" w:rsidDel="00000000" w:rsidP="00000000" w:rsidRDefault="00000000" w:rsidRPr="00000000" w14:paraId="00000520">
            <w:pPr>
              <w:spacing w:after="0" w:line="240" w:lineRule="auto"/>
              <w:jc w:val="right"/>
              <w:rPr>
                <w:b w:val="1"/>
                <w:sz w:val="20"/>
                <w:szCs w:val="20"/>
              </w:rPr>
            </w:pPr>
            <w:r w:rsidDel="00000000" w:rsidR="00000000" w:rsidRPr="00000000">
              <w:rPr>
                <w:b w:val="1"/>
                <w:sz w:val="20"/>
                <w:szCs w:val="20"/>
                <w:rtl w:val="0"/>
              </w:rPr>
              <w:t xml:space="preserve"> </w:t>
            </w:r>
          </w:p>
        </w:tc>
        <w:tc>
          <w:tcPr>
            <w:tcBorders>
              <w:top w:color="000000" w:space="0" w:sz="0" w:val="nil"/>
              <w:left w:color="000000" w:space="0" w:sz="0" w:val="nil"/>
              <w:bottom w:color="8ea9db" w:space="0" w:sz="4" w:val="single"/>
              <w:right w:color="000000" w:space="0" w:sz="0" w:val="nil"/>
            </w:tcBorders>
            <w:shd w:fill="f2f2f2" w:val="clear"/>
            <w:vAlign w:val="center"/>
          </w:tcPr>
          <w:p w:rsidR="00000000" w:rsidDel="00000000" w:rsidP="00000000" w:rsidRDefault="00000000" w:rsidRPr="00000000" w14:paraId="00000521">
            <w:pPr>
              <w:spacing w:after="0" w:line="240" w:lineRule="auto"/>
              <w:jc w:val="right"/>
              <w:rPr>
                <w:b w:val="1"/>
                <w:sz w:val="20"/>
                <w:szCs w:val="20"/>
              </w:rPr>
            </w:pPr>
            <w:r w:rsidDel="00000000" w:rsidR="00000000" w:rsidRPr="00000000">
              <w:rPr>
                <w:b w:val="1"/>
                <w:sz w:val="20"/>
                <w:szCs w:val="20"/>
                <w:rtl w:val="0"/>
              </w:rPr>
              <w:t xml:space="preserve"> </w:t>
            </w:r>
          </w:p>
        </w:tc>
      </w:tr>
      <w:tr>
        <w:trPr>
          <w:cantSplit w:val="0"/>
          <w:trHeight w:val="315" w:hRule="atLeast"/>
          <w:tblHeader w:val="0"/>
        </w:trPr>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522">
            <w:pPr>
              <w:spacing w:after="0" w:line="240" w:lineRule="auto"/>
              <w:rPr>
                <w:b w:val="1"/>
                <w:sz w:val="20"/>
                <w:szCs w:val="20"/>
              </w:rPr>
            </w:pPr>
            <w:r w:rsidDel="00000000" w:rsidR="00000000" w:rsidRPr="00000000">
              <w:rPr>
                <w:b w:val="1"/>
                <w:sz w:val="20"/>
                <w:szCs w:val="20"/>
                <w:rtl w:val="0"/>
              </w:rPr>
              <w:t xml:space="preserve">England Southeast</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523">
            <w:pPr>
              <w:spacing w:after="0" w:line="240" w:lineRule="auto"/>
              <w:jc w:val="right"/>
              <w:rPr>
                <w:b w:val="1"/>
                <w:sz w:val="20"/>
                <w:szCs w:val="20"/>
              </w:rPr>
            </w:pPr>
            <w:r w:rsidDel="00000000" w:rsidR="00000000" w:rsidRPr="00000000">
              <w:rPr>
                <w:b w:val="1"/>
                <w:sz w:val="20"/>
                <w:szCs w:val="20"/>
                <w:rtl w:val="0"/>
              </w:rPr>
              <w:t xml:space="preserve">22</w:t>
            </w:r>
          </w:p>
        </w:tc>
        <w:tc>
          <w:tcPr>
            <w:tcBorders>
              <w:top w:color="000000" w:space="0" w:sz="0" w:val="nil"/>
              <w:left w:color="000000" w:space="0" w:sz="0" w:val="nil"/>
              <w:bottom w:color="000000" w:space="0" w:sz="4" w:val="single"/>
              <w:right w:color="000000" w:space="0" w:sz="0" w:val="nil"/>
            </w:tcBorders>
            <w:shd w:fill="e2efda" w:val="clear"/>
            <w:vAlign w:val="center"/>
          </w:tcPr>
          <w:p w:rsidR="00000000" w:rsidDel="00000000" w:rsidP="00000000" w:rsidRDefault="00000000" w:rsidRPr="00000000" w14:paraId="00000524">
            <w:pPr>
              <w:spacing w:after="0" w:line="240" w:lineRule="auto"/>
              <w:jc w:val="right"/>
              <w:rPr>
                <w:b w:val="1"/>
                <w:sz w:val="20"/>
                <w:szCs w:val="20"/>
              </w:rPr>
            </w:pPr>
            <w:r w:rsidDel="00000000" w:rsidR="00000000" w:rsidRPr="00000000">
              <w:rPr>
                <w:b w:val="1"/>
                <w:sz w:val="20"/>
                <w:szCs w:val="20"/>
                <w:rtl w:val="0"/>
              </w:rPr>
              <w:t xml:space="preserve">2</w:t>
            </w:r>
          </w:p>
        </w:tc>
        <w:tc>
          <w:tcPr>
            <w:tcBorders>
              <w:top w:color="000000" w:space="0" w:sz="0" w:val="nil"/>
              <w:left w:color="000000" w:space="0" w:sz="0" w:val="nil"/>
              <w:bottom w:color="000000" w:space="0" w:sz="4" w:val="single"/>
              <w:right w:color="000000" w:space="0" w:sz="0" w:val="nil"/>
            </w:tcBorders>
            <w:shd w:fill="e2efda" w:val="clear"/>
            <w:vAlign w:val="center"/>
          </w:tcPr>
          <w:p w:rsidR="00000000" w:rsidDel="00000000" w:rsidP="00000000" w:rsidRDefault="00000000" w:rsidRPr="00000000" w14:paraId="00000525">
            <w:pPr>
              <w:spacing w:after="0" w:line="240" w:lineRule="auto"/>
              <w:jc w:val="right"/>
              <w:rPr>
                <w:b w:val="1"/>
                <w:sz w:val="20"/>
                <w:szCs w:val="20"/>
              </w:rPr>
            </w:pPr>
            <w:r w:rsidDel="00000000" w:rsidR="00000000" w:rsidRPr="00000000">
              <w:rPr>
                <w:b w:val="1"/>
                <w:sz w:val="20"/>
                <w:szCs w:val="20"/>
                <w:rtl w:val="0"/>
              </w:rPr>
              <w:t xml:space="preserve">9</w:t>
            </w:r>
          </w:p>
        </w:tc>
        <w:tc>
          <w:tcPr>
            <w:tcBorders>
              <w:top w:color="000000" w:space="0" w:sz="0" w:val="nil"/>
              <w:left w:color="000000" w:space="0" w:sz="0" w:val="nil"/>
              <w:bottom w:color="000000" w:space="0" w:sz="4" w:val="single"/>
              <w:right w:color="000000" w:space="0" w:sz="0" w:val="nil"/>
            </w:tcBorders>
            <w:shd w:fill="ddebf7" w:val="clear"/>
            <w:vAlign w:val="center"/>
          </w:tcPr>
          <w:p w:rsidR="00000000" w:rsidDel="00000000" w:rsidP="00000000" w:rsidRDefault="00000000" w:rsidRPr="00000000" w14:paraId="00000526">
            <w:pPr>
              <w:spacing w:after="0" w:line="240" w:lineRule="auto"/>
              <w:jc w:val="right"/>
              <w:rPr>
                <w:b w:val="1"/>
                <w:sz w:val="20"/>
                <w:szCs w:val="20"/>
              </w:rPr>
            </w:pPr>
            <w:r w:rsidDel="00000000" w:rsidR="00000000" w:rsidRPr="00000000">
              <w:rPr>
                <w:b w:val="1"/>
                <w:sz w:val="20"/>
                <w:szCs w:val="20"/>
                <w:rtl w:val="0"/>
              </w:rPr>
              <w:t xml:space="preserve"> </w:t>
            </w:r>
          </w:p>
        </w:tc>
        <w:tc>
          <w:tcPr>
            <w:tcBorders>
              <w:top w:color="000000" w:space="0" w:sz="0" w:val="nil"/>
              <w:left w:color="000000" w:space="0" w:sz="0" w:val="nil"/>
              <w:bottom w:color="000000" w:space="0" w:sz="4" w:val="single"/>
              <w:right w:color="000000" w:space="0" w:sz="0" w:val="nil"/>
            </w:tcBorders>
            <w:shd w:fill="ddebf7" w:val="clear"/>
            <w:vAlign w:val="center"/>
          </w:tcPr>
          <w:p w:rsidR="00000000" w:rsidDel="00000000" w:rsidP="00000000" w:rsidRDefault="00000000" w:rsidRPr="00000000" w14:paraId="00000527">
            <w:pPr>
              <w:spacing w:after="0" w:line="240" w:lineRule="auto"/>
              <w:jc w:val="right"/>
              <w:rPr>
                <w:b w:val="1"/>
                <w:sz w:val="20"/>
                <w:szCs w:val="20"/>
              </w:rPr>
            </w:pPr>
            <w:r w:rsidDel="00000000" w:rsidR="00000000" w:rsidRPr="00000000">
              <w:rPr>
                <w:b w:val="1"/>
                <w:sz w:val="20"/>
                <w:szCs w:val="20"/>
                <w:rtl w:val="0"/>
              </w:rPr>
              <w:t xml:space="preserve"> </w:t>
            </w:r>
          </w:p>
        </w:tc>
        <w:tc>
          <w:tcPr>
            <w:tcBorders>
              <w:top w:color="000000" w:space="0" w:sz="0" w:val="nil"/>
              <w:left w:color="000000" w:space="0" w:sz="0" w:val="nil"/>
              <w:bottom w:color="000000" w:space="0" w:sz="4" w:val="single"/>
              <w:right w:color="000000" w:space="0" w:sz="0" w:val="nil"/>
            </w:tcBorders>
            <w:shd w:fill="ffe5e5" w:val="clear"/>
            <w:vAlign w:val="center"/>
          </w:tcPr>
          <w:p w:rsidR="00000000" w:rsidDel="00000000" w:rsidP="00000000" w:rsidRDefault="00000000" w:rsidRPr="00000000" w14:paraId="00000528">
            <w:pPr>
              <w:spacing w:after="0" w:line="240" w:lineRule="auto"/>
              <w:jc w:val="right"/>
              <w:rPr>
                <w:b w:val="1"/>
                <w:sz w:val="20"/>
                <w:szCs w:val="20"/>
              </w:rPr>
            </w:pPr>
            <w:r w:rsidDel="00000000" w:rsidR="00000000" w:rsidRPr="00000000">
              <w:rPr>
                <w:b w:val="1"/>
                <w:sz w:val="20"/>
                <w:szCs w:val="20"/>
                <w:rtl w:val="0"/>
              </w:rPr>
              <w:t xml:space="preserve"> </w:t>
            </w:r>
          </w:p>
        </w:tc>
        <w:tc>
          <w:tcPr>
            <w:tcBorders>
              <w:top w:color="000000" w:space="0" w:sz="0" w:val="nil"/>
              <w:left w:color="000000" w:space="0" w:sz="0" w:val="nil"/>
              <w:bottom w:color="000000" w:space="0" w:sz="4" w:val="single"/>
              <w:right w:color="000000" w:space="0" w:sz="0" w:val="nil"/>
            </w:tcBorders>
            <w:shd w:fill="ffe5e5" w:val="clear"/>
            <w:vAlign w:val="center"/>
          </w:tcPr>
          <w:p w:rsidR="00000000" w:rsidDel="00000000" w:rsidP="00000000" w:rsidRDefault="00000000" w:rsidRPr="00000000" w14:paraId="00000529">
            <w:pPr>
              <w:spacing w:after="0" w:line="240" w:lineRule="auto"/>
              <w:jc w:val="right"/>
              <w:rPr>
                <w:b w:val="1"/>
                <w:sz w:val="20"/>
                <w:szCs w:val="20"/>
              </w:rPr>
            </w:pPr>
            <w:r w:rsidDel="00000000" w:rsidR="00000000" w:rsidRPr="00000000">
              <w:rPr>
                <w:b w:val="1"/>
                <w:sz w:val="20"/>
                <w:szCs w:val="20"/>
                <w:rtl w:val="0"/>
              </w:rPr>
              <w:t xml:space="preserve"> </w:t>
            </w:r>
          </w:p>
        </w:tc>
      </w:tr>
      <w:tr>
        <w:trPr>
          <w:cantSplit w:val="0"/>
          <w:trHeight w:val="31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52A">
            <w:pPr>
              <w:spacing w:after="0" w:line="240" w:lineRule="auto"/>
              <w:rPr>
                <w:sz w:val="20"/>
                <w:szCs w:val="20"/>
              </w:rPr>
            </w:pPr>
            <w:r w:rsidDel="00000000" w:rsidR="00000000" w:rsidRPr="00000000">
              <w:rPr>
                <w:sz w:val="20"/>
                <w:szCs w:val="20"/>
                <w:rtl w:val="0"/>
              </w:rPr>
              <w:t xml:space="preserve">Oxford, St John's College Oxford</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52B">
            <w:pPr>
              <w:spacing w:after="0" w:line="240" w:lineRule="auto"/>
              <w:jc w:val="right"/>
              <w:rPr>
                <w:sz w:val="20"/>
                <w:szCs w:val="20"/>
              </w:rPr>
            </w:pPr>
            <w:r w:rsidDel="00000000" w:rsidR="00000000" w:rsidRPr="00000000">
              <w:rPr>
                <w:sz w:val="20"/>
                <w:szCs w:val="20"/>
                <w:rtl w:val="0"/>
              </w:rPr>
              <w:t xml:space="preserve">22</w:t>
            </w:r>
          </w:p>
        </w:tc>
        <w:tc>
          <w:tcPr>
            <w:tcBorders>
              <w:top w:color="000000" w:space="0" w:sz="0" w:val="nil"/>
              <w:left w:color="000000" w:space="0" w:sz="0" w:val="nil"/>
              <w:bottom w:color="000000" w:space="0" w:sz="0" w:val="nil"/>
              <w:right w:color="000000" w:space="0" w:sz="0" w:val="nil"/>
            </w:tcBorders>
            <w:shd w:fill="e2efda" w:val="clear"/>
            <w:vAlign w:val="center"/>
          </w:tcPr>
          <w:p w:rsidR="00000000" w:rsidDel="00000000" w:rsidP="00000000" w:rsidRDefault="00000000" w:rsidRPr="00000000" w14:paraId="0000052C">
            <w:pPr>
              <w:spacing w:after="0" w:line="240" w:lineRule="auto"/>
              <w:jc w:val="right"/>
              <w:rPr>
                <w:sz w:val="20"/>
                <w:szCs w:val="20"/>
              </w:rPr>
            </w:pPr>
            <w:r w:rsidDel="00000000" w:rsidR="00000000" w:rsidRPr="00000000">
              <w:rPr>
                <w:sz w:val="20"/>
                <w:szCs w:val="20"/>
                <w:rtl w:val="0"/>
              </w:rPr>
              <w:t xml:space="preserve">2</w:t>
            </w:r>
          </w:p>
        </w:tc>
        <w:tc>
          <w:tcPr>
            <w:tcBorders>
              <w:top w:color="000000" w:space="0" w:sz="0" w:val="nil"/>
              <w:left w:color="000000" w:space="0" w:sz="0" w:val="nil"/>
              <w:bottom w:color="000000" w:space="0" w:sz="0" w:val="nil"/>
              <w:right w:color="000000" w:space="0" w:sz="0" w:val="nil"/>
            </w:tcBorders>
            <w:shd w:fill="e2efda" w:val="clear"/>
            <w:vAlign w:val="center"/>
          </w:tcPr>
          <w:p w:rsidR="00000000" w:rsidDel="00000000" w:rsidP="00000000" w:rsidRDefault="00000000" w:rsidRPr="00000000" w14:paraId="0000052D">
            <w:pPr>
              <w:spacing w:after="0" w:line="240" w:lineRule="auto"/>
              <w:jc w:val="right"/>
              <w:rPr>
                <w:sz w:val="20"/>
                <w:szCs w:val="20"/>
              </w:rPr>
            </w:pPr>
            <w:r w:rsidDel="00000000" w:rsidR="00000000" w:rsidRPr="00000000">
              <w:rPr>
                <w:sz w:val="20"/>
                <w:szCs w:val="20"/>
                <w:rtl w:val="0"/>
              </w:rPr>
              <w:t xml:space="preserve">9</w:t>
            </w:r>
          </w:p>
        </w:tc>
        <w:tc>
          <w:tcPr>
            <w:tcBorders>
              <w:top w:color="000000" w:space="0" w:sz="0" w:val="nil"/>
              <w:left w:color="000000" w:space="0" w:sz="0" w:val="nil"/>
              <w:bottom w:color="000000" w:space="0" w:sz="0" w:val="nil"/>
              <w:right w:color="000000" w:space="0" w:sz="0" w:val="nil"/>
            </w:tcBorders>
            <w:shd w:fill="ddebf7" w:val="clear"/>
            <w:vAlign w:val="center"/>
          </w:tcPr>
          <w:p w:rsidR="00000000" w:rsidDel="00000000" w:rsidP="00000000" w:rsidRDefault="00000000" w:rsidRPr="00000000" w14:paraId="0000052E">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0" w:val="nil"/>
              <w:right w:color="000000" w:space="0" w:sz="0" w:val="nil"/>
            </w:tcBorders>
            <w:shd w:fill="ddebf7" w:val="clear"/>
            <w:vAlign w:val="center"/>
          </w:tcPr>
          <w:p w:rsidR="00000000" w:rsidDel="00000000" w:rsidP="00000000" w:rsidRDefault="00000000" w:rsidRPr="00000000" w14:paraId="0000052F">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0" w:val="nil"/>
              <w:right w:color="000000" w:space="0" w:sz="0" w:val="nil"/>
            </w:tcBorders>
            <w:shd w:fill="ffe5e5" w:val="clear"/>
            <w:vAlign w:val="center"/>
          </w:tcPr>
          <w:p w:rsidR="00000000" w:rsidDel="00000000" w:rsidP="00000000" w:rsidRDefault="00000000" w:rsidRPr="00000000" w14:paraId="00000530">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0" w:val="nil"/>
              <w:right w:color="000000" w:space="0" w:sz="0" w:val="nil"/>
            </w:tcBorders>
            <w:shd w:fill="ffe5e5" w:val="clear"/>
            <w:vAlign w:val="center"/>
          </w:tcPr>
          <w:p w:rsidR="00000000" w:rsidDel="00000000" w:rsidP="00000000" w:rsidRDefault="00000000" w:rsidRPr="00000000" w14:paraId="00000531">
            <w:pPr>
              <w:spacing w:after="0" w:line="240" w:lineRule="auto"/>
              <w:jc w:val="right"/>
              <w:rPr>
                <w:sz w:val="20"/>
                <w:szCs w:val="20"/>
              </w:rPr>
            </w:pPr>
            <w:r w:rsidDel="00000000" w:rsidR="00000000" w:rsidRPr="00000000">
              <w:rPr>
                <w:sz w:val="20"/>
                <w:szCs w:val="20"/>
                <w:rtl w:val="0"/>
              </w:rPr>
              <w:t xml:space="preserve"> </w:t>
            </w:r>
          </w:p>
        </w:tc>
      </w:tr>
      <w:tr>
        <w:trPr>
          <w:cantSplit w:val="0"/>
          <w:trHeight w:val="315" w:hRule="atLeast"/>
          <w:tblHeader w:val="0"/>
        </w:trPr>
        <w:tc>
          <w:tcPr>
            <w:tcBorders>
              <w:top w:color="000000" w:space="0" w:sz="4" w:val="single"/>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532">
            <w:pPr>
              <w:spacing w:after="0" w:line="240" w:lineRule="auto"/>
              <w:rPr>
                <w:b w:val="1"/>
                <w:sz w:val="20"/>
                <w:szCs w:val="20"/>
              </w:rPr>
            </w:pPr>
            <w:r w:rsidDel="00000000" w:rsidR="00000000" w:rsidRPr="00000000">
              <w:rPr>
                <w:b w:val="1"/>
                <w:sz w:val="20"/>
                <w:szCs w:val="20"/>
                <w:rtl w:val="0"/>
              </w:rPr>
              <w:t xml:space="preserve">England Southwest</w:t>
            </w:r>
          </w:p>
        </w:tc>
        <w:tc>
          <w:tcPr>
            <w:tcBorders>
              <w:top w:color="000000" w:space="0" w:sz="4" w:val="single"/>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533">
            <w:pPr>
              <w:spacing w:after="0" w:line="240" w:lineRule="auto"/>
              <w:jc w:val="right"/>
              <w:rPr>
                <w:b w:val="1"/>
                <w:sz w:val="20"/>
                <w:szCs w:val="20"/>
              </w:rPr>
            </w:pPr>
            <w:r w:rsidDel="00000000" w:rsidR="00000000" w:rsidRPr="00000000">
              <w:rPr>
                <w:b w:val="1"/>
                <w:sz w:val="20"/>
                <w:szCs w:val="20"/>
                <w:rtl w:val="0"/>
              </w:rPr>
              <w:t xml:space="preserve">10</w:t>
            </w:r>
          </w:p>
        </w:tc>
        <w:tc>
          <w:tcPr>
            <w:tcBorders>
              <w:top w:color="000000" w:space="0" w:sz="4" w:val="single"/>
              <w:left w:color="000000" w:space="0" w:sz="0" w:val="nil"/>
              <w:bottom w:color="000000" w:space="0" w:sz="4" w:val="single"/>
              <w:right w:color="000000" w:space="0" w:sz="0" w:val="nil"/>
            </w:tcBorders>
            <w:shd w:fill="e2efda" w:val="clear"/>
            <w:vAlign w:val="center"/>
          </w:tcPr>
          <w:p w:rsidR="00000000" w:rsidDel="00000000" w:rsidP="00000000" w:rsidRDefault="00000000" w:rsidRPr="00000000" w14:paraId="00000534">
            <w:pPr>
              <w:spacing w:after="0" w:line="240" w:lineRule="auto"/>
              <w:jc w:val="right"/>
              <w:rPr>
                <w:b w:val="1"/>
                <w:sz w:val="20"/>
                <w:szCs w:val="20"/>
              </w:rPr>
            </w:pPr>
            <w:r w:rsidDel="00000000" w:rsidR="00000000" w:rsidRPr="00000000">
              <w:rPr>
                <w:b w:val="1"/>
                <w:sz w:val="20"/>
                <w:szCs w:val="20"/>
                <w:rtl w:val="0"/>
              </w:rPr>
              <w:t xml:space="preserve">2</w:t>
            </w:r>
          </w:p>
        </w:tc>
        <w:tc>
          <w:tcPr>
            <w:tcBorders>
              <w:top w:color="000000" w:space="0" w:sz="4" w:val="single"/>
              <w:left w:color="000000" w:space="0" w:sz="0" w:val="nil"/>
              <w:bottom w:color="000000" w:space="0" w:sz="4" w:val="single"/>
              <w:right w:color="000000" w:space="0" w:sz="0" w:val="nil"/>
            </w:tcBorders>
            <w:shd w:fill="e2efda" w:val="clear"/>
            <w:vAlign w:val="center"/>
          </w:tcPr>
          <w:p w:rsidR="00000000" w:rsidDel="00000000" w:rsidP="00000000" w:rsidRDefault="00000000" w:rsidRPr="00000000" w14:paraId="00000535">
            <w:pPr>
              <w:spacing w:after="0" w:line="240" w:lineRule="auto"/>
              <w:jc w:val="right"/>
              <w:rPr>
                <w:b w:val="1"/>
                <w:sz w:val="20"/>
                <w:szCs w:val="20"/>
              </w:rPr>
            </w:pPr>
            <w:r w:rsidDel="00000000" w:rsidR="00000000" w:rsidRPr="00000000">
              <w:rPr>
                <w:b w:val="1"/>
                <w:sz w:val="20"/>
                <w:szCs w:val="20"/>
                <w:rtl w:val="0"/>
              </w:rPr>
              <w:t xml:space="preserve">20</w:t>
            </w:r>
          </w:p>
        </w:tc>
        <w:tc>
          <w:tcPr>
            <w:tcBorders>
              <w:top w:color="000000" w:space="0" w:sz="4" w:val="single"/>
              <w:left w:color="000000" w:space="0" w:sz="0" w:val="nil"/>
              <w:bottom w:color="000000" w:space="0" w:sz="4" w:val="single"/>
              <w:right w:color="000000" w:space="0" w:sz="0" w:val="nil"/>
            </w:tcBorders>
            <w:shd w:fill="ddebf7" w:val="clear"/>
            <w:vAlign w:val="center"/>
          </w:tcPr>
          <w:p w:rsidR="00000000" w:rsidDel="00000000" w:rsidP="00000000" w:rsidRDefault="00000000" w:rsidRPr="00000000" w14:paraId="00000536">
            <w:pPr>
              <w:spacing w:after="0" w:line="240" w:lineRule="auto"/>
              <w:jc w:val="right"/>
              <w:rPr>
                <w:b w:val="1"/>
                <w:sz w:val="20"/>
                <w:szCs w:val="20"/>
              </w:rPr>
            </w:pPr>
            <w:r w:rsidDel="00000000" w:rsidR="00000000" w:rsidRPr="00000000">
              <w:rPr>
                <w:b w:val="1"/>
                <w:sz w:val="20"/>
                <w:szCs w:val="20"/>
                <w:rtl w:val="0"/>
              </w:rPr>
              <w:t xml:space="preserve"> </w:t>
            </w:r>
          </w:p>
        </w:tc>
        <w:tc>
          <w:tcPr>
            <w:tcBorders>
              <w:top w:color="000000" w:space="0" w:sz="4" w:val="single"/>
              <w:left w:color="000000" w:space="0" w:sz="0" w:val="nil"/>
              <w:bottom w:color="000000" w:space="0" w:sz="4" w:val="single"/>
              <w:right w:color="000000" w:space="0" w:sz="0" w:val="nil"/>
            </w:tcBorders>
            <w:shd w:fill="ddebf7" w:val="clear"/>
            <w:vAlign w:val="center"/>
          </w:tcPr>
          <w:p w:rsidR="00000000" w:rsidDel="00000000" w:rsidP="00000000" w:rsidRDefault="00000000" w:rsidRPr="00000000" w14:paraId="00000537">
            <w:pPr>
              <w:spacing w:after="0" w:line="240" w:lineRule="auto"/>
              <w:jc w:val="right"/>
              <w:rPr>
                <w:b w:val="1"/>
                <w:sz w:val="20"/>
                <w:szCs w:val="20"/>
              </w:rPr>
            </w:pPr>
            <w:r w:rsidDel="00000000" w:rsidR="00000000" w:rsidRPr="00000000">
              <w:rPr>
                <w:b w:val="1"/>
                <w:sz w:val="20"/>
                <w:szCs w:val="20"/>
                <w:rtl w:val="0"/>
              </w:rPr>
              <w:t xml:space="preserve"> </w:t>
            </w:r>
          </w:p>
        </w:tc>
        <w:tc>
          <w:tcPr>
            <w:tcBorders>
              <w:top w:color="000000" w:space="0" w:sz="4" w:val="single"/>
              <w:left w:color="000000" w:space="0" w:sz="0" w:val="nil"/>
              <w:bottom w:color="000000" w:space="0" w:sz="4" w:val="single"/>
              <w:right w:color="000000" w:space="0" w:sz="0" w:val="nil"/>
            </w:tcBorders>
            <w:shd w:fill="ffe5e5" w:val="clear"/>
            <w:vAlign w:val="center"/>
          </w:tcPr>
          <w:p w:rsidR="00000000" w:rsidDel="00000000" w:rsidP="00000000" w:rsidRDefault="00000000" w:rsidRPr="00000000" w14:paraId="00000538">
            <w:pPr>
              <w:spacing w:after="0" w:line="240" w:lineRule="auto"/>
              <w:jc w:val="right"/>
              <w:rPr>
                <w:b w:val="1"/>
                <w:sz w:val="20"/>
                <w:szCs w:val="20"/>
              </w:rPr>
            </w:pPr>
            <w:r w:rsidDel="00000000" w:rsidR="00000000" w:rsidRPr="00000000">
              <w:rPr>
                <w:b w:val="1"/>
                <w:sz w:val="20"/>
                <w:szCs w:val="20"/>
                <w:rtl w:val="0"/>
              </w:rPr>
              <w:t xml:space="preserve"> </w:t>
            </w:r>
          </w:p>
        </w:tc>
        <w:tc>
          <w:tcPr>
            <w:tcBorders>
              <w:top w:color="000000" w:space="0" w:sz="4" w:val="single"/>
              <w:left w:color="000000" w:space="0" w:sz="0" w:val="nil"/>
              <w:bottom w:color="000000" w:space="0" w:sz="4" w:val="single"/>
              <w:right w:color="000000" w:space="0" w:sz="0" w:val="nil"/>
            </w:tcBorders>
            <w:shd w:fill="ffe5e5" w:val="clear"/>
            <w:vAlign w:val="center"/>
          </w:tcPr>
          <w:p w:rsidR="00000000" w:rsidDel="00000000" w:rsidP="00000000" w:rsidRDefault="00000000" w:rsidRPr="00000000" w14:paraId="00000539">
            <w:pPr>
              <w:spacing w:after="0" w:line="240" w:lineRule="auto"/>
              <w:jc w:val="right"/>
              <w:rPr>
                <w:b w:val="1"/>
                <w:sz w:val="20"/>
                <w:szCs w:val="20"/>
              </w:rPr>
            </w:pPr>
            <w:r w:rsidDel="00000000" w:rsidR="00000000" w:rsidRPr="00000000">
              <w:rPr>
                <w:b w:val="1"/>
                <w:sz w:val="20"/>
                <w:szCs w:val="20"/>
                <w:rtl w:val="0"/>
              </w:rPr>
              <w:t xml:space="preserve"> </w:t>
            </w:r>
          </w:p>
        </w:tc>
      </w:tr>
      <w:tr>
        <w:trPr>
          <w:cantSplit w:val="0"/>
          <w:trHeight w:val="315" w:hRule="atLeast"/>
          <w:tblHeader w:val="0"/>
        </w:trPr>
        <w:tc>
          <w:tcPr>
            <w:tcBorders>
              <w:top w:color="000000" w:space="0" w:sz="0" w:val="nil"/>
              <w:left w:color="000000" w:space="0" w:sz="0" w:val="nil"/>
              <w:bottom w:color="305496" w:space="0" w:sz="4" w:val="single"/>
              <w:right w:color="000000" w:space="0" w:sz="0" w:val="nil"/>
            </w:tcBorders>
            <w:shd w:fill="auto" w:val="clear"/>
            <w:vAlign w:val="center"/>
          </w:tcPr>
          <w:p w:rsidR="00000000" w:rsidDel="00000000" w:rsidP="00000000" w:rsidRDefault="00000000" w:rsidRPr="00000000" w14:paraId="0000053A">
            <w:pPr>
              <w:spacing w:after="0" w:line="240" w:lineRule="auto"/>
              <w:rPr>
                <w:sz w:val="20"/>
                <w:szCs w:val="20"/>
              </w:rPr>
            </w:pPr>
            <w:r w:rsidDel="00000000" w:rsidR="00000000" w:rsidRPr="00000000">
              <w:rPr>
                <w:sz w:val="20"/>
                <w:szCs w:val="20"/>
                <w:rtl w:val="0"/>
              </w:rPr>
              <w:t xml:space="preserve">Dorset, Ridgeway Hill Mass Grave</w:t>
            </w:r>
          </w:p>
        </w:tc>
        <w:tc>
          <w:tcPr>
            <w:tcBorders>
              <w:top w:color="000000" w:space="0" w:sz="0" w:val="nil"/>
              <w:left w:color="000000" w:space="0" w:sz="0" w:val="nil"/>
              <w:bottom w:color="305496" w:space="0" w:sz="4" w:val="single"/>
              <w:right w:color="000000" w:space="0" w:sz="0" w:val="nil"/>
            </w:tcBorders>
            <w:shd w:fill="auto" w:val="clear"/>
            <w:vAlign w:val="center"/>
          </w:tcPr>
          <w:p w:rsidR="00000000" w:rsidDel="00000000" w:rsidP="00000000" w:rsidRDefault="00000000" w:rsidRPr="00000000" w14:paraId="0000053B">
            <w:pPr>
              <w:spacing w:after="0" w:line="240" w:lineRule="auto"/>
              <w:jc w:val="right"/>
              <w:rPr>
                <w:sz w:val="20"/>
                <w:szCs w:val="20"/>
              </w:rPr>
            </w:pPr>
            <w:r w:rsidDel="00000000" w:rsidR="00000000" w:rsidRPr="00000000">
              <w:rPr>
                <w:sz w:val="20"/>
                <w:szCs w:val="20"/>
                <w:rtl w:val="0"/>
              </w:rPr>
              <w:t xml:space="preserve">10</w:t>
            </w:r>
          </w:p>
        </w:tc>
        <w:tc>
          <w:tcPr>
            <w:tcBorders>
              <w:top w:color="000000" w:space="0" w:sz="0" w:val="nil"/>
              <w:left w:color="000000" w:space="0" w:sz="0" w:val="nil"/>
              <w:bottom w:color="305496" w:space="0" w:sz="4" w:val="single"/>
              <w:right w:color="000000" w:space="0" w:sz="0" w:val="nil"/>
            </w:tcBorders>
            <w:shd w:fill="e2efda" w:val="clear"/>
            <w:vAlign w:val="center"/>
          </w:tcPr>
          <w:p w:rsidR="00000000" w:rsidDel="00000000" w:rsidP="00000000" w:rsidRDefault="00000000" w:rsidRPr="00000000" w14:paraId="0000053C">
            <w:pPr>
              <w:spacing w:after="0" w:line="240" w:lineRule="auto"/>
              <w:jc w:val="right"/>
              <w:rPr>
                <w:sz w:val="20"/>
                <w:szCs w:val="20"/>
              </w:rPr>
            </w:pPr>
            <w:r w:rsidDel="00000000" w:rsidR="00000000" w:rsidRPr="00000000">
              <w:rPr>
                <w:sz w:val="20"/>
                <w:szCs w:val="20"/>
                <w:rtl w:val="0"/>
              </w:rPr>
              <w:t xml:space="preserve">2</w:t>
            </w:r>
          </w:p>
        </w:tc>
        <w:tc>
          <w:tcPr>
            <w:tcBorders>
              <w:top w:color="000000" w:space="0" w:sz="0" w:val="nil"/>
              <w:left w:color="000000" w:space="0" w:sz="0" w:val="nil"/>
              <w:bottom w:color="305496" w:space="0" w:sz="4" w:val="single"/>
              <w:right w:color="000000" w:space="0" w:sz="0" w:val="nil"/>
            </w:tcBorders>
            <w:shd w:fill="e2efda" w:val="clear"/>
            <w:vAlign w:val="center"/>
          </w:tcPr>
          <w:p w:rsidR="00000000" w:rsidDel="00000000" w:rsidP="00000000" w:rsidRDefault="00000000" w:rsidRPr="00000000" w14:paraId="0000053D">
            <w:pPr>
              <w:spacing w:after="0" w:line="240" w:lineRule="auto"/>
              <w:jc w:val="right"/>
              <w:rPr>
                <w:sz w:val="20"/>
                <w:szCs w:val="20"/>
              </w:rPr>
            </w:pPr>
            <w:r w:rsidDel="00000000" w:rsidR="00000000" w:rsidRPr="00000000">
              <w:rPr>
                <w:sz w:val="20"/>
                <w:szCs w:val="20"/>
                <w:rtl w:val="0"/>
              </w:rPr>
              <w:t xml:space="preserve">20</w:t>
            </w:r>
          </w:p>
        </w:tc>
        <w:tc>
          <w:tcPr>
            <w:tcBorders>
              <w:top w:color="000000" w:space="0" w:sz="0" w:val="nil"/>
              <w:left w:color="000000" w:space="0" w:sz="0" w:val="nil"/>
              <w:bottom w:color="305496" w:space="0" w:sz="4" w:val="single"/>
              <w:right w:color="000000" w:space="0" w:sz="0" w:val="nil"/>
            </w:tcBorders>
            <w:shd w:fill="ddebf7" w:val="clear"/>
            <w:vAlign w:val="center"/>
          </w:tcPr>
          <w:p w:rsidR="00000000" w:rsidDel="00000000" w:rsidP="00000000" w:rsidRDefault="00000000" w:rsidRPr="00000000" w14:paraId="0000053E">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305496" w:space="0" w:sz="4" w:val="single"/>
              <w:right w:color="000000" w:space="0" w:sz="0" w:val="nil"/>
            </w:tcBorders>
            <w:shd w:fill="ddebf7" w:val="clear"/>
            <w:vAlign w:val="center"/>
          </w:tcPr>
          <w:p w:rsidR="00000000" w:rsidDel="00000000" w:rsidP="00000000" w:rsidRDefault="00000000" w:rsidRPr="00000000" w14:paraId="0000053F">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305496" w:space="0" w:sz="4" w:val="single"/>
              <w:right w:color="000000" w:space="0" w:sz="0" w:val="nil"/>
            </w:tcBorders>
            <w:shd w:fill="ffe5e5" w:val="clear"/>
            <w:vAlign w:val="center"/>
          </w:tcPr>
          <w:p w:rsidR="00000000" w:rsidDel="00000000" w:rsidP="00000000" w:rsidRDefault="00000000" w:rsidRPr="00000000" w14:paraId="00000540">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305496" w:space="0" w:sz="4" w:val="single"/>
              <w:right w:color="000000" w:space="0" w:sz="0" w:val="nil"/>
            </w:tcBorders>
            <w:shd w:fill="ffe5e5" w:val="clear"/>
            <w:vAlign w:val="center"/>
          </w:tcPr>
          <w:p w:rsidR="00000000" w:rsidDel="00000000" w:rsidP="00000000" w:rsidRDefault="00000000" w:rsidRPr="00000000" w14:paraId="00000541">
            <w:pPr>
              <w:spacing w:after="0" w:line="240" w:lineRule="auto"/>
              <w:jc w:val="right"/>
              <w:rPr>
                <w:sz w:val="20"/>
                <w:szCs w:val="20"/>
              </w:rPr>
            </w:pPr>
            <w:r w:rsidDel="00000000" w:rsidR="00000000" w:rsidRPr="00000000">
              <w:rPr>
                <w:sz w:val="20"/>
                <w:szCs w:val="20"/>
                <w:rtl w:val="0"/>
              </w:rPr>
              <w:t xml:space="preserve"> </w:t>
            </w:r>
          </w:p>
        </w:tc>
      </w:tr>
      <w:tr>
        <w:trPr>
          <w:cantSplit w:val="0"/>
          <w:trHeight w:val="315" w:hRule="atLeast"/>
          <w:tblHeader w:val="0"/>
        </w:trPr>
        <w:tc>
          <w:tcPr>
            <w:tcBorders>
              <w:top w:color="000000" w:space="0" w:sz="0" w:val="nil"/>
              <w:left w:color="000000" w:space="0" w:sz="0" w:val="nil"/>
              <w:bottom w:color="8ea9db" w:space="0" w:sz="4" w:val="single"/>
              <w:right w:color="000000" w:space="0" w:sz="0" w:val="nil"/>
            </w:tcBorders>
            <w:shd w:fill="f2f2f2" w:val="clear"/>
            <w:vAlign w:val="center"/>
          </w:tcPr>
          <w:p w:rsidR="00000000" w:rsidDel="00000000" w:rsidP="00000000" w:rsidRDefault="00000000" w:rsidRPr="00000000" w14:paraId="00000542">
            <w:pPr>
              <w:spacing w:after="0" w:line="240" w:lineRule="auto"/>
              <w:rPr>
                <w:b w:val="1"/>
                <w:sz w:val="20"/>
                <w:szCs w:val="20"/>
              </w:rPr>
            </w:pPr>
            <w:r w:rsidDel="00000000" w:rsidR="00000000" w:rsidRPr="00000000">
              <w:rPr>
                <w:b w:val="1"/>
                <w:sz w:val="20"/>
                <w:szCs w:val="20"/>
                <w:rtl w:val="0"/>
              </w:rPr>
              <w:t xml:space="preserve">Scotland</w:t>
            </w:r>
          </w:p>
        </w:tc>
        <w:tc>
          <w:tcPr>
            <w:tcBorders>
              <w:top w:color="000000" w:space="0" w:sz="0" w:val="nil"/>
              <w:left w:color="000000" w:space="0" w:sz="0" w:val="nil"/>
              <w:bottom w:color="8ea9db" w:space="0" w:sz="4" w:val="single"/>
              <w:right w:color="000000" w:space="0" w:sz="0" w:val="nil"/>
            </w:tcBorders>
            <w:shd w:fill="f2f2f2" w:val="clear"/>
            <w:vAlign w:val="center"/>
          </w:tcPr>
          <w:p w:rsidR="00000000" w:rsidDel="00000000" w:rsidP="00000000" w:rsidRDefault="00000000" w:rsidRPr="00000000" w14:paraId="00000543">
            <w:pPr>
              <w:spacing w:after="0" w:line="240" w:lineRule="auto"/>
              <w:jc w:val="right"/>
              <w:rPr>
                <w:b w:val="1"/>
                <w:sz w:val="20"/>
                <w:szCs w:val="20"/>
              </w:rPr>
            </w:pPr>
            <w:r w:rsidDel="00000000" w:rsidR="00000000" w:rsidRPr="00000000">
              <w:rPr>
                <w:b w:val="1"/>
                <w:sz w:val="20"/>
                <w:szCs w:val="20"/>
                <w:rtl w:val="0"/>
              </w:rPr>
              <w:t xml:space="preserve">8</w:t>
            </w:r>
          </w:p>
        </w:tc>
        <w:tc>
          <w:tcPr>
            <w:tcBorders>
              <w:top w:color="000000" w:space="0" w:sz="0" w:val="nil"/>
              <w:left w:color="000000" w:space="0" w:sz="0" w:val="nil"/>
              <w:bottom w:color="8ea9db" w:space="0" w:sz="4" w:val="single"/>
              <w:right w:color="000000" w:space="0" w:sz="0" w:val="nil"/>
            </w:tcBorders>
            <w:shd w:fill="f2f2f2" w:val="clear"/>
            <w:vAlign w:val="center"/>
          </w:tcPr>
          <w:p w:rsidR="00000000" w:rsidDel="00000000" w:rsidP="00000000" w:rsidRDefault="00000000" w:rsidRPr="00000000" w14:paraId="00000544">
            <w:pPr>
              <w:spacing w:after="0" w:line="240" w:lineRule="auto"/>
              <w:jc w:val="right"/>
              <w:rPr>
                <w:b w:val="1"/>
                <w:sz w:val="20"/>
                <w:szCs w:val="20"/>
              </w:rPr>
            </w:pPr>
            <w:r w:rsidDel="00000000" w:rsidR="00000000" w:rsidRPr="00000000">
              <w:rPr>
                <w:b w:val="1"/>
                <w:sz w:val="20"/>
                <w:szCs w:val="20"/>
                <w:rtl w:val="0"/>
              </w:rPr>
              <w:t xml:space="preserve">1</w:t>
            </w:r>
          </w:p>
        </w:tc>
        <w:tc>
          <w:tcPr>
            <w:tcBorders>
              <w:top w:color="000000" w:space="0" w:sz="0" w:val="nil"/>
              <w:left w:color="000000" w:space="0" w:sz="0" w:val="nil"/>
              <w:bottom w:color="8ea9db" w:space="0" w:sz="4" w:val="single"/>
              <w:right w:color="000000" w:space="0" w:sz="0" w:val="nil"/>
            </w:tcBorders>
            <w:shd w:fill="f2f2f2" w:val="clear"/>
            <w:vAlign w:val="center"/>
          </w:tcPr>
          <w:p w:rsidR="00000000" w:rsidDel="00000000" w:rsidP="00000000" w:rsidRDefault="00000000" w:rsidRPr="00000000" w14:paraId="00000545">
            <w:pPr>
              <w:spacing w:after="0" w:line="240" w:lineRule="auto"/>
              <w:jc w:val="right"/>
              <w:rPr>
                <w:b w:val="1"/>
                <w:sz w:val="20"/>
                <w:szCs w:val="20"/>
              </w:rPr>
            </w:pPr>
            <w:r w:rsidDel="00000000" w:rsidR="00000000" w:rsidRPr="00000000">
              <w:rPr>
                <w:b w:val="1"/>
                <w:sz w:val="20"/>
                <w:szCs w:val="20"/>
                <w:rtl w:val="0"/>
              </w:rPr>
              <w:t xml:space="preserve"> </w:t>
            </w:r>
          </w:p>
        </w:tc>
        <w:tc>
          <w:tcPr>
            <w:tcBorders>
              <w:top w:color="000000" w:space="0" w:sz="0" w:val="nil"/>
              <w:left w:color="000000" w:space="0" w:sz="0" w:val="nil"/>
              <w:bottom w:color="8ea9db" w:space="0" w:sz="4" w:val="single"/>
              <w:right w:color="000000" w:space="0" w:sz="0" w:val="nil"/>
            </w:tcBorders>
            <w:shd w:fill="f2f2f2" w:val="clear"/>
            <w:vAlign w:val="center"/>
          </w:tcPr>
          <w:p w:rsidR="00000000" w:rsidDel="00000000" w:rsidP="00000000" w:rsidRDefault="00000000" w:rsidRPr="00000000" w14:paraId="00000546">
            <w:pPr>
              <w:spacing w:after="0" w:line="240" w:lineRule="auto"/>
              <w:jc w:val="right"/>
              <w:rPr>
                <w:b w:val="1"/>
                <w:sz w:val="20"/>
                <w:szCs w:val="20"/>
              </w:rPr>
            </w:pPr>
            <w:r w:rsidDel="00000000" w:rsidR="00000000" w:rsidRPr="00000000">
              <w:rPr>
                <w:b w:val="1"/>
                <w:sz w:val="20"/>
                <w:szCs w:val="20"/>
                <w:rtl w:val="0"/>
              </w:rPr>
              <w:t xml:space="preserve"> </w:t>
            </w:r>
          </w:p>
        </w:tc>
        <w:tc>
          <w:tcPr>
            <w:tcBorders>
              <w:top w:color="000000" w:space="0" w:sz="0" w:val="nil"/>
              <w:left w:color="000000" w:space="0" w:sz="0" w:val="nil"/>
              <w:bottom w:color="8ea9db" w:space="0" w:sz="4" w:val="single"/>
              <w:right w:color="000000" w:space="0" w:sz="0" w:val="nil"/>
            </w:tcBorders>
            <w:shd w:fill="f2f2f2" w:val="clear"/>
            <w:vAlign w:val="center"/>
          </w:tcPr>
          <w:p w:rsidR="00000000" w:rsidDel="00000000" w:rsidP="00000000" w:rsidRDefault="00000000" w:rsidRPr="00000000" w14:paraId="00000547">
            <w:pPr>
              <w:spacing w:after="0" w:line="240" w:lineRule="auto"/>
              <w:jc w:val="right"/>
              <w:rPr>
                <w:b w:val="1"/>
                <w:sz w:val="20"/>
                <w:szCs w:val="20"/>
              </w:rPr>
            </w:pPr>
            <w:r w:rsidDel="00000000" w:rsidR="00000000" w:rsidRPr="00000000">
              <w:rPr>
                <w:b w:val="1"/>
                <w:sz w:val="20"/>
                <w:szCs w:val="20"/>
                <w:rtl w:val="0"/>
              </w:rPr>
              <w:t xml:space="preserve"> </w:t>
            </w:r>
          </w:p>
        </w:tc>
        <w:tc>
          <w:tcPr>
            <w:tcBorders>
              <w:top w:color="000000" w:space="0" w:sz="0" w:val="nil"/>
              <w:left w:color="000000" w:space="0" w:sz="0" w:val="nil"/>
              <w:bottom w:color="8ea9db" w:space="0" w:sz="4" w:val="single"/>
              <w:right w:color="000000" w:space="0" w:sz="0" w:val="nil"/>
            </w:tcBorders>
            <w:shd w:fill="f2f2f2" w:val="clear"/>
            <w:vAlign w:val="center"/>
          </w:tcPr>
          <w:p w:rsidR="00000000" w:rsidDel="00000000" w:rsidP="00000000" w:rsidRDefault="00000000" w:rsidRPr="00000000" w14:paraId="00000548">
            <w:pPr>
              <w:spacing w:after="0" w:line="240" w:lineRule="auto"/>
              <w:jc w:val="right"/>
              <w:rPr>
                <w:b w:val="1"/>
                <w:sz w:val="20"/>
                <w:szCs w:val="20"/>
              </w:rPr>
            </w:pPr>
            <w:r w:rsidDel="00000000" w:rsidR="00000000" w:rsidRPr="00000000">
              <w:rPr>
                <w:b w:val="1"/>
                <w:sz w:val="20"/>
                <w:szCs w:val="20"/>
                <w:rtl w:val="0"/>
              </w:rPr>
              <w:t xml:space="preserve"> </w:t>
            </w:r>
          </w:p>
        </w:tc>
        <w:tc>
          <w:tcPr>
            <w:tcBorders>
              <w:top w:color="000000" w:space="0" w:sz="0" w:val="nil"/>
              <w:left w:color="000000" w:space="0" w:sz="0" w:val="nil"/>
              <w:bottom w:color="8ea9db" w:space="0" w:sz="4" w:val="single"/>
              <w:right w:color="000000" w:space="0" w:sz="0" w:val="nil"/>
            </w:tcBorders>
            <w:shd w:fill="f2f2f2" w:val="clear"/>
            <w:vAlign w:val="center"/>
          </w:tcPr>
          <w:p w:rsidR="00000000" w:rsidDel="00000000" w:rsidP="00000000" w:rsidRDefault="00000000" w:rsidRPr="00000000" w14:paraId="00000549">
            <w:pPr>
              <w:spacing w:after="0" w:line="240" w:lineRule="auto"/>
              <w:jc w:val="right"/>
              <w:rPr>
                <w:b w:val="1"/>
                <w:sz w:val="20"/>
                <w:szCs w:val="20"/>
              </w:rPr>
            </w:pPr>
            <w:r w:rsidDel="00000000" w:rsidR="00000000" w:rsidRPr="00000000">
              <w:rPr>
                <w:b w:val="1"/>
                <w:sz w:val="20"/>
                <w:szCs w:val="20"/>
                <w:rtl w:val="0"/>
              </w:rPr>
              <w:t xml:space="preserve"> </w:t>
            </w:r>
          </w:p>
        </w:tc>
      </w:tr>
      <w:tr>
        <w:trPr>
          <w:cantSplit w:val="0"/>
          <w:trHeight w:val="315" w:hRule="atLeast"/>
          <w:tblHeader w:val="0"/>
        </w:trPr>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54A">
            <w:pPr>
              <w:spacing w:after="0" w:line="240" w:lineRule="auto"/>
              <w:rPr>
                <w:b w:val="1"/>
                <w:sz w:val="20"/>
                <w:szCs w:val="20"/>
              </w:rPr>
            </w:pPr>
            <w:r w:rsidDel="00000000" w:rsidR="00000000" w:rsidRPr="00000000">
              <w:rPr>
                <w:b w:val="1"/>
                <w:sz w:val="20"/>
                <w:szCs w:val="20"/>
                <w:rtl w:val="0"/>
              </w:rPr>
              <w:t xml:space="preserve">Highlands &amp; Islands</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54B">
            <w:pPr>
              <w:spacing w:after="0" w:line="240" w:lineRule="auto"/>
              <w:jc w:val="right"/>
              <w:rPr>
                <w:b w:val="1"/>
                <w:sz w:val="20"/>
                <w:szCs w:val="20"/>
              </w:rPr>
            </w:pPr>
            <w:r w:rsidDel="00000000" w:rsidR="00000000" w:rsidRPr="00000000">
              <w:rPr>
                <w:b w:val="1"/>
                <w:sz w:val="20"/>
                <w:szCs w:val="20"/>
                <w:rtl w:val="0"/>
              </w:rPr>
              <w:t xml:space="preserve">8</w:t>
            </w:r>
          </w:p>
        </w:tc>
        <w:tc>
          <w:tcPr>
            <w:tcBorders>
              <w:top w:color="000000" w:space="0" w:sz="0" w:val="nil"/>
              <w:left w:color="000000" w:space="0" w:sz="0" w:val="nil"/>
              <w:bottom w:color="000000" w:space="0" w:sz="4" w:val="single"/>
              <w:right w:color="000000" w:space="0" w:sz="0" w:val="nil"/>
            </w:tcBorders>
            <w:shd w:fill="e2efda" w:val="clear"/>
            <w:vAlign w:val="center"/>
          </w:tcPr>
          <w:p w:rsidR="00000000" w:rsidDel="00000000" w:rsidP="00000000" w:rsidRDefault="00000000" w:rsidRPr="00000000" w14:paraId="0000054C">
            <w:pPr>
              <w:spacing w:after="0" w:line="240" w:lineRule="auto"/>
              <w:jc w:val="right"/>
              <w:rPr>
                <w:b w:val="1"/>
                <w:sz w:val="20"/>
                <w:szCs w:val="20"/>
              </w:rPr>
            </w:pPr>
            <w:r w:rsidDel="00000000" w:rsidR="00000000" w:rsidRPr="00000000">
              <w:rPr>
                <w:b w:val="1"/>
                <w:sz w:val="20"/>
                <w:szCs w:val="20"/>
                <w:rtl w:val="0"/>
              </w:rPr>
              <w:t xml:space="preserve">1</w:t>
            </w:r>
          </w:p>
        </w:tc>
        <w:tc>
          <w:tcPr>
            <w:tcBorders>
              <w:top w:color="000000" w:space="0" w:sz="0" w:val="nil"/>
              <w:left w:color="000000" w:space="0" w:sz="0" w:val="nil"/>
              <w:bottom w:color="000000" w:space="0" w:sz="4" w:val="single"/>
              <w:right w:color="000000" w:space="0" w:sz="0" w:val="nil"/>
            </w:tcBorders>
            <w:shd w:fill="e2efda" w:val="clear"/>
            <w:vAlign w:val="center"/>
          </w:tcPr>
          <w:p w:rsidR="00000000" w:rsidDel="00000000" w:rsidP="00000000" w:rsidRDefault="00000000" w:rsidRPr="00000000" w14:paraId="0000054D">
            <w:pPr>
              <w:spacing w:after="0" w:line="240" w:lineRule="auto"/>
              <w:jc w:val="right"/>
              <w:rPr>
                <w:b w:val="1"/>
                <w:sz w:val="20"/>
                <w:szCs w:val="20"/>
              </w:rPr>
            </w:pPr>
            <w:r w:rsidDel="00000000" w:rsidR="00000000" w:rsidRPr="00000000">
              <w:rPr>
                <w:b w:val="1"/>
                <w:sz w:val="20"/>
                <w:szCs w:val="20"/>
                <w:rtl w:val="0"/>
              </w:rPr>
              <w:t xml:space="preserve"> </w:t>
            </w:r>
          </w:p>
        </w:tc>
        <w:tc>
          <w:tcPr>
            <w:tcBorders>
              <w:top w:color="000000" w:space="0" w:sz="0" w:val="nil"/>
              <w:left w:color="000000" w:space="0" w:sz="0" w:val="nil"/>
              <w:bottom w:color="000000" w:space="0" w:sz="4" w:val="single"/>
              <w:right w:color="000000" w:space="0" w:sz="0" w:val="nil"/>
            </w:tcBorders>
            <w:shd w:fill="ddebf7" w:val="clear"/>
            <w:vAlign w:val="center"/>
          </w:tcPr>
          <w:p w:rsidR="00000000" w:rsidDel="00000000" w:rsidP="00000000" w:rsidRDefault="00000000" w:rsidRPr="00000000" w14:paraId="0000054E">
            <w:pPr>
              <w:spacing w:after="0" w:line="240" w:lineRule="auto"/>
              <w:jc w:val="right"/>
              <w:rPr>
                <w:b w:val="1"/>
                <w:sz w:val="20"/>
                <w:szCs w:val="20"/>
              </w:rPr>
            </w:pPr>
            <w:r w:rsidDel="00000000" w:rsidR="00000000" w:rsidRPr="00000000">
              <w:rPr>
                <w:b w:val="1"/>
                <w:sz w:val="20"/>
                <w:szCs w:val="20"/>
                <w:rtl w:val="0"/>
              </w:rPr>
              <w:t xml:space="preserve"> </w:t>
            </w:r>
          </w:p>
        </w:tc>
        <w:tc>
          <w:tcPr>
            <w:tcBorders>
              <w:top w:color="000000" w:space="0" w:sz="0" w:val="nil"/>
              <w:left w:color="000000" w:space="0" w:sz="0" w:val="nil"/>
              <w:bottom w:color="000000" w:space="0" w:sz="4" w:val="single"/>
              <w:right w:color="000000" w:space="0" w:sz="0" w:val="nil"/>
            </w:tcBorders>
            <w:shd w:fill="ddebf7" w:val="clear"/>
            <w:vAlign w:val="center"/>
          </w:tcPr>
          <w:p w:rsidR="00000000" w:rsidDel="00000000" w:rsidP="00000000" w:rsidRDefault="00000000" w:rsidRPr="00000000" w14:paraId="0000054F">
            <w:pPr>
              <w:spacing w:after="0" w:line="240" w:lineRule="auto"/>
              <w:jc w:val="right"/>
              <w:rPr>
                <w:b w:val="1"/>
                <w:sz w:val="20"/>
                <w:szCs w:val="20"/>
              </w:rPr>
            </w:pPr>
            <w:r w:rsidDel="00000000" w:rsidR="00000000" w:rsidRPr="00000000">
              <w:rPr>
                <w:b w:val="1"/>
                <w:sz w:val="20"/>
                <w:szCs w:val="20"/>
                <w:rtl w:val="0"/>
              </w:rPr>
              <w:t xml:space="preserve"> </w:t>
            </w:r>
          </w:p>
        </w:tc>
        <w:tc>
          <w:tcPr>
            <w:tcBorders>
              <w:top w:color="000000" w:space="0" w:sz="0" w:val="nil"/>
              <w:left w:color="000000" w:space="0" w:sz="0" w:val="nil"/>
              <w:bottom w:color="000000" w:space="0" w:sz="4" w:val="single"/>
              <w:right w:color="000000" w:space="0" w:sz="0" w:val="nil"/>
            </w:tcBorders>
            <w:shd w:fill="ffe5e5" w:val="clear"/>
            <w:vAlign w:val="center"/>
          </w:tcPr>
          <w:p w:rsidR="00000000" w:rsidDel="00000000" w:rsidP="00000000" w:rsidRDefault="00000000" w:rsidRPr="00000000" w14:paraId="00000550">
            <w:pPr>
              <w:spacing w:after="0" w:line="240" w:lineRule="auto"/>
              <w:jc w:val="right"/>
              <w:rPr>
                <w:b w:val="1"/>
                <w:sz w:val="20"/>
                <w:szCs w:val="20"/>
              </w:rPr>
            </w:pPr>
            <w:r w:rsidDel="00000000" w:rsidR="00000000" w:rsidRPr="00000000">
              <w:rPr>
                <w:b w:val="1"/>
                <w:sz w:val="20"/>
                <w:szCs w:val="20"/>
                <w:rtl w:val="0"/>
              </w:rPr>
              <w:t xml:space="preserve"> </w:t>
            </w:r>
          </w:p>
        </w:tc>
        <w:tc>
          <w:tcPr>
            <w:tcBorders>
              <w:top w:color="000000" w:space="0" w:sz="0" w:val="nil"/>
              <w:left w:color="000000" w:space="0" w:sz="0" w:val="nil"/>
              <w:bottom w:color="000000" w:space="0" w:sz="4" w:val="single"/>
              <w:right w:color="000000" w:space="0" w:sz="0" w:val="nil"/>
            </w:tcBorders>
            <w:shd w:fill="ffe5e5" w:val="clear"/>
            <w:vAlign w:val="center"/>
          </w:tcPr>
          <w:p w:rsidR="00000000" w:rsidDel="00000000" w:rsidP="00000000" w:rsidRDefault="00000000" w:rsidRPr="00000000" w14:paraId="00000551">
            <w:pPr>
              <w:spacing w:after="0" w:line="240" w:lineRule="auto"/>
              <w:jc w:val="right"/>
              <w:rPr>
                <w:b w:val="1"/>
                <w:sz w:val="20"/>
                <w:szCs w:val="20"/>
              </w:rPr>
            </w:pPr>
            <w:r w:rsidDel="00000000" w:rsidR="00000000" w:rsidRPr="00000000">
              <w:rPr>
                <w:b w:val="1"/>
                <w:sz w:val="20"/>
                <w:szCs w:val="20"/>
                <w:rtl w:val="0"/>
              </w:rPr>
              <w:t xml:space="preserve"> </w:t>
            </w:r>
          </w:p>
        </w:tc>
      </w:tr>
      <w:tr>
        <w:trPr>
          <w:cantSplit w:val="0"/>
          <w:trHeight w:val="31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552">
            <w:pPr>
              <w:spacing w:after="0" w:line="240" w:lineRule="auto"/>
              <w:rPr>
                <w:sz w:val="20"/>
                <w:szCs w:val="20"/>
              </w:rPr>
            </w:pPr>
            <w:r w:rsidDel="00000000" w:rsidR="00000000" w:rsidRPr="00000000">
              <w:rPr>
                <w:sz w:val="20"/>
                <w:szCs w:val="20"/>
                <w:rtl w:val="0"/>
              </w:rPr>
              <w:t xml:space="preserve">Orkney, Brough Road Birsay</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553">
            <w:pPr>
              <w:spacing w:after="0" w:line="240" w:lineRule="auto"/>
              <w:jc w:val="right"/>
              <w:rPr>
                <w:sz w:val="20"/>
                <w:szCs w:val="20"/>
              </w:rPr>
            </w:pPr>
            <w:r w:rsidDel="00000000" w:rsidR="00000000" w:rsidRPr="00000000">
              <w:rPr>
                <w:sz w:val="20"/>
                <w:szCs w:val="20"/>
                <w:rtl w:val="0"/>
              </w:rPr>
              <w:t xml:space="preserve">3</w:t>
            </w:r>
          </w:p>
        </w:tc>
        <w:tc>
          <w:tcPr>
            <w:tcBorders>
              <w:top w:color="000000" w:space="0" w:sz="0" w:val="nil"/>
              <w:left w:color="000000" w:space="0" w:sz="0" w:val="nil"/>
              <w:bottom w:color="000000" w:space="0" w:sz="0" w:val="nil"/>
              <w:right w:color="000000" w:space="0" w:sz="0" w:val="nil"/>
            </w:tcBorders>
            <w:shd w:fill="e2efda" w:val="clear"/>
            <w:vAlign w:val="center"/>
          </w:tcPr>
          <w:p w:rsidR="00000000" w:rsidDel="00000000" w:rsidP="00000000" w:rsidRDefault="00000000" w:rsidRPr="00000000" w14:paraId="00000554">
            <w:pPr>
              <w:spacing w:after="0" w:line="240" w:lineRule="auto"/>
              <w:jc w:val="right"/>
              <w:rPr>
                <w:sz w:val="20"/>
                <w:szCs w:val="20"/>
              </w:rPr>
            </w:pPr>
            <w:r w:rsidDel="00000000" w:rsidR="00000000" w:rsidRPr="00000000">
              <w:rPr>
                <w:sz w:val="20"/>
                <w:szCs w:val="20"/>
                <w:rtl w:val="0"/>
              </w:rPr>
              <w:t xml:space="preserve">1</w:t>
            </w:r>
          </w:p>
        </w:tc>
        <w:tc>
          <w:tcPr>
            <w:tcBorders>
              <w:top w:color="000000" w:space="0" w:sz="0" w:val="nil"/>
              <w:left w:color="000000" w:space="0" w:sz="0" w:val="nil"/>
              <w:bottom w:color="000000" w:space="0" w:sz="0" w:val="nil"/>
              <w:right w:color="000000" w:space="0" w:sz="0" w:val="nil"/>
            </w:tcBorders>
            <w:shd w:fill="e2efda" w:val="clear"/>
            <w:vAlign w:val="center"/>
          </w:tcPr>
          <w:p w:rsidR="00000000" w:rsidDel="00000000" w:rsidP="00000000" w:rsidRDefault="00000000" w:rsidRPr="00000000" w14:paraId="00000555">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0" w:val="nil"/>
              <w:right w:color="000000" w:space="0" w:sz="0" w:val="nil"/>
            </w:tcBorders>
            <w:shd w:fill="ddebf7" w:val="clear"/>
            <w:vAlign w:val="center"/>
          </w:tcPr>
          <w:p w:rsidR="00000000" w:rsidDel="00000000" w:rsidP="00000000" w:rsidRDefault="00000000" w:rsidRPr="00000000" w14:paraId="00000556">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0" w:val="nil"/>
              <w:right w:color="000000" w:space="0" w:sz="0" w:val="nil"/>
            </w:tcBorders>
            <w:shd w:fill="ddebf7" w:val="clear"/>
            <w:vAlign w:val="center"/>
          </w:tcPr>
          <w:p w:rsidR="00000000" w:rsidDel="00000000" w:rsidP="00000000" w:rsidRDefault="00000000" w:rsidRPr="00000000" w14:paraId="00000557">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0" w:val="nil"/>
              <w:right w:color="000000" w:space="0" w:sz="0" w:val="nil"/>
            </w:tcBorders>
            <w:shd w:fill="ffe5e5" w:val="clear"/>
            <w:vAlign w:val="center"/>
          </w:tcPr>
          <w:p w:rsidR="00000000" w:rsidDel="00000000" w:rsidP="00000000" w:rsidRDefault="00000000" w:rsidRPr="00000000" w14:paraId="00000558">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0" w:val="nil"/>
              <w:right w:color="000000" w:space="0" w:sz="0" w:val="nil"/>
            </w:tcBorders>
            <w:shd w:fill="ffe5e5" w:val="clear"/>
            <w:vAlign w:val="center"/>
          </w:tcPr>
          <w:p w:rsidR="00000000" w:rsidDel="00000000" w:rsidP="00000000" w:rsidRDefault="00000000" w:rsidRPr="00000000" w14:paraId="00000559">
            <w:pPr>
              <w:spacing w:after="0" w:line="240" w:lineRule="auto"/>
              <w:jc w:val="right"/>
              <w:rPr>
                <w:sz w:val="20"/>
                <w:szCs w:val="20"/>
              </w:rPr>
            </w:pPr>
            <w:r w:rsidDel="00000000" w:rsidR="00000000" w:rsidRPr="00000000">
              <w:rPr>
                <w:sz w:val="20"/>
                <w:szCs w:val="20"/>
                <w:rtl w:val="0"/>
              </w:rPr>
              <w:t xml:space="preserve"> </w:t>
            </w:r>
          </w:p>
        </w:tc>
      </w:tr>
      <w:tr>
        <w:trPr>
          <w:cantSplit w:val="0"/>
          <w:trHeight w:val="31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55A">
            <w:pPr>
              <w:spacing w:after="0" w:line="240" w:lineRule="auto"/>
              <w:rPr>
                <w:sz w:val="20"/>
                <w:szCs w:val="20"/>
              </w:rPr>
            </w:pPr>
            <w:r w:rsidDel="00000000" w:rsidR="00000000" w:rsidRPr="00000000">
              <w:rPr>
                <w:sz w:val="20"/>
                <w:szCs w:val="20"/>
                <w:rtl w:val="0"/>
              </w:rPr>
              <w:t xml:space="preserve">Orkney, Buckquoy Birsay</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55B">
            <w:pPr>
              <w:spacing w:after="0" w:line="240" w:lineRule="auto"/>
              <w:jc w:val="right"/>
              <w:rPr>
                <w:sz w:val="20"/>
                <w:szCs w:val="20"/>
              </w:rPr>
            </w:pPr>
            <w:r w:rsidDel="00000000" w:rsidR="00000000" w:rsidRPr="00000000">
              <w:rPr>
                <w:sz w:val="20"/>
                <w:szCs w:val="20"/>
                <w:rtl w:val="0"/>
              </w:rPr>
              <w:t xml:space="preserve">2</w:t>
            </w:r>
          </w:p>
        </w:tc>
        <w:tc>
          <w:tcPr>
            <w:tcBorders>
              <w:top w:color="000000" w:space="0" w:sz="0" w:val="nil"/>
              <w:left w:color="000000" w:space="0" w:sz="0" w:val="nil"/>
              <w:bottom w:color="000000" w:space="0" w:sz="0" w:val="nil"/>
              <w:right w:color="000000" w:space="0" w:sz="0" w:val="nil"/>
            </w:tcBorders>
            <w:shd w:fill="e2efda" w:val="clear"/>
            <w:vAlign w:val="center"/>
          </w:tcPr>
          <w:p w:rsidR="00000000" w:rsidDel="00000000" w:rsidP="00000000" w:rsidRDefault="00000000" w:rsidRPr="00000000" w14:paraId="0000055C">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0" w:val="nil"/>
              <w:right w:color="000000" w:space="0" w:sz="0" w:val="nil"/>
            </w:tcBorders>
            <w:shd w:fill="e2efda" w:val="clear"/>
            <w:vAlign w:val="center"/>
          </w:tcPr>
          <w:p w:rsidR="00000000" w:rsidDel="00000000" w:rsidP="00000000" w:rsidRDefault="00000000" w:rsidRPr="00000000" w14:paraId="0000055D">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0" w:val="nil"/>
              <w:right w:color="000000" w:space="0" w:sz="0" w:val="nil"/>
            </w:tcBorders>
            <w:shd w:fill="ddebf7" w:val="clear"/>
            <w:vAlign w:val="center"/>
          </w:tcPr>
          <w:p w:rsidR="00000000" w:rsidDel="00000000" w:rsidP="00000000" w:rsidRDefault="00000000" w:rsidRPr="00000000" w14:paraId="0000055E">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0" w:val="nil"/>
              <w:right w:color="000000" w:space="0" w:sz="0" w:val="nil"/>
            </w:tcBorders>
            <w:shd w:fill="ddebf7" w:val="clear"/>
            <w:vAlign w:val="center"/>
          </w:tcPr>
          <w:p w:rsidR="00000000" w:rsidDel="00000000" w:rsidP="00000000" w:rsidRDefault="00000000" w:rsidRPr="00000000" w14:paraId="0000055F">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0" w:val="nil"/>
              <w:right w:color="000000" w:space="0" w:sz="0" w:val="nil"/>
            </w:tcBorders>
            <w:shd w:fill="ffe5e5" w:val="clear"/>
            <w:vAlign w:val="center"/>
          </w:tcPr>
          <w:p w:rsidR="00000000" w:rsidDel="00000000" w:rsidP="00000000" w:rsidRDefault="00000000" w:rsidRPr="00000000" w14:paraId="00000560">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0" w:val="nil"/>
              <w:right w:color="000000" w:space="0" w:sz="0" w:val="nil"/>
            </w:tcBorders>
            <w:shd w:fill="ffe5e5" w:val="clear"/>
            <w:vAlign w:val="center"/>
          </w:tcPr>
          <w:p w:rsidR="00000000" w:rsidDel="00000000" w:rsidP="00000000" w:rsidRDefault="00000000" w:rsidRPr="00000000" w14:paraId="00000561">
            <w:pPr>
              <w:spacing w:after="0" w:line="240" w:lineRule="auto"/>
              <w:jc w:val="right"/>
              <w:rPr>
                <w:sz w:val="20"/>
                <w:szCs w:val="20"/>
              </w:rPr>
            </w:pPr>
            <w:r w:rsidDel="00000000" w:rsidR="00000000" w:rsidRPr="00000000">
              <w:rPr>
                <w:sz w:val="20"/>
                <w:szCs w:val="20"/>
                <w:rtl w:val="0"/>
              </w:rPr>
              <w:t xml:space="preserve"> </w:t>
            </w:r>
          </w:p>
        </w:tc>
      </w:tr>
      <w:tr>
        <w:trPr>
          <w:cantSplit w:val="0"/>
          <w:trHeight w:val="315" w:hRule="atLeast"/>
          <w:tblHeader w:val="0"/>
        </w:trPr>
        <w:tc>
          <w:tcPr>
            <w:tcBorders>
              <w:top w:color="000000" w:space="0" w:sz="0" w:val="nil"/>
              <w:left w:color="000000" w:space="0" w:sz="0" w:val="nil"/>
              <w:bottom w:color="305496" w:space="0" w:sz="4" w:val="single"/>
              <w:right w:color="000000" w:space="0" w:sz="0" w:val="nil"/>
            </w:tcBorders>
            <w:shd w:fill="auto" w:val="clear"/>
            <w:vAlign w:val="center"/>
          </w:tcPr>
          <w:p w:rsidR="00000000" w:rsidDel="00000000" w:rsidP="00000000" w:rsidRDefault="00000000" w:rsidRPr="00000000" w14:paraId="00000562">
            <w:pPr>
              <w:spacing w:after="0" w:line="240" w:lineRule="auto"/>
              <w:rPr>
                <w:sz w:val="20"/>
                <w:szCs w:val="20"/>
              </w:rPr>
            </w:pPr>
            <w:r w:rsidDel="00000000" w:rsidR="00000000" w:rsidRPr="00000000">
              <w:rPr>
                <w:sz w:val="20"/>
                <w:szCs w:val="20"/>
                <w:rtl w:val="0"/>
              </w:rPr>
              <w:t xml:space="preserve">Orkney, Newark Deerness</w:t>
            </w:r>
          </w:p>
        </w:tc>
        <w:tc>
          <w:tcPr>
            <w:tcBorders>
              <w:top w:color="000000" w:space="0" w:sz="0" w:val="nil"/>
              <w:left w:color="000000" w:space="0" w:sz="0" w:val="nil"/>
              <w:bottom w:color="305496" w:space="0" w:sz="4" w:val="single"/>
              <w:right w:color="000000" w:space="0" w:sz="0" w:val="nil"/>
            </w:tcBorders>
            <w:shd w:fill="auto" w:val="clear"/>
            <w:vAlign w:val="center"/>
          </w:tcPr>
          <w:p w:rsidR="00000000" w:rsidDel="00000000" w:rsidP="00000000" w:rsidRDefault="00000000" w:rsidRPr="00000000" w14:paraId="00000563">
            <w:pPr>
              <w:spacing w:after="0" w:line="240" w:lineRule="auto"/>
              <w:jc w:val="right"/>
              <w:rPr>
                <w:sz w:val="20"/>
                <w:szCs w:val="20"/>
              </w:rPr>
            </w:pPr>
            <w:r w:rsidDel="00000000" w:rsidR="00000000" w:rsidRPr="00000000">
              <w:rPr>
                <w:sz w:val="20"/>
                <w:szCs w:val="20"/>
                <w:rtl w:val="0"/>
              </w:rPr>
              <w:t xml:space="preserve">3</w:t>
            </w:r>
          </w:p>
        </w:tc>
        <w:tc>
          <w:tcPr>
            <w:tcBorders>
              <w:top w:color="000000" w:space="0" w:sz="0" w:val="nil"/>
              <w:left w:color="000000" w:space="0" w:sz="0" w:val="nil"/>
              <w:bottom w:color="305496" w:space="0" w:sz="4" w:val="single"/>
              <w:right w:color="000000" w:space="0" w:sz="0" w:val="nil"/>
            </w:tcBorders>
            <w:shd w:fill="e2efda" w:val="clear"/>
            <w:vAlign w:val="center"/>
          </w:tcPr>
          <w:p w:rsidR="00000000" w:rsidDel="00000000" w:rsidP="00000000" w:rsidRDefault="00000000" w:rsidRPr="00000000" w14:paraId="00000564">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305496" w:space="0" w:sz="4" w:val="single"/>
              <w:right w:color="000000" w:space="0" w:sz="0" w:val="nil"/>
            </w:tcBorders>
            <w:shd w:fill="e2efda" w:val="clear"/>
            <w:vAlign w:val="center"/>
          </w:tcPr>
          <w:p w:rsidR="00000000" w:rsidDel="00000000" w:rsidP="00000000" w:rsidRDefault="00000000" w:rsidRPr="00000000" w14:paraId="00000565">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305496" w:space="0" w:sz="4" w:val="single"/>
              <w:right w:color="000000" w:space="0" w:sz="0" w:val="nil"/>
            </w:tcBorders>
            <w:shd w:fill="ddebf7" w:val="clear"/>
            <w:vAlign w:val="center"/>
          </w:tcPr>
          <w:p w:rsidR="00000000" w:rsidDel="00000000" w:rsidP="00000000" w:rsidRDefault="00000000" w:rsidRPr="00000000" w14:paraId="00000566">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305496" w:space="0" w:sz="4" w:val="single"/>
              <w:right w:color="000000" w:space="0" w:sz="0" w:val="nil"/>
            </w:tcBorders>
            <w:shd w:fill="ddebf7" w:val="clear"/>
            <w:vAlign w:val="center"/>
          </w:tcPr>
          <w:p w:rsidR="00000000" w:rsidDel="00000000" w:rsidP="00000000" w:rsidRDefault="00000000" w:rsidRPr="00000000" w14:paraId="00000567">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305496" w:space="0" w:sz="4" w:val="single"/>
              <w:right w:color="000000" w:space="0" w:sz="0" w:val="nil"/>
            </w:tcBorders>
            <w:shd w:fill="ffe5e5" w:val="clear"/>
            <w:vAlign w:val="center"/>
          </w:tcPr>
          <w:p w:rsidR="00000000" w:rsidDel="00000000" w:rsidP="00000000" w:rsidRDefault="00000000" w:rsidRPr="00000000" w14:paraId="00000568">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305496" w:space="0" w:sz="4" w:val="single"/>
              <w:right w:color="000000" w:space="0" w:sz="0" w:val="nil"/>
            </w:tcBorders>
            <w:shd w:fill="ffe5e5" w:val="clear"/>
            <w:vAlign w:val="center"/>
          </w:tcPr>
          <w:p w:rsidR="00000000" w:rsidDel="00000000" w:rsidP="00000000" w:rsidRDefault="00000000" w:rsidRPr="00000000" w14:paraId="00000569">
            <w:pPr>
              <w:spacing w:after="0" w:line="240" w:lineRule="auto"/>
              <w:jc w:val="right"/>
              <w:rPr>
                <w:sz w:val="20"/>
                <w:szCs w:val="20"/>
              </w:rPr>
            </w:pPr>
            <w:r w:rsidDel="00000000" w:rsidR="00000000" w:rsidRPr="00000000">
              <w:rPr>
                <w:sz w:val="20"/>
                <w:szCs w:val="20"/>
                <w:rtl w:val="0"/>
              </w:rPr>
              <w:t xml:space="preserve"> </w:t>
            </w:r>
          </w:p>
        </w:tc>
      </w:tr>
      <w:tr>
        <w:trPr>
          <w:cantSplit w:val="0"/>
          <w:trHeight w:val="315" w:hRule="atLeast"/>
          <w:tblHeader w:val="0"/>
        </w:trPr>
        <w:tc>
          <w:tcPr>
            <w:tcBorders>
              <w:top w:color="000000" w:space="0" w:sz="0" w:val="nil"/>
              <w:left w:color="000000" w:space="0" w:sz="0" w:val="nil"/>
              <w:bottom w:color="8ea9db" w:space="0" w:sz="4" w:val="single"/>
              <w:right w:color="000000" w:space="0" w:sz="0" w:val="nil"/>
            </w:tcBorders>
            <w:shd w:fill="f2f2f2" w:val="clear"/>
            <w:vAlign w:val="center"/>
          </w:tcPr>
          <w:p w:rsidR="00000000" w:rsidDel="00000000" w:rsidP="00000000" w:rsidRDefault="00000000" w:rsidRPr="00000000" w14:paraId="0000056A">
            <w:pPr>
              <w:spacing w:after="0" w:line="240" w:lineRule="auto"/>
              <w:rPr>
                <w:b w:val="1"/>
                <w:sz w:val="20"/>
                <w:szCs w:val="20"/>
              </w:rPr>
            </w:pPr>
            <w:r w:rsidDel="00000000" w:rsidR="00000000" w:rsidRPr="00000000">
              <w:rPr>
                <w:b w:val="1"/>
                <w:sz w:val="20"/>
                <w:szCs w:val="20"/>
                <w:rtl w:val="0"/>
              </w:rPr>
              <w:t xml:space="preserve">Wales</w:t>
            </w:r>
          </w:p>
        </w:tc>
        <w:tc>
          <w:tcPr>
            <w:tcBorders>
              <w:top w:color="000000" w:space="0" w:sz="0" w:val="nil"/>
              <w:left w:color="000000" w:space="0" w:sz="0" w:val="nil"/>
              <w:bottom w:color="8ea9db" w:space="0" w:sz="4" w:val="single"/>
              <w:right w:color="000000" w:space="0" w:sz="0" w:val="nil"/>
            </w:tcBorders>
            <w:shd w:fill="f2f2f2" w:val="clear"/>
            <w:vAlign w:val="center"/>
          </w:tcPr>
          <w:p w:rsidR="00000000" w:rsidDel="00000000" w:rsidP="00000000" w:rsidRDefault="00000000" w:rsidRPr="00000000" w14:paraId="0000056B">
            <w:pPr>
              <w:spacing w:after="0" w:line="240" w:lineRule="auto"/>
              <w:jc w:val="right"/>
              <w:rPr>
                <w:b w:val="1"/>
                <w:sz w:val="20"/>
                <w:szCs w:val="20"/>
              </w:rPr>
            </w:pPr>
            <w:r w:rsidDel="00000000" w:rsidR="00000000" w:rsidRPr="00000000">
              <w:rPr>
                <w:b w:val="1"/>
                <w:sz w:val="20"/>
                <w:szCs w:val="20"/>
                <w:rtl w:val="0"/>
              </w:rPr>
              <w:t xml:space="preserve">1</w:t>
            </w:r>
          </w:p>
        </w:tc>
        <w:tc>
          <w:tcPr>
            <w:tcBorders>
              <w:top w:color="000000" w:space="0" w:sz="0" w:val="nil"/>
              <w:left w:color="000000" w:space="0" w:sz="0" w:val="nil"/>
              <w:bottom w:color="8ea9db" w:space="0" w:sz="4" w:val="single"/>
              <w:right w:color="000000" w:space="0" w:sz="0" w:val="nil"/>
            </w:tcBorders>
            <w:shd w:fill="f2f2f2" w:val="clear"/>
            <w:vAlign w:val="center"/>
          </w:tcPr>
          <w:p w:rsidR="00000000" w:rsidDel="00000000" w:rsidP="00000000" w:rsidRDefault="00000000" w:rsidRPr="00000000" w14:paraId="0000056C">
            <w:pPr>
              <w:spacing w:after="0" w:line="240" w:lineRule="auto"/>
              <w:jc w:val="right"/>
              <w:rPr>
                <w:b w:val="1"/>
                <w:sz w:val="20"/>
                <w:szCs w:val="20"/>
              </w:rPr>
            </w:pPr>
            <w:r w:rsidDel="00000000" w:rsidR="00000000" w:rsidRPr="00000000">
              <w:rPr>
                <w:b w:val="1"/>
                <w:sz w:val="20"/>
                <w:szCs w:val="20"/>
                <w:rtl w:val="0"/>
              </w:rPr>
              <w:t xml:space="preserve"> </w:t>
            </w:r>
          </w:p>
        </w:tc>
        <w:tc>
          <w:tcPr>
            <w:tcBorders>
              <w:top w:color="000000" w:space="0" w:sz="0" w:val="nil"/>
              <w:left w:color="000000" w:space="0" w:sz="0" w:val="nil"/>
              <w:bottom w:color="8ea9db" w:space="0" w:sz="4" w:val="single"/>
              <w:right w:color="000000" w:space="0" w:sz="0" w:val="nil"/>
            </w:tcBorders>
            <w:shd w:fill="f2f2f2" w:val="clear"/>
            <w:vAlign w:val="center"/>
          </w:tcPr>
          <w:p w:rsidR="00000000" w:rsidDel="00000000" w:rsidP="00000000" w:rsidRDefault="00000000" w:rsidRPr="00000000" w14:paraId="0000056D">
            <w:pPr>
              <w:spacing w:after="0" w:line="240" w:lineRule="auto"/>
              <w:jc w:val="right"/>
              <w:rPr>
                <w:b w:val="1"/>
                <w:sz w:val="20"/>
                <w:szCs w:val="20"/>
              </w:rPr>
            </w:pPr>
            <w:r w:rsidDel="00000000" w:rsidR="00000000" w:rsidRPr="00000000">
              <w:rPr>
                <w:b w:val="1"/>
                <w:sz w:val="20"/>
                <w:szCs w:val="20"/>
                <w:rtl w:val="0"/>
              </w:rPr>
              <w:t xml:space="preserve"> </w:t>
            </w:r>
          </w:p>
        </w:tc>
        <w:tc>
          <w:tcPr>
            <w:tcBorders>
              <w:top w:color="000000" w:space="0" w:sz="0" w:val="nil"/>
              <w:left w:color="000000" w:space="0" w:sz="0" w:val="nil"/>
              <w:bottom w:color="8ea9db" w:space="0" w:sz="4" w:val="single"/>
              <w:right w:color="000000" w:space="0" w:sz="0" w:val="nil"/>
            </w:tcBorders>
            <w:shd w:fill="f2f2f2" w:val="clear"/>
            <w:vAlign w:val="center"/>
          </w:tcPr>
          <w:p w:rsidR="00000000" w:rsidDel="00000000" w:rsidP="00000000" w:rsidRDefault="00000000" w:rsidRPr="00000000" w14:paraId="0000056E">
            <w:pPr>
              <w:spacing w:after="0" w:line="240" w:lineRule="auto"/>
              <w:jc w:val="right"/>
              <w:rPr>
                <w:b w:val="1"/>
                <w:sz w:val="20"/>
                <w:szCs w:val="20"/>
              </w:rPr>
            </w:pPr>
            <w:r w:rsidDel="00000000" w:rsidR="00000000" w:rsidRPr="00000000">
              <w:rPr>
                <w:b w:val="1"/>
                <w:sz w:val="20"/>
                <w:szCs w:val="20"/>
                <w:rtl w:val="0"/>
              </w:rPr>
              <w:t xml:space="preserve"> </w:t>
            </w:r>
          </w:p>
        </w:tc>
        <w:tc>
          <w:tcPr>
            <w:tcBorders>
              <w:top w:color="000000" w:space="0" w:sz="0" w:val="nil"/>
              <w:left w:color="000000" w:space="0" w:sz="0" w:val="nil"/>
              <w:bottom w:color="8ea9db" w:space="0" w:sz="4" w:val="single"/>
              <w:right w:color="000000" w:space="0" w:sz="0" w:val="nil"/>
            </w:tcBorders>
            <w:shd w:fill="f2f2f2" w:val="clear"/>
            <w:vAlign w:val="center"/>
          </w:tcPr>
          <w:p w:rsidR="00000000" w:rsidDel="00000000" w:rsidP="00000000" w:rsidRDefault="00000000" w:rsidRPr="00000000" w14:paraId="0000056F">
            <w:pPr>
              <w:spacing w:after="0" w:line="240" w:lineRule="auto"/>
              <w:jc w:val="right"/>
              <w:rPr>
                <w:b w:val="1"/>
                <w:sz w:val="20"/>
                <w:szCs w:val="20"/>
              </w:rPr>
            </w:pPr>
            <w:r w:rsidDel="00000000" w:rsidR="00000000" w:rsidRPr="00000000">
              <w:rPr>
                <w:b w:val="1"/>
                <w:sz w:val="20"/>
                <w:szCs w:val="20"/>
                <w:rtl w:val="0"/>
              </w:rPr>
              <w:t xml:space="preserve"> </w:t>
            </w:r>
          </w:p>
        </w:tc>
        <w:tc>
          <w:tcPr>
            <w:tcBorders>
              <w:top w:color="000000" w:space="0" w:sz="0" w:val="nil"/>
              <w:left w:color="000000" w:space="0" w:sz="0" w:val="nil"/>
              <w:bottom w:color="8ea9db" w:space="0" w:sz="4" w:val="single"/>
              <w:right w:color="000000" w:space="0" w:sz="0" w:val="nil"/>
            </w:tcBorders>
            <w:shd w:fill="f2f2f2" w:val="clear"/>
            <w:vAlign w:val="center"/>
          </w:tcPr>
          <w:p w:rsidR="00000000" w:rsidDel="00000000" w:rsidP="00000000" w:rsidRDefault="00000000" w:rsidRPr="00000000" w14:paraId="00000570">
            <w:pPr>
              <w:spacing w:after="0" w:line="240" w:lineRule="auto"/>
              <w:jc w:val="right"/>
              <w:rPr>
                <w:b w:val="1"/>
                <w:sz w:val="20"/>
                <w:szCs w:val="20"/>
              </w:rPr>
            </w:pPr>
            <w:r w:rsidDel="00000000" w:rsidR="00000000" w:rsidRPr="00000000">
              <w:rPr>
                <w:b w:val="1"/>
                <w:sz w:val="20"/>
                <w:szCs w:val="20"/>
                <w:rtl w:val="0"/>
              </w:rPr>
              <w:t xml:space="preserve"> </w:t>
            </w:r>
          </w:p>
        </w:tc>
        <w:tc>
          <w:tcPr>
            <w:tcBorders>
              <w:top w:color="000000" w:space="0" w:sz="0" w:val="nil"/>
              <w:left w:color="000000" w:space="0" w:sz="0" w:val="nil"/>
              <w:bottom w:color="8ea9db" w:space="0" w:sz="4" w:val="single"/>
              <w:right w:color="000000" w:space="0" w:sz="0" w:val="nil"/>
            </w:tcBorders>
            <w:shd w:fill="f2f2f2" w:val="clear"/>
            <w:vAlign w:val="center"/>
          </w:tcPr>
          <w:p w:rsidR="00000000" w:rsidDel="00000000" w:rsidP="00000000" w:rsidRDefault="00000000" w:rsidRPr="00000000" w14:paraId="00000571">
            <w:pPr>
              <w:spacing w:after="0" w:line="240" w:lineRule="auto"/>
              <w:jc w:val="right"/>
              <w:rPr>
                <w:b w:val="1"/>
                <w:sz w:val="20"/>
                <w:szCs w:val="20"/>
              </w:rPr>
            </w:pPr>
            <w:r w:rsidDel="00000000" w:rsidR="00000000" w:rsidRPr="00000000">
              <w:rPr>
                <w:b w:val="1"/>
                <w:sz w:val="20"/>
                <w:szCs w:val="20"/>
                <w:rtl w:val="0"/>
              </w:rPr>
              <w:t xml:space="preserve"> </w:t>
            </w:r>
          </w:p>
        </w:tc>
      </w:tr>
      <w:tr>
        <w:trPr>
          <w:cantSplit w:val="0"/>
          <w:trHeight w:val="315" w:hRule="atLeast"/>
          <w:tblHeader w:val="0"/>
        </w:trPr>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572">
            <w:pPr>
              <w:spacing w:after="0" w:line="240" w:lineRule="auto"/>
              <w:rPr>
                <w:b w:val="1"/>
                <w:sz w:val="20"/>
                <w:szCs w:val="20"/>
              </w:rPr>
            </w:pPr>
            <w:r w:rsidDel="00000000" w:rsidR="00000000" w:rsidRPr="00000000">
              <w:rPr>
                <w:b w:val="1"/>
                <w:sz w:val="20"/>
                <w:szCs w:val="20"/>
                <w:rtl w:val="0"/>
              </w:rPr>
              <w:t xml:space="preserve">Anglesey</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573">
            <w:pPr>
              <w:spacing w:after="0" w:line="240" w:lineRule="auto"/>
              <w:jc w:val="right"/>
              <w:rPr>
                <w:b w:val="1"/>
                <w:sz w:val="20"/>
                <w:szCs w:val="20"/>
              </w:rPr>
            </w:pPr>
            <w:r w:rsidDel="00000000" w:rsidR="00000000" w:rsidRPr="00000000">
              <w:rPr>
                <w:b w:val="1"/>
                <w:sz w:val="20"/>
                <w:szCs w:val="20"/>
                <w:rtl w:val="0"/>
              </w:rPr>
              <w:t xml:space="preserve">1</w:t>
            </w:r>
          </w:p>
        </w:tc>
        <w:tc>
          <w:tcPr>
            <w:tcBorders>
              <w:top w:color="000000" w:space="0" w:sz="0" w:val="nil"/>
              <w:left w:color="000000" w:space="0" w:sz="0" w:val="nil"/>
              <w:bottom w:color="000000" w:space="0" w:sz="4" w:val="single"/>
              <w:right w:color="000000" w:space="0" w:sz="0" w:val="nil"/>
            </w:tcBorders>
            <w:shd w:fill="e2efda" w:val="clear"/>
            <w:vAlign w:val="center"/>
          </w:tcPr>
          <w:p w:rsidR="00000000" w:rsidDel="00000000" w:rsidP="00000000" w:rsidRDefault="00000000" w:rsidRPr="00000000" w14:paraId="00000574">
            <w:pPr>
              <w:spacing w:after="0" w:line="240" w:lineRule="auto"/>
              <w:jc w:val="right"/>
              <w:rPr>
                <w:b w:val="1"/>
                <w:sz w:val="20"/>
                <w:szCs w:val="20"/>
              </w:rPr>
            </w:pPr>
            <w:r w:rsidDel="00000000" w:rsidR="00000000" w:rsidRPr="00000000">
              <w:rPr>
                <w:b w:val="1"/>
                <w:sz w:val="20"/>
                <w:szCs w:val="20"/>
                <w:rtl w:val="0"/>
              </w:rPr>
              <w:t xml:space="preserve"> </w:t>
            </w:r>
          </w:p>
        </w:tc>
        <w:tc>
          <w:tcPr>
            <w:tcBorders>
              <w:top w:color="000000" w:space="0" w:sz="0" w:val="nil"/>
              <w:left w:color="000000" w:space="0" w:sz="0" w:val="nil"/>
              <w:bottom w:color="000000" w:space="0" w:sz="4" w:val="single"/>
              <w:right w:color="000000" w:space="0" w:sz="0" w:val="nil"/>
            </w:tcBorders>
            <w:shd w:fill="e2efda" w:val="clear"/>
            <w:vAlign w:val="center"/>
          </w:tcPr>
          <w:p w:rsidR="00000000" w:rsidDel="00000000" w:rsidP="00000000" w:rsidRDefault="00000000" w:rsidRPr="00000000" w14:paraId="00000575">
            <w:pPr>
              <w:spacing w:after="0" w:line="240" w:lineRule="auto"/>
              <w:jc w:val="right"/>
              <w:rPr>
                <w:b w:val="1"/>
                <w:sz w:val="20"/>
                <w:szCs w:val="20"/>
              </w:rPr>
            </w:pPr>
            <w:r w:rsidDel="00000000" w:rsidR="00000000" w:rsidRPr="00000000">
              <w:rPr>
                <w:b w:val="1"/>
                <w:sz w:val="20"/>
                <w:szCs w:val="20"/>
                <w:rtl w:val="0"/>
              </w:rPr>
              <w:t xml:space="preserve"> </w:t>
            </w:r>
          </w:p>
        </w:tc>
        <w:tc>
          <w:tcPr>
            <w:tcBorders>
              <w:top w:color="000000" w:space="0" w:sz="0" w:val="nil"/>
              <w:left w:color="000000" w:space="0" w:sz="0" w:val="nil"/>
              <w:bottom w:color="000000" w:space="0" w:sz="4" w:val="single"/>
              <w:right w:color="000000" w:space="0" w:sz="0" w:val="nil"/>
            </w:tcBorders>
            <w:shd w:fill="ddebf7" w:val="clear"/>
            <w:vAlign w:val="center"/>
          </w:tcPr>
          <w:p w:rsidR="00000000" w:rsidDel="00000000" w:rsidP="00000000" w:rsidRDefault="00000000" w:rsidRPr="00000000" w14:paraId="00000576">
            <w:pPr>
              <w:spacing w:after="0" w:line="240" w:lineRule="auto"/>
              <w:jc w:val="right"/>
              <w:rPr>
                <w:b w:val="1"/>
                <w:sz w:val="20"/>
                <w:szCs w:val="20"/>
              </w:rPr>
            </w:pPr>
            <w:r w:rsidDel="00000000" w:rsidR="00000000" w:rsidRPr="00000000">
              <w:rPr>
                <w:b w:val="1"/>
                <w:sz w:val="20"/>
                <w:szCs w:val="20"/>
                <w:rtl w:val="0"/>
              </w:rPr>
              <w:t xml:space="preserve"> </w:t>
            </w:r>
          </w:p>
        </w:tc>
        <w:tc>
          <w:tcPr>
            <w:tcBorders>
              <w:top w:color="000000" w:space="0" w:sz="0" w:val="nil"/>
              <w:left w:color="000000" w:space="0" w:sz="0" w:val="nil"/>
              <w:bottom w:color="000000" w:space="0" w:sz="4" w:val="single"/>
              <w:right w:color="000000" w:space="0" w:sz="0" w:val="nil"/>
            </w:tcBorders>
            <w:shd w:fill="ddebf7" w:val="clear"/>
            <w:vAlign w:val="center"/>
          </w:tcPr>
          <w:p w:rsidR="00000000" w:rsidDel="00000000" w:rsidP="00000000" w:rsidRDefault="00000000" w:rsidRPr="00000000" w14:paraId="00000577">
            <w:pPr>
              <w:spacing w:after="0" w:line="240" w:lineRule="auto"/>
              <w:jc w:val="right"/>
              <w:rPr>
                <w:b w:val="1"/>
                <w:sz w:val="20"/>
                <w:szCs w:val="20"/>
              </w:rPr>
            </w:pPr>
            <w:r w:rsidDel="00000000" w:rsidR="00000000" w:rsidRPr="00000000">
              <w:rPr>
                <w:b w:val="1"/>
                <w:sz w:val="20"/>
                <w:szCs w:val="20"/>
                <w:rtl w:val="0"/>
              </w:rPr>
              <w:t xml:space="preserve"> </w:t>
            </w:r>
          </w:p>
        </w:tc>
        <w:tc>
          <w:tcPr>
            <w:tcBorders>
              <w:top w:color="000000" w:space="0" w:sz="0" w:val="nil"/>
              <w:left w:color="000000" w:space="0" w:sz="0" w:val="nil"/>
              <w:bottom w:color="000000" w:space="0" w:sz="4" w:val="single"/>
              <w:right w:color="000000" w:space="0" w:sz="0" w:val="nil"/>
            </w:tcBorders>
            <w:shd w:fill="ffe5e5" w:val="clear"/>
            <w:vAlign w:val="center"/>
          </w:tcPr>
          <w:p w:rsidR="00000000" w:rsidDel="00000000" w:rsidP="00000000" w:rsidRDefault="00000000" w:rsidRPr="00000000" w14:paraId="00000578">
            <w:pPr>
              <w:spacing w:after="0" w:line="240" w:lineRule="auto"/>
              <w:jc w:val="right"/>
              <w:rPr>
                <w:b w:val="1"/>
                <w:sz w:val="20"/>
                <w:szCs w:val="20"/>
              </w:rPr>
            </w:pPr>
            <w:r w:rsidDel="00000000" w:rsidR="00000000" w:rsidRPr="00000000">
              <w:rPr>
                <w:b w:val="1"/>
                <w:sz w:val="20"/>
                <w:szCs w:val="20"/>
                <w:rtl w:val="0"/>
              </w:rPr>
              <w:t xml:space="preserve"> </w:t>
            </w:r>
          </w:p>
        </w:tc>
        <w:tc>
          <w:tcPr>
            <w:tcBorders>
              <w:top w:color="000000" w:space="0" w:sz="0" w:val="nil"/>
              <w:left w:color="000000" w:space="0" w:sz="0" w:val="nil"/>
              <w:bottom w:color="000000" w:space="0" w:sz="4" w:val="single"/>
              <w:right w:color="000000" w:space="0" w:sz="0" w:val="nil"/>
            </w:tcBorders>
            <w:shd w:fill="ffe5e5" w:val="clear"/>
            <w:vAlign w:val="center"/>
          </w:tcPr>
          <w:p w:rsidR="00000000" w:rsidDel="00000000" w:rsidP="00000000" w:rsidRDefault="00000000" w:rsidRPr="00000000" w14:paraId="00000579">
            <w:pPr>
              <w:spacing w:after="0" w:line="240" w:lineRule="auto"/>
              <w:jc w:val="right"/>
              <w:rPr>
                <w:b w:val="1"/>
                <w:sz w:val="20"/>
                <w:szCs w:val="20"/>
              </w:rPr>
            </w:pPr>
            <w:r w:rsidDel="00000000" w:rsidR="00000000" w:rsidRPr="00000000">
              <w:rPr>
                <w:b w:val="1"/>
                <w:sz w:val="20"/>
                <w:szCs w:val="20"/>
                <w:rtl w:val="0"/>
              </w:rPr>
              <w:t xml:space="preserve"> </w:t>
            </w:r>
          </w:p>
        </w:tc>
      </w:tr>
      <w:tr>
        <w:trPr>
          <w:cantSplit w:val="0"/>
          <w:trHeight w:val="31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57A">
            <w:pPr>
              <w:spacing w:after="0" w:line="240" w:lineRule="auto"/>
              <w:rPr>
                <w:sz w:val="20"/>
                <w:szCs w:val="20"/>
              </w:rPr>
            </w:pPr>
            <w:r w:rsidDel="00000000" w:rsidR="00000000" w:rsidRPr="00000000">
              <w:rPr>
                <w:sz w:val="20"/>
                <w:szCs w:val="20"/>
                <w:rtl w:val="0"/>
              </w:rPr>
              <w:t xml:space="preserve">Glyn Llanbedrgoch</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57B">
            <w:pPr>
              <w:spacing w:after="0" w:line="240" w:lineRule="auto"/>
              <w:jc w:val="right"/>
              <w:rPr>
                <w:sz w:val="20"/>
                <w:szCs w:val="20"/>
              </w:rPr>
            </w:pPr>
            <w:r w:rsidDel="00000000" w:rsidR="00000000" w:rsidRPr="00000000">
              <w:rPr>
                <w:sz w:val="20"/>
                <w:szCs w:val="20"/>
                <w:rtl w:val="0"/>
              </w:rPr>
              <w:t xml:space="preserve">1</w:t>
            </w:r>
          </w:p>
        </w:tc>
        <w:tc>
          <w:tcPr>
            <w:tcBorders>
              <w:top w:color="000000" w:space="0" w:sz="0" w:val="nil"/>
              <w:left w:color="000000" w:space="0" w:sz="0" w:val="nil"/>
              <w:bottom w:color="000000" w:space="0" w:sz="0" w:val="nil"/>
              <w:right w:color="000000" w:space="0" w:sz="0" w:val="nil"/>
            </w:tcBorders>
            <w:shd w:fill="e2efda" w:val="clear"/>
            <w:vAlign w:val="center"/>
          </w:tcPr>
          <w:p w:rsidR="00000000" w:rsidDel="00000000" w:rsidP="00000000" w:rsidRDefault="00000000" w:rsidRPr="00000000" w14:paraId="0000057C">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0" w:val="nil"/>
              <w:right w:color="000000" w:space="0" w:sz="0" w:val="nil"/>
            </w:tcBorders>
            <w:shd w:fill="e2efda" w:val="clear"/>
            <w:vAlign w:val="center"/>
          </w:tcPr>
          <w:p w:rsidR="00000000" w:rsidDel="00000000" w:rsidP="00000000" w:rsidRDefault="00000000" w:rsidRPr="00000000" w14:paraId="0000057D">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0" w:val="nil"/>
              <w:right w:color="000000" w:space="0" w:sz="0" w:val="nil"/>
            </w:tcBorders>
            <w:shd w:fill="ddebf7" w:val="clear"/>
            <w:vAlign w:val="center"/>
          </w:tcPr>
          <w:p w:rsidR="00000000" w:rsidDel="00000000" w:rsidP="00000000" w:rsidRDefault="00000000" w:rsidRPr="00000000" w14:paraId="0000057E">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0" w:val="nil"/>
              <w:right w:color="000000" w:space="0" w:sz="0" w:val="nil"/>
            </w:tcBorders>
            <w:shd w:fill="ddebf7" w:val="clear"/>
            <w:vAlign w:val="center"/>
          </w:tcPr>
          <w:p w:rsidR="00000000" w:rsidDel="00000000" w:rsidP="00000000" w:rsidRDefault="00000000" w:rsidRPr="00000000" w14:paraId="0000057F">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0" w:val="nil"/>
              <w:right w:color="000000" w:space="0" w:sz="0" w:val="nil"/>
            </w:tcBorders>
            <w:shd w:fill="ffe5e5" w:val="clear"/>
            <w:vAlign w:val="center"/>
          </w:tcPr>
          <w:p w:rsidR="00000000" w:rsidDel="00000000" w:rsidP="00000000" w:rsidRDefault="00000000" w:rsidRPr="00000000" w14:paraId="00000580">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0" w:val="nil"/>
              <w:right w:color="000000" w:space="0" w:sz="0" w:val="nil"/>
            </w:tcBorders>
            <w:shd w:fill="ffe5e5" w:val="clear"/>
            <w:vAlign w:val="center"/>
          </w:tcPr>
          <w:p w:rsidR="00000000" w:rsidDel="00000000" w:rsidP="00000000" w:rsidRDefault="00000000" w:rsidRPr="00000000" w14:paraId="00000581">
            <w:pPr>
              <w:spacing w:after="0" w:line="240" w:lineRule="auto"/>
              <w:jc w:val="right"/>
              <w:rPr>
                <w:sz w:val="20"/>
                <w:szCs w:val="20"/>
              </w:rPr>
            </w:pPr>
            <w:r w:rsidDel="00000000" w:rsidR="00000000" w:rsidRPr="00000000">
              <w:rPr>
                <w:sz w:val="20"/>
                <w:szCs w:val="20"/>
                <w:rtl w:val="0"/>
              </w:rPr>
              <w:t xml:space="preserve"> </w:t>
            </w:r>
          </w:p>
        </w:tc>
      </w:tr>
      <w:tr>
        <w:trPr>
          <w:cantSplit w:val="0"/>
          <w:trHeight w:val="315" w:hRule="atLeast"/>
          <w:tblHeader w:val="0"/>
        </w:trPr>
        <w:tc>
          <w:tcPr>
            <w:tcBorders>
              <w:top w:color="000000" w:space="0" w:sz="0" w:val="nil"/>
              <w:left w:color="000000" w:space="0" w:sz="0" w:val="nil"/>
              <w:bottom w:color="8ea9db" w:space="0" w:sz="4" w:val="single"/>
              <w:right w:color="000000" w:space="0" w:sz="0" w:val="nil"/>
            </w:tcBorders>
            <w:shd w:fill="f2f2f2" w:val="clear"/>
            <w:vAlign w:val="center"/>
          </w:tcPr>
          <w:p w:rsidR="00000000" w:rsidDel="00000000" w:rsidP="00000000" w:rsidRDefault="00000000" w:rsidRPr="00000000" w14:paraId="00000582">
            <w:pPr>
              <w:spacing w:after="0" w:line="240" w:lineRule="auto"/>
              <w:rPr>
                <w:b w:val="1"/>
                <w:sz w:val="20"/>
                <w:szCs w:val="20"/>
              </w:rPr>
            </w:pPr>
            <w:r w:rsidDel="00000000" w:rsidR="00000000" w:rsidRPr="00000000">
              <w:rPr>
                <w:b w:val="1"/>
                <w:sz w:val="20"/>
                <w:szCs w:val="20"/>
                <w:rtl w:val="0"/>
              </w:rPr>
              <w:t xml:space="preserve">Ireland</w:t>
            </w:r>
          </w:p>
        </w:tc>
        <w:tc>
          <w:tcPr>
            <w:tcBorders>
              <w:top w:color="000000" w:space="0" w:sz="0" w:val="nil"/>
              <w:left w:color="000000" w:space="0" w:sz="0" w:val="nil"/>
              <w:bottom w:color="8ea9db" w:space="0" w:sz="4" w:val="single"/>
              <w:right w:color="000000" w:space="0" w:sz="0" w:val="nil"/>
            </w:tcBorders>
            <w:shd w:fill="f2f2f2" w:val="clear"/>
            <w:vAlign w:val="center"/>
          </w:tcPr>
          <w:p w:rsidR="00000000" w:rsidDel="00000000" w:rsidP="00000000" w:rsidRDefault="00000000" w:rsidRPr="00000000" w14:paraId="00000583">
            <w:pPr>
              <w:spacing w:after="0" w:line="240" w:lineRule="auto"/>
              <w:jc w:val="right"/>
              <w:rPr>
                <w:b w:val="1"/>
                <w:sz w:val="20"/>
                <w:szCs w:val="20"/>
              </w:rPr>
            </w:pPr>
            <w:r w:rsidDel="00000000" w:rsidR="00000000" w:rsidRPr="00000000">
              <w:rPr>
                <w:b w:val="1"/>
                <w:sz w:val="20"/>
                <w:szCs w:val="20"/>
                <w:rtl w:val="0"/>
              </w:rPr>
              <w:t xml:space="preserve">4</w:t>
            </w:r>
          </w:p>
        </w:tc>
        <w:tc>
          <w:tcPr>
            <w:tcBorders>
              <w:top w:color="000000" w:space="0" w:sz="0" w:val="nil"/>
              <w:left w:color="000000" w:space="0" w:sz="0" w:val="nil"/>
              <w:bottom w:color="8ea9db" w:space="0" w:sz="4" w:val="single"/>
              <w:right w:color="000000" w:space="0" w:sz="0" w:val="nil"/>
            </w:tcBorders>
            <w:shd w:fill="f2f2f2" w:val="clear"/>
            <w:vAlign w:val="center"/>
          </w:tcPr>
          <w:p w:rsidR="00000000" w:rsidDel="00000000" w:rsidP="00000000" w:rsidRDefault="00000000" w:rsidRPr="00000000" w14:paraId="00000584">
            <w:pPr>
              <w:spacing w:after="0" w:line="240" w:lineRule="auto"/>
              <w:jc w:val="right"/>
              <w:rPr>
                <w:b w:val="1"/>
                <w:sz w:val="20"/>
                <w:szCs w:val="20"/>
              </w:rPr>
            </w:pPr>
            <w:r w:rsidDel="00000000" w:rsidR="00000000" w:rsidRPr="00000000">
              <w:rPr>
                <w:b w:val="1"/>
                <w:sz w:val="20"/>
                <w:szCs w:val="20"/>
                <w:rtl w:val="0"/>
              </w:rPr>
              <w:t xml:space="preserve">1</w:t>
            </w:r>
          </w:p>
        </w:tc>
        <w:tc>
          <w:tcPr>
            <w:tcBorders>
              <w:top w:color="000000" w:space="0" w:sz="0" w:val="nil"/>
              <w:left w:color="000000" w:space="0" w:sz="0" w:val="nil"/>
              <w:bottom w:color="8ea9db" w:space="0" w:sz="4" w:val="single"/>
              <w:right w:color="000000" w:space="0" w:sz="0" w:val="nil"/>
            </w:tcBorders>
            <w:shd w:fill="f2f2f2" w:val="clear"/>
            <w:vAlign w:val="center"/>
          </w:tcPr>
          <w:p w:rsidR="00000000" w:rsidDel="00000000" w:rsidP="00000000" w:rsidRDefault="00000000" w:rsidRPr="00000000" w14:paraId="00000585">
            <w:pPr>
              <w:spacing w:after="0" w:line="240" w:lineRule="auto"/>
              <w:jc w:val="right"/>
              <w:rPr>
                <w:b w:val="1"/>
                <w:sz w:val="20"/>
                <w:szCs w:val="20"/>
              </w:rPr>
            </w:pPr>
            <w:r w:rsidDel="00000000" w:rsidR="00000000" w:rsidRPr="00000000">
              <w:rPr>
                <w:b w:val="1"/>
                <w:sz w:val="20"/>
                <w:szCs w:val="20"/>
                <w:rtl w:val="0"/>
              </w:rPr>
              <w:t xml:space="preserve"> </w:t>
            </w:r>
          </w:p>
        </w:tc>
        <w:tc>
          <w:tcPr>
            <w:tcBorders>
              <w:top w:color="000000" w:space="0" w:sz="0" w:val="nil"/>
              <w:left w:color="000000" w:space="0" w:sz="0" w:val="nil"/>
              <w:bottom w:color="8ea9db" w:space="0" w:sz="4" w:val="single"/>
              <w:right w:color="000000" w:space="0" w:sz="0" w:val="nil"/>
            </w:tcBorders>
            <w:shd w:fill="f2f2f2" w:val="clear"/>
            <w:vAlign w:val="center"/>
          </w:tcPr>
          <w:p w:rsidR="00000000" w:rsidDel="00000000" w:rsidP="00000000" w:rsidRDefault="00000000" w:rsidRPr="00000000" w14:paraId="00000586">
            <w:pPr>
              <w:spacing w:after="0" w:line="240" w:lineRule="auto"/>
              <w:jc w:val="right"/>
              <w:rPr>
                <w:b w:val="1"/>
                <w:sz w:val="20"/>
                <w:szCs w:val="20"/>
              </w:rPr>
            </w:pPr>
            <w:r w:rsidDel="00000000" w:rsidR="00000000" w:rsidRPr="00000000">
              <w:rPr>
                <w:b w:val="1"/>
                <w:sz w:val="20"/>
                <w:szCs w:val="20"/>
                <w:rtl w:val="0"/>
              </w:rPr>
              <w:t xml:space="preserve"> </w:t>
            </w:r>
          </w:p>
        </w:tc>
        <w:tc>
          <w:tcPr>
            <w:tcBorders>
              <w:top w:color="000000" w:space="0" w:sz="0" w:val="nil"/>
              <w:left w:color="000000" w:space="0" w:sz="0" w:val="nil"/>
              <w:bottom w:color="8ea9db" w:space="0" w:sz="4" w:val="single"/>
              <w:right w:color="000000" w:space="0" w:sz="0" w:val="nil"/>
            </w:tcBorders>
            <w:shd w:fill="f2f2f2" w:val="clear"/>
            <w:vAlign w:val="center"/>
          </w:tcPr>
          <w:p w:rsidR="00000000" w:rsidDel="00000000" w:rsidP="00000000" w:rsidRDefault="00000000" w:rsidRPr="00000000" w14:paraId="00000587">
            <w:pPr>
              <w:spacing w:after="0" w:line="240" w:lineRule="auto"/>
              <w:jc w:val="right"/>
              <w:rPr>
                <w:b w:val="1"/>
                <w:sz w:val="20"/>
                <w:szCs w:val="20"/>
              </w:rPr>
            </w:pPr>
            <w:r w:rsidDel="00000000" w:rsidR="00000000" w:rsidRPr="00000000">
              <w:rPr>
                <w:b w:val="1"/>
                <w:sz w:val="20"/>
                <w:szCs w:val="20"/>
                <w:rtl w:val="0"/>
              </w:rPr>
              <w:t xml:space="preserve"> </w:t>
            </w:r>
          </w:p>
        </w:tc>
        <w:tc>
          <w:tcPr>
            <w:tcBorders>
              <w:top w:color="000000" w:space="0" w:sz="0" w:val="nil"/>
              <w:left w:color="000000" w:space="0" w:sz="0" w:val="nil"/>
              <w:bottom w:color="8ea9db" w:space="0" w:sz="4" w:val="single"/>
              <w:right w:color="000000" w:space="0" w:sz="0" w:val="nil"/>
            </w:tcBorders>
            <w:shd w:fill="f2f2f2" w:val="clear"/>
            <w:vAlign w:val="center"/>
          </w:tcPr>
          <w:p w:rsidR="00000000" w:rsidDel="00000000" w:rsidP="00000000" w:rsidRDefault="00000000" w:rsidRPr="00000000" w14:paraId="00000588">
            <w:pPr>
              <w:spacing w:after="0" w:line="240" w:lineRule="auto"/>
              <w:jc w:val="right"/>
              <w:rPr>
                <w:b w:val="1"/>
                <w:sz w:val="20"/>
                <w:szCs w:val="20"/>
              </w:rPr>
            </w:pPr>
            <w:r w:rsidDel="00000000" w:rsidR="00000000" w:rsidRPr="00000000">
              <w:rPr>
                <w:b w:val="1"/>
                <w:sz w:val="20"/>
                <w:szCs w:val="20"/>
                <w:rtl w:val="0"/>
              </w:rPr>
              <w:t xml:space="preserve"> </w:t>
            </w:r>
          </w:p>
        </w:tc>
        <w:tc>
          <w:tcPr>
            <w:tcBorders>
              <w:top w:color="000000" w:space="0" w:sz="0" w:val="nil"/>
              <w:left w:color="000000" w:space="0" w:sz="0" w:val="nil"/>
              <w:bottom w:color="8ea9db" w:space="0" w:sz="4" w:val="single"/>
              <w:right w:color="000000" w:space="0" w:sz="0" w:val="nil"/>
            </w:tcBorders>
            <w:shd w:fill="f2f2f2" w:val="clear"/>
            <w:vAlign w:val="center"/>
          </w:tcPr>
          <w:p w:rsidR="00000000" w:rsidDel="00000000" w:rsidP="00000000" w:rsidRDefault="00000000" w:rsidRPr="00000000" w14:paraId="00000589">
            <w:pPr>
              <w:spacing w:after="0" w:line="240" w:lineRule="auto"/>
              <w:jc w:val="right"/>
              <w:rPr>
                <w:b w:val="1"/>
                <w:sz w:val="20"/>
                <w:szCs w:val="20"/>
              </w:rPr>
            </w:pPr>
            <w:r w:rsidDel="00000000" w:rsidR="00000000" w:rsidRPr="00000000">
              <w:rPr>
                <w:b w:val="1"/>
                <w:sz w:val="20"/>
                <w:szCs w:val="20"/>
                <w:rtl w:val="0"/>
              </w:rPr>
              <w:t xml:space="preserve"> </w:t>
            </w:r>
          </w:p>
        </w:tc>
      </w:tr>
      <w:tr>
        <w:trPr>
          <w:cantSplit w:val="0"/>
          <w:trHeight w:val="315" w:hRule="atLeast"/>
          <w:tblHeader w:val="0"/>
        </w:trPr>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58A">
            <w:pPr>
              <w:spacing w:after="0" w:line="240" w:lineRule="auto"/>
              <w:rPr>
                <w:b w:val="1"/>
                <w:sz w:val="20"/>
                <w:szCs w:val="20"/>
              </w:rPr>
            </w:pPr>
            <w:r w:rsidDel="00000000" w:rsidR="00000000" w:rsidRPr="00000000">
              <w:rPr>
                <w:b w:val="1"/>
                <w:sz w:val="20"/>
                <w:szCs w:val="20"/>
                <w:rtl w:val="0"/>
              </w:rPr>
              <w:t xml:space="preserve">Connaught</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58B">
            <w:pPr>
              <w:spacing w:after="0" w:line="240" w:lineRule="auto"/>
              <w:jc w:val="right"/>
              <w:rPr>
                <w:b w:val="1"/>
                <w:sz w:val="20"/>
                <w:szCs w:val="20"/>
              </w:rPr>
            </w:pPr>
            <w:r w:rsidDel="00000000" w:rsidR="00000000" w:rsidRPr="00000000">
              <w:rPr>
                <w:b w:val="1"/>
                <w:sz w:val="20"/>
                <w:szCs w:val="20"/>
                <w:rtl w:val="0"/>
              </w:rPr>
              <w:t xml:space="preserve">1</w:t>
            </w:r>
          </w:p>
        </w:tc>
        <w:tc>
          <w:tcPr>
            <w:tcBorders>
              <w:top w:color="000000" w:space="0" w:sz="0" w:val="nil"/>
              <w:left w:color="000000" w:space="0" w:sz="0" w:val="nil"/>
              <w:bottom w:color="000000" w:space="0" w:sz="4" w:val="single"/>
              <w:right w:color="000000" w:space="0" w:sz="0" w:val="nil"/>
            </w:tcBorders>
            <w:shd w:fill="e2efda" w:val="clear"/>
            <w:vAlign w:val="center"/>
          </w:tcPr>
          <w:p w:rsidR="00000000" w:rsidDel="00000000" w:rsidP="00000000" w:rsidRDefault="00000000" w:rsidRPr="00000000" w14:paraId="0000058C">
            <w:pPr>
              <w:spacing w:after="0" w:line="240" w:lineRule="auto"/>
              <w:jc w:val="right"/>
              <w:rPr>
                <w:b w:val="1"/>
                <w:sz w:val="20"/>
                <w:szCs w:val="20"/>
              </w:rPr>
            </w:pPr>
            <w:r w:rsidDel="00000000" w:rsidR="00000000" w:rsidRPr="00000000">
              <w:rPr>
                <w:b w:val="1"/>
                <w:sz w:val="20"/>
                <w:szCs w:val="20"/>
                <w:rtl w:val="0"/>
              </w:rPr>
              <w:t xml:space="preserve"> </w:t>
            </w:r>
          </w:p>
        </w:tc>
        <w:tc>
          <w:tcPr>
            <w:tcBorders>
              <w:top w:color="000000" w:space="0" w:sz="0" w:val="nil"/>
              <w:left w:color="000000" w:space="0" w:sz="0" w:val="nil"/>
              <w:bottom w:color="000000" w:space="0" w:sz="4" w:val="single"/>
              <w:right w:color="000000" w:space="0" w:sz="0" w:val="nil"/>
            </w:tcBorders>
            <w:shd w:fill="e2efda" w:val="clear"/>
            <w:vAlign w:val="center"/>
          </w:tcPr>
          <w:p w:rsidR="00000000" w:rsidDel="00000000" w:rsidP="00000000" w:rsidRDefault="00000000" w:rsidRPr="00000000" w14:paraId="0000058D">
            <w:pPr>
              <w:spacing w:after="0" w:line="240" w:lineRule="auto"/>
              <w:jc w:val="right"/>
              <w:rPr>
                <w:b w:val="1"/>
                <w:sz w:val="20"/>
                <w:szCs w:val="20"/>
              </w:rPr>
            </w:pPr>
            <w:r w:rsidDel="00000000" w:rsidR="00000000" w:rsidRPr="00000000">
              <w:rPr>
                <w:b w:val="1"/>
                <w:sz w:val="20"/>
                <w:szCs w:val="20"/>
                <w:rtl w:val="0"/>
              </w:rPr>
              <w:t xml:space="preserve"> </w:t>
            </w:r>
          </w:p>
        </w:tc>
        <w:tc>
          <w:tcPr>
            <w:tcBorders>
              <w:top w:color="000000" w:space="0" w:sz="0" w:val="nil"/>
              <w:left w:color="000000" w:space="0" w:sz="0" w:val="nil"/>
              <w:bottom w:color="000000" w:space="0" w:sz="4" w:val="single"/>
              <w:right w:color="000000" w:space="0" w:sz="0" w:val="nil"/>
            </w:tcBorders>
            <w:shd w:fill="ddebf7" w:val="clear"/>
            <w:vAlign w:val="center"/>
          </w:tcPr>
          <w:p w:rsidR="00000000" w:rsidDel="00000000" w:rsidP="00000000" w:rsidRDefault="00000000" w:rsidRPr="00000000" w14:paraId="0000058E">
            <w:pPr>
              <w:spacing w:after="0" w:line="240" w:lineRule="auto"/>
              <w:jc w:val="right"/>
              <w:rPr>
                <w:b w:val="1"/>
                <w:sz w:val="20"/>
                <w:szCs w:val="20"/>
              </w:rPr>
            </w:pPr>
            <w:r w:rsidDel="00000000" w:rsidR="00000000" w:rsidRPr="00000000">
              <w:rPr>
                <w:b w:val="1"/>
                <w:sz w:val="20"/>
                <w:szCs w:val="20"/>
                <w:rtl w:val="0"/>
              </w:rPr>
              <w:t xml:space="preserve"> </w:t>
            </w:r>
          </w:p>
        </w:tc>
        <w:tc>
          <w:tcPr>
            <w:tcBorders>
              <w:top w:color="000000" w:space="0" w:sz="0" w:val="nil"/>
              <w:left w:color="000000" w:space="0" w:sz="0" w:val="nil"/>
              <w:bottom w:color="000000" w:space="0" w:sz="4" w:val="single"/>
              <w:right w:color="000000" w:space="0" w:sz="0" w:val="nil"/>
            </w:tcBorders>
            <w:shd w:fill="ddebf7" w:val="clear"/>
            <w:vAlign w:val="center"/>
          </w:tcPr>
          <w:p w:rsidR="00000000" w:rsidDel="00000000" w:rsidP="00000000" w:rsidRDefault="00000000" w:rsidRPr="00000000" w14:paraId="0000058F">
            <w:pPr>
              <w:spacing w:after="0" w:line="240" w:lineRule="auto"/>
              <w:jc w:val="right"/>
              <w:rPr>
                <w:b w:val="1"/>
                <w:sz w:val="20"/>
                <w:szCs w:val="20"/>
              </w:rPr>
            </w:pPr>
            <w:r w:rsidDel="00000000" w:rsidR="00000000" w:rsidRPr="00000000">
              <w:rPr>
                <w:b w:val="1"/>
                <w:sz w:val="20"/>
                <w:szCs w:val="20"/>
                <w:rtl w:val="0"/>
              </w:rPr>
              <w:t xml:space="preserve"> </w:t>
            </w:r>
          </w:p>
        </w:tc>
        <w:tc>
          <w:tcPr>
            <w:tcBorders>
              <w:top w:color="000000" w:space="0" w:sz="0" w:val="nil"/>
              <w:left w:color="000000" w:space="0" w:sz="0" w:val="nil"/>
              <w:bottom w:color="000000" w:space="0" w:sz="4" w:val="single"/>
              <w:right w:color="000000" w:space="0" w:sz="0" w:val="nil"/>
            </w:tcBorders>
            <w:shd w:fill="ffe5e5" w:val="clear"/>
            <w:vAlign w:val="center"/>
          </w:tcPr>
          <w:p w:rsidR="00000000" w:rsidDel="00000000" w:rsidP="00000000" w:rsidRDefault="00000000" w:rsidRPr="00000000" w14:paraId="00000590">
            <w:pPr>
              <w:spacing w:after="0" w:line="240" w:lineRule="auto"/>
              <w:jc w:val="right"/>
              <w:rPr>
                <w:b w:val="1"/>
                <w:sz w:val="20"/>
                <w:szCs w:val="20"/>
              </w:rPr>
            </w:pPr>
            <w:r w:rsidDel="00000000" w:rsidR="00000000" w:rsidRPr="00000000">
              <w:rPr>
                <w:b w:val="1"/>
                <w:sz w:val="20"/>
                <w:szCs w:val="20"/>
                <w:rtl w:val="0"/>
              </w:rPr>
              <w:t xml:space="preserve"> </w:t>
            </w:r>
          </w:p>
        </w:tc>
        <w:tc>
          <w:tcPr>
            <w:tcBorders>
              <w:top w:color="000000" w:space="0" w:sz="0" w:val="nil"/>
              <w:left w:color="000000" w:space="0" w:sz="0" w:val="nil"/>
              <w:bottom w:color="000000" w:space="0" w:sz="4" w:val="single"/>
              <w:right w:color="000000" w:space="0" w:sz="0" w:val="nil"/>
            </w:tcBorders>
            <w:shd w:fill="ffe5e5" w:val="clear"/>
            <w:vAlign w:val="center"/>
          </w:tcPr>
          <w:p w:rsidR="00000000" w:rsidDel="00000000" w:rsidP="00000000" w:rsidRDefault="00000000" w:rsidRPr="00000000" w14:paraId="00000591">
            <w:pPr>
              <w:spacing w:after="0" w:line="240" w:lineRule="auto"/>
              <w:jc w:val="right"/>
              <w:rPr>
                <w:b w:val="1"/>
                <w:sz w:val="20"/>
                <w:szCs w:val="20"/>
              </w:rPr>
            </w:pPr>
            <w:r w:rsidDel="00000000" w:rsidR="00000000" w:rsidRPr="00000000">
              <w:rPr>
                <w:b w:val="1"/>
                <w:sz w:val="20"/>
                <w:szCs w:val="20"/>
                <w:rtl w:val="0"/>
              </w:rPr>
              <w:t xml:space="preserve"> </w:t>
            </w:r>
          </w:p>
        </w:tc>
      </w:tr>
      <w:tr>
        <w:trPr>
          <w:cantSplit w:val="0"/>
          <w:trHeight w:val="31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592">
            <w:pPr>
              <w:spacing w:after="0" w:line="240" w:lineRule="auto"/>
              <w:rPr>
                <w:sz w:val="20"/>
                <w:szCs w:val="20"/>
              </w:rPr>
            </w:pPr>
            <w:r w:rsidDel="00000000" w:rsidR="00000000" w:rsidRPr="00000000">
              <w:rPr>
                <w:sz w:val="20"/>
                <w:szCs w:val="20"/>
                <w:rtl w:val="0"/>
              </w:rPr>
              <w:t xml:space="preserve">Eyrephort</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593">
            <w:pPr>
              <w:spacing w:after="0" w:line="240" w:lineRule="auto"/>
              <w:jc w:val="right"/>
              <w:rPr>
                <w:sz w:val="20"/>
                <w:szCs w:val="20"/>
              </w:rPr>
            </w:pPr>
            <w:r w:rsidDel="00000000" w:rsidR="00000000" w:rsidRPr="00000000">
              <w:rPr>
                <w:sz w:val="20"/>
                <w:szCs w:val="20"/>
                <w:rtl w:val="0"/>
              </w:rPr>
              <w:t xml:space="preserve">1</w:t>
            </w:r>
          </w:p>
        </w:tc>
        <w:tc>
          <w:tcPr>
            <w:tcBorders>
              <w:top w:color="000000" w:space="0" w:sz="0" w:val="nil"/>
              <w:left w:color="000000" w:space="0" w:sz="0" w:val="nil"/>
              <w:bottom w:color="000000" w:space="0" w:sz="0" w:val="nil"/>
              <w:right w:color="000000" w:space="0" w:sz="0" w:val="nil"/>
            </w:tcBorders>
            <w:shd w:fill="e2efda" w:val="clear"/>
            <w:vAlign w:val="center"/>
          </w:tcPr>
          <w:p w:rsidR="00000000" w:rsidDel="00000000" w:rsidP="00000000" w:rsidRDefault="00000000" w:rsidRPr="00000000" w14:paraId="00000594">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0" w:val="nil"/>
              <w:right w:color="000000" w:space="0" w:sz="0" w:val="nil"/>
            </w:tcBorders>
            <w:shd w:fill="e2efda" w:val="clear"/>
            <w:vAlign w:val="center"/>
          </w:tcPr>
          <w:p w:rsidR="00000000" w:rsidDel="00000000" w:rsidP="00000000" w:rsidRDefault="00000000" w:rsidRPr="00000000" w14:paraId="00000595">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0" w:val="nil"/>
              <w:right w:color="000000" w:space="0" w:sz="0" w:val="nil"/>
            </w:tcBorders>
            <w:shd w:fill="ddebf7" w:val="clear"/>
            <w:vAlign w:val="center"/>
          </w:tcPr>
          <w:p w:rsidR="00000000" w:rsidDel="00000000" w:rsidP="00000000" w:rsidRDefault="00000000" w:rsidRPr="00000000" w14:paraId="00000596">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0" w:val="nil"/>
              <w:right w:color="000000" w:space="0" w:sz="0" w:val="nil"/>
            </w:tcBorders>
            <w:shd w:fill="ddebf7" w:val="clear"/>
            <w:vAlign w:val="center"/>
          </w:tcPr>
          <w:p w:rsidR="00000000" w:rsidDel="00000000" w:rsidP="00000000" w:rsidRDefault="00000000" w:rsidRPr="00000000" w14:paraId="00000597">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0" w:val="nil"/>
              <w:right w:color="000000" w:space="0" w:sz="0" w:val="nil"/>
            </w:tcBorders>
            <w:shd w:fill="ffe5e5" w:val="clear"/>
            <w:vAlign w:val="center"/>
          </w:tcPr>
          <w:p w:rsidR="00000000" w:rsidDel="00000000" w:rsidP="00000000" w:rsidRDefault="00000000" w:rsidRPr="00000000" w14:paraId="00000598">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0" w:val="nil"/>
              <w:right w:color="000000" w:space="0" w:sz="0" w:val="nil"/>
            </w:tcBorders>
            <w:shd w:fill="ffe5e5" w:val="clear"/>
            <w:vAlign w:val="center"/>
          </w:tcPr>
          <w:p w:rsidR="00000000" w:rsidDel="00000000" w:rsidP="00000000" w:rsidRDefault="00000000" w:rsidRPr="00000000" w14:paraId="00000599">
            <w:pPr>
              <w:spacing w:after="0" w:line="240" w:lineRule="auto"/>
              <w:jc w:val="right"/>
              <w:rPr>
                <w:sz w:val="20"/>
                <w:szCs w:val="20"/>
              </w:rPr>
            </w:pPr>
            <w:r w:rsidDel="00000000" w:rsidR="00000000" w:rsidRPr="00000000">
              <w:rPr>
                <w:sz w:val="20"/>
                <w:szCs w:val="20"/>
                <w:rtl w:val="0"/>
              </w:rPr>
              <w:t xml:space="preserve"> </w:t>
            </w:r>
          </w:p>
        </w:tc>
      </w:tr>
      <w:tr>
        <w:trPr>
          <w:cantSplit w:val="0"/>
          <w:trHeight w:val="315" w:hRule="atLeast"/>
          <w:tblHeader w:val="0"/>
        </w:trPr>
        <w:tc>
          <w:tcPr>
            <w:tcBorders>
              <w:top w:color="000000" w:space="0" w:sz="4" w:val="single"/>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59A">
            <w:pPr>
              <w:spacing w:after="0" w:line="240" w:lineRule="auto"/>
              <w:rPr>
                <w:b w:val="1"/>
                <w:sz w:val="20"/>
                <w:szCs w:val="20"/>
              </w:rPr>
            </w:pPr>
            <w:r w:rsidDel="00000000" w:rsidR="00000000" w:rsidRPr="00000000">
              <w:rPr>
                <w:b w:val="1"/>
                <w:sz w:val="20"/>
                <w:szCs w:val="20"/>
                <w:rtl w:val="0"/>
              </w:rPr>
              <w:t xml:space="preserve">Leinster</w:t>
            </w:r>
          </w:p>
        </w:tc>
        <w:tc>
          <w:tcPr>
            <w:tcBorders>
              <w:top w:color="000000" w:space="0" w:sz="4" w:val="single"/>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59B">
            <w:pPr>
              <w:spacing w:after="0" w:line="240" w:lineRule="auto"/>
              <w:jc w:val="right"/>
              <w:rPr>
                <w:b w:val="1"/>
                <w:sz w:val="20"/>
                <w:szCs w:val="20"/>
              </w:rPr>
            </w:pPr>
            <w:r w:rsidDel="00000000" w:rsidR="00000000" w:rsidRPr="00000000">
              <w:rPr>
                <w:b w:val="1"/>
                <w:sz w:val="20"/>
                <w:szCs w:val="20"/>
                <w:rtl w:val="0"/>
              </w:rPr>
              <w:t xml:space="preserve">3</w:t>
            </w:r>
          </w:p>
        </w:tc>
        <w:tc>
          <w:tcPr>
            <w:tcBorders>
              <w:top w:color="000000" w:space="0" w:sz="4" w:val="single"/>
              <w:left w:color="000000" w:space="0" w:sz="0" w:val="nil"/>
              <w:bottom w:color="000000" w:space="0" w:sz="4" w:val="single"/>
              <w:right w:color="000000" w:space="0" w:sz="0" w:val="nil"/>
            </w:tcBorders>
            <w:shd w:fill="e2efda" w:val="clear"/>
            <w:vAlign w:val="center"/>
          </w:tcPr>
          <w:p w:rsidR="00000000" w:rsidDel="00000000" w:rsidP="00000000" w:rsidRDefault="00000000" w:rsidRPr="00000000" w14:paraId="0000059C">
            <w:pPr>
              <w:spacing w:after="0" w:line="240" w:lineRule="auto"/>
              <w:jc w:val="right"/>
              <w:rPr>
                <w:b w:val="1"/>
                <w:sz w:val="20"/>
                <w:szCs w:val="20"/>
              </w:rPr>
            </w:pPr>
            <w:r w:rsidDel="00000000" w:rsidR="00000000" w:rsidRPr="00000000">
              <w:rPr>
                <w:b w:val="1"/>
                <w:sz w:val="20"/>
                <w:szCs w:val="20"/>
                <w:rtl w:val="0"/>
              </w:rPr>
              <w:t xml:space="preserve">1</w:t>
            </w:r>
          </w:p>
        </w:tc>
        <w:tc>
          <w:tcPr>
            <w:tcBorders>
              <w:top w:color="000000" w:space="0" w:sz="4" w:val="single"/>
              <w:left w:color="000000" w:space="0" w:sz="0" w:val="nil"/>
              <w:bottom w:color="000000" w:space="0" w:sz="4" w:val="single"/>
              <w:right w:color="000000" w:space="0" w:sz="0" w:val="nil"/>
            </w:tcBorders>
            <w:shd w:fill="e2efda" w:val="clear"/>
            <w:vAlign w:val="center"/>
          </w:tcPr>
          <w:p w:rsidR="00000000" w:rsidDel="00000000" w:rsidP="00000000" w:rsidRDefault="00000000" w:rsidRPr="00000000" w14:paraId="0000059D">
            <w:pPr>
              <w:spacing w:after="0" w:line="240" w:lineRule="auto"/>
              <w:jc w:val="right"/>
              <w:rPr>
                <w:b w:val="1"/>
                <w:sz w:val="20"/>
                <w:szCs w:val="20"/>
              </w:rPr>
            </w:pPr>
            <w:r w:rsidDel="00000000" w:rsidR="00000000" w:rsidRPr="00000000">
              <w:rPr>
                <w:b w:val="1"/>
                <w:sz w:val="20"/>
                <w:szCs w:val="20"/>
                <w:rtl w:val="0"/>
              </w:rPr>
              <w:t xml:space="preserve"> </w:t>
            </w:r>
          </w:p>
        </w:tc>
        <w:tc>
          <w:tcPr>
            <w:tcBorders>
              <w:top w:color="000000" w:space="0" w:sz="4" w:val="single"/>
              <w:left w:color="000000" w:space="0" w:sz="0" w:val="nil"/>
              <w:bottom w:color="000000" w:space="0" w:sz="4" w:val="single"/>
              <w:right w:color="000000" w:space="0" w:sz="0" w:val="nil"/>
            </w:tcBorders>
            <w:shd w:fill="ddebf7" w:val="clear"/>
            <w:vAlign w:val="center"/>
          </w:tcPr>
          <w:p w:rsidR="00000000" w:rsidDel="00000000" w:rsidP="00000000" w:rsidRDefault="00000000" w:rsidRPr="00000000" w14:paraId="0000059E">
            <w:pPr>
              <w:spacing w:after="0" w:line="240" w:lineRule="auto"/>
              <w:jc w:val="right"/>
              <w:rPr>
                <w:b w:val="1"/>
                <w:sz w:val="20"/>
                <w:szCs w:val="20"/>
              </w:rPr>
            </w:pPr>
            <w:r w:rsidDel="00000000" w:rsidR="00000000" w:rsidRPr="00000000">
              <w:rPr>
                <w:b w:val="1"/>
                <w:sz w:val="20"/>
                <w:szCs w:val="20"/>
                <w:rtl w:val="0"/>
              </w:rPr>
              <w:t xml:space="preserve"> </w:t>
            </w:r>
          </w:p>
        </w:tc>
        <w:tc>
          <w:tcPr>
            <w:tcBorders>
              <w:top w:color="000000" w:space="0" w:sz="4" w:val="single"/>
              <w:left w:color="000000" w:space="0" w:sz="0" w:val="nil"/>
              <w:bottom w:color="000000" w:space="0" w:sz="4" w:val="single"/>
              <w:right w:color="000000" w:space="0" w:sz="0" w:val="nil"/>
            </w:tcBorders>
            <w:shd w:fill="ddebf7" w:val="clear"/>
            <w:vAlign w:val="center"/>
          </w:tcPr>
          <w:p w:rsidR="00000000" w:rsidDel="00000000" w:rsidP="00000000" w:rsidRDefault="00000000" w:rsidRPr="00000000" w14:paraId="0000059F">
            <w:pPr>
              <w:spacing w:after="0" w:line="240" w:lineRule="auto"/>
              <w:jc w:val="right"/>
              <w:rPr>
                <w:b w:val="1"/>
                <w:sz w:val="20"/>
                <w:szCs w:val="20"/>
              </w:rPr>
            </w:pPr>
            <w:r w:rsidDel="00000000" w:rsidR="00000000" w:rsidRPr="00000000">
              <w:rPr>
                <w:b w:val="1"/>
                <w:sz w:val="20"/>
                <w:szCs w:val="20"/>
                <w:rtl w:val="0"/>
              </w:rPr>
              <w:t xml:space="preserve"> </w:t>
            </w:r>
          </w:p>
        </w:tc>
        <w:tc>
          <w:tcPr>
            <w:tcBorders>
              <w:top w:color="000000" w:space="0" w:sz="4" w:val="single"/>
              <w:left w:color="000000" w:space="0" w:sz="0" w:val="nil"/>
              <w:bottom w:color="000000" w:space="0" w:sz="4" w:val="single"/>
              <w:right w:color="000000" w:space="0" w:sz="0" w:val="nil"/>
            </w:tcBorders>
            <w:shd w:fill="ffe5e5" w:val="clear"/>
            <w:vAlign w:val="center"/>
          </w:tcPr>
          <w:p w:rsidR="00000000" w:rsidDel="00000000" w:rsidP="00000000" w:rsidRDefault="00000000" w:rsidRPr="00000000" w14:paraId="000005A0">
            <w:pPr>
              <w:spacing w:after="0" w:line="240" w:lineRule="auto"/>
              <w:jc w:val="right"/>
              <w:rPr>
                <w:b w:val="1"/>
                <w:sz w:val="20"/>
                <w:szCs w:val="20"/>
              </w:rPr>
            </w:pPr>
            <w:r w:rsidDel="00000000" w:rsidR="00000000" w:rsidRPr="00000000">
              <w:rPr>
                <w:b w:val="1"/>
                <w:sz w:val="20"/>
                <w:szCs w:val="20"/>
                <w:rtl w:val="0"/>
              </w:rPr>
              <w:t xml:space="preserve"> </w:t>
            </w:r>
          </w:p>
        </w:tc>
        <w:tc>
          <w:tcPr>
            <w:tcBorders>
              <w:top w:color="000000" w:space="0" w:sz="4" w:val="single"/>
              <w:left w:color="000000" w:space="0" w:sz="0" w:val="nil"/>
              <w:bottom w:color="000000" w:space="0" w:sz="4" w:val="single"/>
              <w:right w:color="000000" w:space="0" w:sz="0" w:val="nil"/>
            </w:tcBorders>
            <w:shd w:fill="ffe5e5" w:val="clear"/>
            <w:vAlign w:val="center"/>
          </w:tcPr>
          <w:p w:rsidR="00000000" w:rsidDel="00000000" w:rsidP="00000000" w:rsidRDefault="00000000" w:rsidRPr="00000000" w14:paraId="000005A1">
            <w:pPr>
              <w:spacing w:after="0" w:line="240" w:lineRule="auto"/>
              <w:jc w:val="right"/>
              <w:rPr>
                <w:b w:val="1"/>
                <w:sz w:val="20"/>
                <w:szCs w:val="20"/>
              </w:rPr>
            </w:pPr>
            <w:r w:rsidDel="00000000" w:rsidR="00000000" w:rsidRPr="00000000">
              <w:rPr>
                <w:b w:val="1"/>
                <w:sz w:val="20"/>
                <w:szCs w:val="20"/>
                <w:rtl w:val="0"/>
              </w:rPr>
              <w:t xml:space="preserve"> </w:t>
            </w:r>
          </w:p>
        </w:tc>
      </w:tr>
      <w:tr>
        <w:trPr>
          <w:cantSplit w:val="0"/>
          <w:trHeight w:val="31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5A2">
            <w:pPr>
              <w:spacing w:after="0" w:line="240" w:lineRule="auto"/>
              <w:rPr>
                <w:sz w:val="20"/>
                <w:szCs w:val="20"/>
              </w:rPr>
            </w:pPr>
            <w:r w:rsidDel="00000000" w:rsidR="00000000" w:rsidRPr="00000000">
              <w:rPr>
                <w:sz w:val="20"/>
                <w:szCs w:val="20"/>
                <w:rtl w:val="0"/>
              </w:rPr>
              <w:t xml:space="preserve">Finglas</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5A3">
            <w:pPr>
              <w:spacing w:after="0" w:line="240" w:lineRule="auto"/>
              <w:jc w:val="right"/>
              <w:rPr>
                <w:sz w:val="20"/>
                <w:szCs w:val="20"/>
              </w:rPr>
            </w:pPr>
            <w:r w:rsidDel="00000000" w:rsidR="00000000" w:rsidRPr="00000000">
              <w:rPr>
                <w:sz w:val="20"/>
                <w:szCs w:val="20"/>
                <w:rtl w:val="0"/>
              </w:rPr>
              <w:t xml:space="preserve">1</w:t>
            </w:r>
          </w:p>
        </w:tc>
        <w:tc>
          <w:tcPr>
            <w:tcBorders>
              <w:top w:color="000000" w:space="0" w:sz="0" w:val="nil"/>
              <w:left w:color="000000" w:space="0" w:sz="0" w:val="nil"/>
              <w:bottom w:color="000000" w:space="0" w:sz="0" w:val="nil"/>
              <w:right w:color="000000" w:space="0" w:sz="0" w:val="nil"/>
            </w:tcBorders>
            <w:shd w:fill="e2efda" w:val="clear"/>
            <w:vAlign w:val="center"/>
          </w:tcPr>
          <w:p w:rsidR="00000000" w:rsidDel="00000000" w:rsidP="00000000" w:rsidRDefault="00000000" w:rsidRPr="00000000" w14:paraId="000005A4">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0" w:val="nil"/>
              <w:right w:color="000000" w:space="0" w:sz="0" w:val="nil"/>
            </w:tcBorders>
            <w:shd w:fill="e2efda" w:val="clear"/>
            <w:vAlign w:val="center"/>
          </w:tcPr>
          <w:p w:rsidR="00000000" w:rsidDel="00000000" w:rsidP="00000000" w:rsidRDefault="00000000" w:rsidRPr="00000000" w14:paraId="000005A5">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0" w:val="nil"/>
              <w:right w:color="000000" w:space="0" w:sz="0" w:val="nil"/>
            </w:tcBorders>
            <w:shd w:fill="ddebf7" w:val="clear"/>
            <w:vAlign w:val="center"/>
          </w:tcPr>
          <w:p w:rsidR="00000000" w:rsidDel="00000000" w:rsidP="00000000" w:rsidRDefault="00000000" w:rsidRPr="00000000" w14:paraId="000005A6">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0" w:val="nil"/>
              <w:right w:color="000000" w:space="0" w:sz="0" w:val="nil"/>
            </w:tcBorders>
            <w:shd w:fill="ddebf7" w:val="clear"/>
            <w:vAlign w:val="center"/>
          </w:tcPr>
          <w:p w:rsidR="00000000" w:rsidDel="00000000" w:rsidP="00000000" w:rsidRDefault="00000000" w:rsidRPr="00000000" w14:paraId="000005A7">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0" w:val="nil"/>
              <w:right w:color="000000" w:space="0" w:sz="0" w:val="nil"/>
            </w:tcBorders>
            <w:shd w:fill="ffe5e5" w:val="clear"/>
            <w:vAlign w:val="center"/>
          </w:tcPr>
          <w:p w:rsidR="00000000" w:rsidDel="00000000" w:rsidP="00000000" w:rsidRDefault="00000000" w:rsidRPr="00000000" w14:paraId="000005A8">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0" w:val="nil"/>
              <w:right w:color="000000" w:space="0" w:sz="0" w:val="nil"/>
            </w:tcBorders>
            <w:shd w:fill="ffe5e5" w:val="clear"/>
            <w:vAlign w:val="center"/>
          </w:tcPr>
          <w:p w:rsidR="00000000" w:rsidDel="00000000" w:rsidP="00000000" w:rsidRDefault="00000000" w:rsidRPr="00000000" w14:paraId="000005A9">
            <w:pPr>
              <w:spacing w:after="0" w:line="240" w:lineRule="auto"/>
              <w:jc w:val="right"/>
              <w:rPr>
                <w:sz w:val="20"/>
                <w:szCs w:val="20"/>
              </w:rPr>
            </w:pPr>
            <w:r w:rsidDel="00000000" w:rsidR="00000000" w:rsidRPr="00000000">
              <w:rPr>
                <w:sz w:val="20"/>
                <w:szCs w:val="20"/>
                <w:rtl w:val="0"/>
              </w:rPr>
              <w:t xml:space="preserve"> </w:t>
            </w:r>
          </w:p>
        </w:tc>
      </w:tr>
      <w:tr>
        <w:trPr>
          <w:cantSplit w:val="0"/>
          <w:trHeight w:val="31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5AA">
            <w:pPr>
              <w:spacing w:after="0" w:line="240" w:lineRule="auto"/>
              <w:rPr>
                <w:sz w:val="20"/>
                <w:szCs w:val="20"/>
              </w:rPr>
            </w:pPr>
            <w:r w:rsidDel="00000000" w:rsidR="00000000" w:rsidRPr="00000000">
              <w:rPr>
                <w:sz w:val="20"/>
                <w:szCs w:val="20"/>
                <w:rtl w:val="0"/>
              </w:rPr>
              <w:t xml:space="preserve">Islandbridge</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5AB">
            <w:pPr>
              <w:spacing w:after="0" w:line="240" w:lineRule="auto"/>
              <w:jc w:val="right"/>
              <w:rPr>
                <w:sz w:val="20"/>
                <w:szCs w:val="20"/>
              </w:rPr>
            </w:pPr>
            <w:r w:rsidDel="00000000" w:rsidR="00000000" w:rsidRPr="00000000">
              <w:rPr>
                <w:sz w:val="20"/>
                <w:szCs w:val="20"/>
                <w:rtl w:val="0"/>
              </w:rPr>
              <w:t xml:space="preserve">1</w:t>
            </w:r>
          </w:p>
        </w:tc>
        <w:tc>
          <w:tcPr>
            <w:tcBorders>
              <w:top w:color="000000" w:space="0" w:sz="0" w:val="nil"/>
              <w:left w:color="000000" w:space="0" w:sz="0" w:val="nil"/>
              <w:bottom w:color="000000" w:space="0" w:sz="0" w:val="nil"/>
              <w:right w:color="000000" w:space="0" w:sz="0" w:val="nil"/>
            </w:tcBorders>
            <w:shd w:fill="e2efda" w:val="clear"/>
            <w:vAlign w:val="center"/>
          </w:tcPr>
          <w:p w:rsidR="00000000" w:rsidDel="00000000" w:rsidP="00000000" w:rsidRDefault="00000000" w:rsidRPr="00000000" w14:paraId="000005AC">
            <w:pPr>
              <w:spacing w:after="0" w:line="240" w:lineRule="auto"/>
              <w:jc w:val="right"/>
              <w:rPr>
                <w:sz w:val="20"/>
                <w:szCs w:val="20"/>
              </w:rPr>
            </w:pPr>
            <w:r w:rsidDel="00000000" w:rsidR="00000000" w:rsidRPr="00000000">
              <w:rPr>
                <w:sz w:val="20"/>
                <w:szCs w:val="20"/>
                <w:rtl w:val="0"/>
              </w:rPr>
              <w:t xml:space="preserve">1</w:t>
            </w:r>
          </w:p>
        </w:tc>
        <w:tc>
          <w:tcPr>
            <w:tcBorders>
              <w:top w:color="000000" w:space="0" w:sz="0" w:val="nil"/>
              <w:left w:color="000000" w:space="0" w:sz="0" w:val="nil"/>
              <w:bottom w:color="000000" w:space="0" w:sz="0" w:val="nil"/>
              <w:right w:color="000000" w:space="0" w:sz="0" w:val="nil"/>
            </w:tcBorders>
            <w:shd w:fill="e2efda" w:val="clear"/>
            <w:vAlign w:val="center"/>
          </w:tcPr>
          <w:p w:rsidR="00000000" w:rsidDel="00000000" w:rsidP="00000000" w:rsidRDefault="00000000" w:rsidRPr="00000000" w14:paraId="000005AD">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0" w:val="nil"/>
              <w:right w:color="000000" w:space="0" w:sz="0" w:val="nil"/>
            </w:tcBorders>
            <w:shd w:fill="ddebf7" w:val="clear"/>
            <w:vAlign w:val="center"/>
          </w:tcPr>
          <w:p w:rsidR="00000000" w:rsidDel="00000000" w:rsidP="00000000" w:rsidRDefault="00000000" w:rsidRPr="00000000" w14:paraId="000005AE">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0" w:val="nil"/>
              <w:right w:color="000000" w:space="0" w:sz="0" w:val="nil"/>
            </w:tcBorders>
            <w:shd w:fill="ddebf7" w:val="clear"/>
            <w:vAlign w:val="center"/>
          </w:tcPr>
          <w:p w:rsidR="00000000" w:rsidDel="00000000" w:rsidP="00000000" w:rsidRDefault="00000000" w:rsidRPr="00000000" w14:paraId="000005AF">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0" w:val="nil"/>
              <w:right w:color="000000" w:space="0" w:sz="0" w:val="nil"/>
            </w:tcBorders>
            <w:shd w:fill="ffe5e5" w:val="clear"/>
            <w:vAlign w:val="center"/>
          </w:tcPr>
          <w:p w:rsidR="00000000" w:rsidDel="00000000" w:rsidP="00000000" w:rsidRDefault="00000000" w:rsidRPr="00000000" w14:paraId="000005B0">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0" w:val="nil"/>
              <w:right w:color="000000" w:space="0" w:sz="0" w:val="nil"/>
            </w:tcBorders>
            <w:shd w:fill="ffe5e5" w:val="clear"/>
            <w:vAlign w:val="center"/>
          </w:tcPr>
          <w:p w:rsidR="00000000" w:rsidDel="00000000" w:rsidP="00000000" w:rsidRDefault="00000000" w:rsidRPr="00000000" w14:paraId="000005B1">
            <w:pPr>
              <w:spacing w:after="0" w:line="240" w:lineRule="auto"/>
              <w:jc w:val="right"/>
              <w:rPr>
                <w:sz w:val="20"/>
                <w:szCs w:val="20"/>
              </w:rPr>
            </w:pPr>
            <w:r w:rsidDel="00000000" w:rsidR="00000000" w:rsidRPr="00000000">
              <w:rPr>
                <w:sz w:val="20"/>
                <w:szCs w:val="20"/>
                <w:rtl w:val="0"/>
              </w:rPr>
              <w:t xml:space="preserve"> </w:t>
            </w:r>
          </w:p>
        </w:tc>
      </w:tr>
      <w:tr>
        <w:trPr>
          <w:cantSplit w:val="0"/>
          <w:trHeight w:val="315" w:hRule="atLeast"/>
          <w:tblHeader w:val="0"/>
        </w:trPr>
        <w:tc>
          <w:tcPr>
            <w:tcBorders>
              <w:top w:color="000000" w:space="0" w:sz="0" w:val="nil"/>
              <w:left w:color="000000" w:space="0" w:sz="0" w:val="nil"/>
              <w:bottom w:color="305496" w:space="0" w:sz="4" w:val="single"/>
              <w:right w:color="000000" w:space="0" w:sz="0" w:val="nil"/>
            </w:tcBorders>
            <w:shd w:fill="auto" w:val="clear"/>
            <w:vAlign w:val="center"/>
          </w:tcPr>
          <w:p w:rsidR="00000000" w:rsidDel="00000000" w:rsidP="00000000" w:rsidRDefault="00000000" w:rsidRPr="00000000" w14:paraId="000005B2">
            <w:pPr>
              <w:spacing w:after="0" w:line="240" w:lineRule="auto"/>
              <w:rPr>
                <w:sz w:val="20"/>
                <w:szCs w:val="20"/>
              </w:rPr>
            </w:pPr>
            <w:r w:rsidDel="00000000" w:rsidR="00000000" w:rsidRPr="00000000">
              <w:rPr>
                <w:sz w:val="20"/>
                <w:szCs w:val="20"/>
                <w:rtl w:val="0"/>
              </w:rPr>
              <w:t xml:space="preserve">Ship Street Great</w:t>
            </w:r>
          </w:p>
        </w:tc>
        <w:tc>
          <w:tcPr>
            <w:tcBorders>
              <w:top w:color="000000" w:space="0" w:sz="0" w:val="nil"/>
              <w:left w:color="000000" w:space="0" w:sz="0" w:val="nil"/>
              <w:bottom w:color="305496" w:space="0" w:sz="4" w:val="single"/>
              <w:right w:color="000000" w:space="0" w:sz="0" w:val="nil"/>
            </w:tcBorders>
            <w:shd w:fill="auto" w:val="clear"/>
            <w:vAlign w:val="center"/>
          </w:tcPr>
          <w:p w:rsidR="00000000" w:rsidDel="00000000" w:rsidP="00000000" w:rsidRDefault="00000000" w:rsidRPr="00000000" w14:paraId="000005B3">
            <w:pPr>
              <w:spacing w:after="0" w:line="240" w:lineRule="auto"/>
              <w:jc w:val="right"/>
              <w:rPr>
                <w:sz w:val="20"/>
                <w:szCs w:val="20"/>
              </w:rPr>
            </w:pPr>
            <w:r w:rsidDel="00000000" w:rsidR="00000000" w:rsidRPr="00000000">
              <w:rPr>
                <w:sz w:val="20"/>
                <w:szCs w:val="20"/>
                <w:rtl w:val="0"/>
              </w:rPr>
              <w:t xml:space="preserve">1</w:t>
            </w:r>
          </w:p>
        </w:tc>
        <w:tc>
          <w:tcPr>
            <w:tcBorders>
              <w:top w:color="000000" w:space="0" w:sz="0" w:val="nil"/>
              <w:left w:color="000000" w:space="0" w:sz="0" w:val="nil"/>
              <w:bottom w:color="305496" w:space="0" w:sz="4" w:val="single"/>
              <w:right w:color="000000" w:space="0" w:sz="0" w:val="nil"/>
            </w:tcBorders>
            <w:shd w:fill="e2efda" w:val="clear"/>
            <w:vAlign w:val="center"/>
          </w:tcPr>
          <w:p w:rsidR="00000000" w:rsidDel="00000000" w:rsidP="00000000" w:rsidRDefault="00000000" w:rsidRPr="00000000" w14:paraId="000005B4">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305496" w:space="0" w:sz="4" w:val="single"/>
              <w:right w:color="000000" w:space="0" w:sz="0" w:val="nil"/>
            </w:tcBorders>
            <w:shd w:fill="e2efda" w:val="clear"/>
            <w:vAlign w:val="center"/>
          </w:tcPr>
          <w:p w:rsidR="00000000" w:rsidDel="00000000" w:rsidP="00000000" w:rsidRDefault="00000000" w:rsidRPr="00000000" w14:paraId="000005B5">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305496" w:space="0" w:sz="4" w:val="single"/>
              <w:right w:color="000000" w:space="0" w:sz="0" w:val="nil"/>
            </w:tcBorders>
            <w:shd w:fill="ddebf7" w:val="clear"/>
            <w:vAlign w:val="center"/>
          </w:tcPr>
          <w:p w:rsidR="00000000" w:rsidDel="00000000" w:rsidP="00000000" w:rsidRDefault="00000000" w:rsidRPr="00000000" w14:paraId="000005B6">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305496" w:space="0" w:sz="4" w:val="single"/>
              <w:right w:color="000000" w:space="0" w:sz="0" w:val="nil"/>
            </w:tcBorders>
            <w:shd w:fill="ddebf7" w:val="clear"/>
            <w:vAlign w:val="center"/>
          </w:tcPr>
          <w:p w:rsidR="00000000" w:rsidDel="00000000" w:rsidP="00000000" w:rsidRDefault="00000000" w:rsidRPr="00000000" w14:paraId="000005B7">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305496" w:space="0" w:sz="4" w:val="single"/>
              <w:right w:color="000000" w:space="0" w:sz="0" w:val="nil"/>
            </w:tcBorders>
            <w:shd w:fill="ffe5e5" w:val="clear"/>
            <w:vAlign w:val="center"/>
          </w:tcPr>
          <w:p w:rsidR="00000000" w:rsidDel="00000000" w:rsidP="00000000" w:rsidRDefault="00000000" w:rsidRPr="00000000" w14:paraId="000005B8">
            <w:pPr>
              <w:spacing w:after="0" w:line="240" w:lineRule="auto"/>
              <w:jc w:val="righ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305496" w:space="0" w:sz="4" w:val="single"/>
              <w:right w:color="000000" w:space="0" w:sz="0" w:val="nil"/>
            </w:tcBorders>
            <w:shd w:fill="ffe5e5" w:val="clear"/>
            <w:vAlign w:val="center"/>
          </w:tcPr>
          <w:p w:rsidR="00000000" w:rsidDel="00000000" w:rsidP="00000000" w:rsidRDefault="00000000" w:rsidRPr="00000000" w14:paraId="000005B9">
            <w:pPr>
              <w:spacing w:after="0" w:line="240" w:lineRule="auto"/>
              <w:jc w:val="right"/>
              <w:rPr>
                <w:sz w:val="20"/>
                <w:szCs w:val="20"/>
              </w:rPr>
            </w:pPr>
            <w:r w:rsidDel="00000000" w:rsidR="00000000" w:rsidRPr="00000000">
              <w:rPr>
                <w:sz w:val="20"/>
                <w:szCs w:val="20"/>
                <w:rtl w:val="0"/>
              </w:rPr>
              <w:t xml:space="preserve"> </w:t>
            </w:r>
          </w:p>
        </w:tc>
      </w:tr>
      <w:tr>
        <w:trPr>
          <w:cantSplit w:val="0"/>
          <w:trHeight w:val="315" w:hRule="atLeast"/>
          <w:tblHeader w:val="0"/>
        </w:trPr>
        <w:tc>
          <w:tcPr>
            <w:tcBorders>
              <w:top w:color="000000" w:space="0" w:sz="0" w:val="nil"/>
              <w:left w:color="000000" w:space="0" w:sz="0" w:val="nil"/>
              <w:bottom w:color="8ea9db" w:space="0" w:sz="4" w:val="single"/>
              <w:right w:color="000000" w:space="0" w:sz="0" w:val="nil"/>
            </w:tcBorders>
            <w:shd w:fill="auto" w:val="clear"/>
            <w:vAlign w:val="center"/>
          </w:tcPr>
          <w:p w:rsidR="00000000" w:rsidDel="00000000" w:rsidP="00000000" w:rsidRDefault="00000000" w:rsidRPr="00000000" w14:paraId="000005BA">
            <w:pPr>
              <w:spacing w:after="0" w:line="240" w:lineRule="auto"/>
              <w:jc w:val="center"/>
              <w:rPr>
                <w:b w:val="1"/>
                <w:sz w:val="20"/>
                <w:szCs w:val="20"/>
              </w:rPr>
            </w:pPr>
            <w:r w:rsidDel="00000000" w:rsidR="00000000" w:rsidRPr="00000000">
              <w:rPr>
                <w:b w:val="1"/>
                <w:sz w:val="20"/>
                <w:szCs w:val="20"/>
                <w:rtl w:val="0"/>
              </w:rPr>
              <w:t xml:space="preserve">Ireland_MA</w:t>
            </w:r>
          </w:p>
        </w:tc>
        <w:tc>
          <w:tcPr>
            <w:tcBorders>
              <w:top w:color="000000" w:space="0" w:sz="0" w:val="nil"/>
              <w:left w:color="000000" w:space="0" w:sz="0" w:val="nil"/>
              <w:bottom w:color="8ea9db" w:space="0" w:sz="4" w:val="single"/>
              <w:right w:color="000000" w:space="0" w:sz="0" w:val="nil"/>
            </w:tcBorders>
            <w:shd w:fill="auto" w:val="clear"/>
            <w:vAlign w:val="center"/>
          </w:tcPr>
          <w:p w:rsidR="00000000" w:rsidDel="00000000" w:rsidP="00000000" w:rsidRDefault="00000000" w:rsidRPr="00000000" w14:paraId="000005BB">
            <w:pPr>
              <w:spacing w:after="0" w:line="240" w:lineRule="auto"/>
              <w:jc w:val="right"/>
              <w:rPr>
                <w:b w:val="1"/>
                <w:sz w:val="20"/>
                <w:szCs w:val="20"/>
              </w:rPr>
            </w:pPr>
            <w:r w:rsidDel="00000000" w:rsidR="00000000" w:rsidRPr="00000000">
              <w:rPr>
                <w:b w:val="1"/>
                <w:sz w:val="20"/>
                <w:szCs w:val="20"/>
                <w:rtl w:val="0"/>
              </w:rPr>
              <w:t xml:space="preserve">38</w:t>
            </w:r>
          </w:p>
        </w:tc>
        <w:tc>
          <w:tcPr>
            <w:tcBorders>
              <w:top w:color="000000" w:space="0" w:sz="0" w:val="nil"/>
              <w:left w:color="000000" w:space="0" w:sz="0" w:val="nil"/>
              <w:bottom w:color="8ea9db" w:space="0" w:sz="4" w:val="single"/>
              <w:right w:color="000000" w:space="0" w:sz="0" w:val="nil"/>
            </w:tcBorders>
            <w:shd w:fill="a9d08e" w:val="clear"/>
            <w:vAlign w:val="center"/>
          </w:tcPr>
          <w:p w:rsidR="00000000" w:rsidDel="00000000" w:rsidP="00000000" w:rsidRDefault="00000000" w:rsidRPr="00000000" w14:paraId="000005BC">
            <w:pPr>
              <w:spacing w:after="0" w:line="240" w:lineRule="auto"/>
              <w:jc w:val="right"/>
              <w:rPr>
                <w:b w:val="1"/>
                <w:sz w:val="20"/>
                <w:szCs w:val="20"/>
              </w:rPr>
            </w:pPr>
            <w:r w:rsidDel="00000000" w:rsidR="00000000" w:rsidRPr="00000000">
              <w:rPr>
                <w:b w:val="1"/>
                <w:sz w:val="20"/>
                <w:szCs w:val="20"/>
                <w:rtl w:val="0"/>
              </w:rPr>
              <w:t xml:space="preserve">2</w:t>
            </w:r>
          </w:p>
        </w:tc>
        <w:tc>
          <w:tcPr>
            <w:tcBorders>
              <w:top w:color="000000" w:space="0" w:sz="0" w:val="nil"/>
              <w:left w:color="000000" w:space="0" w:sz="0" w:val="nil"/>
              <w:bottom w:color="8ea9db" w:space="0" w:sz="4" w:val="single"/>
              <w:right w:color="000000" w:space="0" w:sz="0" w:val="nil"/>
            </w:tcBorders>
            <w:shd w:fill="a9d08e" w:val="clear"/>
            <w:vAlign w:val="center"/>
          </w:tcPr>
          <w:p w:rsidR="00000000" w:rsidDel="00000000" w:rsidP="00000000" w:rsidRDefault="00000000" w:rsidRPr="00000000" w14:paraId="000005BD">
            <w:pPr>
              <w:spacing w:after="0" w:line="240" w:lineRule="auto"/>
              <w:jc w:val="right"/>
              <w:rPr>
                <w:b w:val="1"/>
                <w:sz w:val="20"/>
                <w:szCs w:val="20"/>
              </w:rPr>
            </w:pPr>
            <w:r w:rsidDel="00000000" w:rsidR="00000000" w:rsidRPr="00000000">
              <w:rPr>
                <w:b w:val="1"/>
                <w:sz w:val="20"/>
                <w:szCs w:val="20"/>
                <w:rtl w:val="0"/>
              </w:rPr>
              <w:t xml:space="preserve">5</w:t>
            </w:r>
          </w:p>
        </w:tc>
        <w:tc>
          <w:tcPr>
            <w:tcBorders>
              <w:top w:color="000000" w:space="0" w:sz="0" w:val="nil"/>
              <w:left w:color="000000" w:space="0" w:sz="0" w:val="nil"/>
              <w:bottom w:color="8ea9db" w:space="0" w:sz="4" w:val="single"/>
              <w:right w:color="000000" w:space="0" w:sz="0" w:val="nil"/>
            </w:tcBorders>
            <w:shd w:fill="9bc2e6" w:val="clear"/>
            <w:vAlign w:val="center"/>
          </w:tcPr>
          <w:p w:rsidR="00000000" w:rsidDel="00000000" w:rsidP="00000000" w:rsidRDefault="00000000" w:rsidRPr="00000000" w14:paraId="000005BE">
            <w:pPr>
              <w:spacing w:after="0" w:line="240" w:lineRule="auto"/>
              <w:jc w:val="right"/>
              <w:rPr>
                <w:b w:val="1"/>
                <w:sz w:val="20"/>
                <w:szCs w:val="20"/>
              </w:rPr>
            </w:pPr>
            <w:r w:rsidDel="00000000" w:rsidR="00000000" w:rsidRPr="00000000">
              <w:rPr>
                <w:b w:val="1"/>
                <w:sz w:val="20"/>
                <w:szCs w:val="20"/>
                <w:rtl w:val="0"/>
              </w:rPr>
              <w:t xml:space="preserve">1</w:t>
            </w:r>
          </w:p>
        </w:tc>
        <w:tc>
          <w:tcPr>
            <w:tcBorders>
              <w:top w:color="000000" w:space="0" w:sz="0" w:val="nil"/>
              <w:left w:color="000000" w:space="0" w:sz="0" w:val="nil"/>
              <w:bottom w:color="8ea9db" w:space="0" w:sz="4" w:val="single"/>
              <w:right w:color="000000" w:space="0" w:sz="0" w:val="nil"/>
            </w:tcBorders>
            <w:shd w:fill="9bc2e6" w:val="clear"/>
            <w:vAlign w:val="center"/>
          </w:tcPr>
          <w:p w:rsidR="00000000" w:rsidDel="00000000" w:rsidP="00000000" w:rsidRDefault="00000000" w:rsidRPr="00000000" w14:paraId="000005BF">
            <w:pPr>
              <w:spacing w:after="0" w:line="240" w:lineRule="auto"/>
              <w:jc w:val="right"/>
              <w:rPr>
                <w:b w:val="1"/>
                <w:sz w:val="20"/>
                <w:szCs w:val="20"/>
              </w:rPr>
            </w:pPr>
            <w:r w:rsidDel="00000000" w:rsidR="00000000" w:rsidRPr="00000000">
              <w:rPr>
                <w:b w:val="1"/>
                <w:sz w:val="20"/>
                <w:szCs w:val="20"/>
                <w:rtl w:val="0"/>
              </w:rPr>
              <w:t xml:space="preserve">3</w:t>
            </w:r>
          </w:p>
        </w:tc>
        <w:tc>
          <w:tcPr>
            <w:tcBorders>
              <w:top w:color="000000" w:space="0" w:sz="0" w:val="nil"/>
              <w:left w:color="000000" w:space="0" w:sz="0" w:val="nil"/>
              <w:bottom w:color="8ea9db" w:space="0" w:sz="4" w:val="single"/>
              <w:right w:color="000000" w:space="0" w:sz="0" w:val="nil"/>
            </w:tcBorders>
            <w:shd w:fill="ff99cc" w:val="clear"/>
            <w:vAlign w:val="center"/>
          </w:tcPr>
          <w:p w:rsidR="00000000" w:rsidDel="00000000" w:rsidP="00000000" w:rsidRDefault="00000000" w:rsidRPr="00000000" w14:paraId="000005C0">
            <w:pPr>
              <w:spacing w:after="0" w:line="240" w:lineRule="auto"/>
              <w:jc w:val="right"/>
              <w:rPr>
                <w:b w:val="1"/>
                <w:sz w:val="20"/>
                <w:szCs w:val="20"/>
              </w:rPr>
            </w:pPr>
            <w:r w:rsidDel="00000000" w:rsidR="00000000" w:rsidRPr="00000000">
              <w:rPr>
                <w:b w:val="1"/>
                <w:sz w:val="20"/>
                <w:szCs w:val="20"/>
                <w:rtl w:val="0"/>
              </w:rPr>
              <w:t xml:space="preserve"> </w:t>
            </w:r>
          </w:p>
        </w:tc>
        <w:tc>
          <w:tcPr>
            <w:tcBorders>
              <w:top w:color="000000" w:space="0" w:sz="0" w:val="nil"/>
              <w:left w:color="000000" w:space="0" w:sz="0" w:val="nil"/>
              <w:bottom w:color="8ea9db" w:space="0" w:sz="4" w:val="single"/>
              <w:right w:color="000000" w:space="0" w:sz="0" w:val="nil"/>
            </w:tcBorders>
            <w:shd w:fill="ff99cc" w:val="clear"/>
            <w:vAlign w:val="center"/>
          </w:tcPr>
          <w:p w:rsidR="00000000" w:rsidDel="00000000" w:rsidP="00000000" w:rsidRDefault="00000000" w:rsidRPr="00000000" w14:paraId="000005C1">
            <w:pPr>
              <w:spacing w:after="0" w:line="240" w:lineRule="auto"/>
              <w:jc w:val="right"/>
              <w:rPr>
                <w:b w:val="1"/>
                <w:sz w:val="20"/>
                <w:szCs w:val="20"/>
              </w:rPr>
            </w:pPr>
            <w:r w:rsidDel="00000000" w:rsidR="00000000" w:rsidRPr="00000000">
              <w:rPr>
                <w:b w:val="1"/>
                <w:sz w:val="20"/>
                <w:szCs w:val="20"/>
                <w:rtl w:val="0"/>
              </w:rPr>
              <w:t xml:space="preserve"> </w:t>
            </w:r>
          </w:p>
        </w:tc>
      </w:tr>
      <w:tr>
        <w:trPr>
          <w:cantSplit w:val="0"/>
          <w:trHeight w:val="315" w:hRule="atLeast"/>
          <w:tblHeader w:val="0"/>
        </w:trPr>
        <w:tc>
          <w:tcPr>
            <w:tcBorders>
              <w:top w:color="000000" w:space="0" w:sz="0" w:val="nil"/>
              <w:left w:color="000000" w:space="0" w:sz="0" w:val="nil"/>
              <w:bottom w:color="8ea9db" w:space="0" w:sz="4" w:val="single"/>
              <w:right w:color="000000" w:space="0" w:sz="0" w:val="nil"/>
            </w:tcBorders>
            <w:shd w:fill="f2f2f2" w:val="clear"/>
            <w:vAlign w:val="center"/>
          </w:tcPr>
          <w:p w:rsidR="00000000" w:rsidDel="00000000" w:rsidP="00000000" w:rsidRDefault="00000000" w:rsidRPr="00000000" w14:paraId="000005C2">
            <w:pPr>
              <w:spacing w:after="0" w:line="240" w:lineRule="auto"/>
              <w:rPr>
                <w:b w:val="1"/>
                <w:sz w:val="20"/>
                <w:szCs w:val="20"/>
              </w:rPr>
            </w:pPr>
            <w:r w:rsidDel="00000000" w:rsidR="00000000" w:rsidRPr="00000000">
              <w:rPr>
                <w:b w:val="1"/>
                <w:sz w:val="20"/>
                <w:szCs w:val="20"/>
                <w:rtl w:val="0"/>
              </w:rPr>
              <w:t xml:space="preserve">Ireland</w:t>
            </w:r>
          </w:p>
        </w:tc>
        <w:tc>
          <w:tcPr>
            <w:tcBorders>
              <w:top w:color="000000" w:space="0" w:sz="0" w:val="nil"/>
              <w:left w:color="000000" w:space="0" w:sz="0" w:val="nil"/>
              <w:bottom w:color="8ea9db" w:space="0" w:sz="4" w:val="single"/>
              <w:right w:color="000000" w:space="0" w:sz="0" w:val="nil"/>
            </w:tcBorders>
            <w:shd w:fill="f2f2f2" w:val="clear"/>
            <w:vAlign w:val="center"/>
          </w:tcPr>
          <w:p w:rsidR="00000000" w:rsidDel="00000000" w:rsidP="00000000" w:rsidRDefault="00000000" w:rsidRPr="00000000" w14:paraId="000005C3">
            <w:pPr>
              <w:spacing w:after="0" w:line="240" w:lineRule="auto"/>
              <w:jc w:val="right"/>
              <w:rPr>
                <w:b w:val="1"/>
                <w:sz w:val="20"/>
                <w:szCs w:val="20"/>
              </w:rPr>
            </w:pPr>
            <w:r w:rsidDel="00000000" w:rsidR="00000000" w:rsidRPr="00000000">
              <w:rPr>
                <w:b w:val="1"/>
                <w:sz w:val="20"/>
                <w:szCs w:val="20"/>
                <w:rtl w:val="0"/>
              </w:rPr>
              <w:t xml:space="preserve">38</w:t>
            </w:r>
          </w:p>
        </w:tc>
        <w:tc>
          <w:tcPr>
            <w:tcBorders>
              <w:top w:color="000000" w:space="0" w:sz="0" w:val="nil"/>
              <w:left w:color="000000" w:space="0" w:sz="0" w:val="nil"/>
              <w:bottom w:color="8ea9db" w:space="0" w:sz="4" w:val="single"/>
              <w:right w:color="000000" w:space="0" w:sz="0" w:val="nil"/>
            </w:tcBorders>
            <w:shd w:fill="f2f2f2" w:val="clear"/>
            <w:vAlign w:val="center"/>
          </w:tcPr>
          <w:p w:rsidR="00000000" w:rsidDel="00000000" w:rsidP="00000000" w:rsidRDefault="00000000" w:rsidRPr="00000000" w14:paraId="000005C4">
            <w:pPr>
              <w:spacing w:after="0" w:line="240" w:lineRule="auto"/>
              <w:jc w:val="right"/>
              <w:rPr>
                <w:b w:val="1"/>
                <w:sz w:val="20"/>
                <w:szCs w:val="20"/>
              </w:rPr>
            </w:pPr>
            <w:r w:rsidDel="00000000" w:rsidR="00000000" w:rsidRPr="00000000">
              <w:rPr>
                <w:b w:val="1"/>
                <w:sz w:val="20"/>
                <w:szCs w:val="20"/>
                <w:rtl w:val="0"/>
              </w:rPr>
              <w:t xml:space="preserve">2</w:t>
            </w:r>
          </w:p>
        </w:tc>
        <w:tc>
          <w:tcPr>
            <w:tcBorders>
              <w:top w:color="000000" w:space="0" w:sz="0" w:val="nil"/>
              <w:left w:color="000000" w:space="0" w:sz="0" w:val="nil"/>
              <w:bottom w:color="8ea9db" w:space="0" w:sz="4" w:val="single"/>
              <w:right w:color="000000" w:space="0" w:sz="0" w:val="nil"/>
            </w:tcBorders>
            <w:shd w:fill="f2f2f2" w:val="clear"/>
            <w:vAlign w:val="center"/>
          </w:tcPr>
          <w:p w:rsidR="00000000" w:rsidDel="00000000" w:rsidP="00000000" w:rsidRDefault="00000000" w:rsidRPr="00000000" w14:paraId="000005C5">
            <w:pPr>
              <w:spacing w:after="0" w:line="240" w:lineRule="auto"/>
              <w:jc w:val="right"/>
              <w:rPr>
                <w:b w:val="1"/>
                <w:sz w:val="20"/>
                <w:szCs w:val="20"/>
              </w:rPr>
            </w:pPr>
            <w:r w:rsidDel="00000000" w:rsidR="00000000" w:rsidRPr="00000000">
              <w:rPr>
                <w:b w:val="1"/>
                <w:sz w:val="20"/>
                <w:szCs w:val="20"/>
                <w:rtl w:val="0"/>
              </w:rPr>
              <w:t xml:space="preserve">5</w:t>
            </w:r>
          </w:p>
        </w:tc>
        <w:tc>
          <w:tcPr>
            <w:tcBorders>
              <w:top w:color="000000" w:space="0" w:sz="0" w:val="nil"/>
              <w:left w:color="000000" w:space="0" w:sz="0" w:val="nil"/>
              <w:bottom w:color="8ea9db" w:space="0" w:sz="4" w:val="single"/>
              <w:right w:color="000000" w:space="0" w:sz="0" w:val="nil"/>
            </w:tcBorders>
            <w:shd w:fill="f2f2f2" w:val="clear"/>
            <w:vAlign w:val="center"/>
          </w:tcPr>
          <w:p w:rsidR="00000000" w:rsidDel="00000000" w:rsidP="00000000" w:rsidRDefault="00000000" w:rsidRPr="00000000" w14:paraId="000005C6">
            <w:pPr>
              <w:spacing w:after="0" w:line="240" w:lineRule="auto"/>
              <w:jc w:val="right"/>
              <w:rPr>
                <w:b w:val="1"/>
                <w:sz w:val="20"/>
                <w:szCs w:val="20"/>
              </w:rPr>
            </w:pPr>
            <w:r w:rsidDel="00000000" w:rsidR="00000000" w:rsidRPr="00000000">
              <w:rPr>
                <w:b w:val="1"/>
                <w:sz w:val="20"/>
                <w:szCs w:val="20"/>
                <w:rtl w:val="0"/>
              </w:rPr>
              <w:t xml:space="preserve">1</w:t>
            </w:r>
          </w:p>
        </w:tc>
        <w:tc>
          <w:tcPr>
            <w:tcBorders>
              <w:top w:color="000000" w:space="0" w:sz="0" w:val="nil"/>
              <w:left w:color="000000" w:space="0" w:sz="0" w:val="nil"/>
              <w:bottom w:color="8ea9db" w:space="0" w:sz="4" w:val="single"/>
              <w:right w:color="000000" w:space="0" w:sz="0" w:val="nil"/>
            </w:tcBorders>
            <w:shd w:fill="f2f2f2" w:val="clear"/>
            <w:vAlign w:val="center"/>
          </w:tcPr>
          <w:p w:rsidR="00000000" w:rsidDel="00000000" w:rsidP="00000000" w:rsidRDefault="00000000" w:rsidRPr="00000000" w14:paraId="000005C7">
            <w:pPr>
              <w:spacing w:after="0" w:line="240" w:lineRule="auto"/>
              <w:jc w:val="right"/>
              <w:rPr>
                <w:b w:val="1"/>
                <w:sz w:val="20"/>
                <w:szCs w:val="20"/>
              </w:rPr>
            </w:pPr>
            <w:r w:rsidDel="00000000" w:rsidR="00000000" w:rsidRPr="00000000">
              <w:rPr>
                <w:b w:val="1"/>
                <w:sz w:val="20"/>
                <w:szCs w:val="20"/>
                <w:rtl w:val="0"/>
              </w:rPr>
              <w:t xml:space="preserve">3</w:t>
            </w:r>
          </w:p>
        </w:tc>
        <w:tc>
          <w:tcPr>
            <w:tcBorders>
              <w:top w:color="000000" w:space="0" w:sz="0" w:val="nil"/>
              <w:left w:color="000000" w:space="0" w:sz="0" w:val="nil"/>
              <w:bottom w:color="8ea9db" w:space="0" w:sz="4" w:val="single"/>
              <w:right w:color="000000" w:space="0" w:sz="0" w:val="nil"/>
            </w:tcBorders>
            <w:shd w:fill="f2f2f2" w:val="clear"/>
            <w:vAlign w:val="center"/>
          </w:tcPr>
          <w:p w:rsidR="00000000" w:rsidDel="00000000" w:rsidP="00000000" w:rsidRDefault="00000000" w:rsidRPr="00000000" w14:paraId="000005C8">
            <w:pPr>
              <w:spacing w:after="0" w:line="240" w:lineRule="auto"/>
              <w:jc w:val="right"/>
              <w:rPr>
                <w:b w:val="1"/>
                <w:sz w:val="20"/>
                <w:szCs w:val="20"/>
              </w:rPr>
            </w:pPr>
            <w:r w:rsidDel="00000000" w:rsidR="00000000" w:rsidRPr="00000000">
              <w:rPr>
                <w:b w:val="1"/>
                <w:sz w:val="20"/>
                <w:szCs w:val="20"/>
                <w:rtl w:val="0"/>
              </w:rPr>
              <w:t xml:space="preserve"> </w:t>
            </w:r>
          </w:p>
        </w:tc>
        <w:tc>
          <w:tcPr>
            <w:tcBorders>
              <w:top w:color="000000" w:space="0" w:sz="0" w:val="nil"/>
              <w:left w:color="000000" w:space="0" w:sz="0" w:val="nil"/>
              <w:bottom w:color="8ea9db" w:space="0" w:sz="4" w:val="single"/>
              <w:right w:color="000000" w:space="0" w:sz="0" w:val="nil"/>
            </w:tcBorders>
            <w:shd w:fill="f2f2f2" w:val="clear"/>
            <w:vAlign w:val="center"/>
          </w:tcPr>
          <w:p w:rsidR="00000000" w:rsidDel="00000000" w:rsidP="00000000" w:rsidRDefault="00000000" w:rsidRPr="00000000" w14:paraId="000005C9">
            <w:pPr>
              <w:spacing w:after="0" w:line="240" w:lineRule="auto"/>
              <w:jc w:val="right"/>
              <w:rPr>
                <w:b w:val="1"/>
                <w:sz w:val="20"/>
                <w:szCs w:val="20"/>
              </w:rPr>
            </w:pPr>
            <w:r w:rsidDel="00000000" w:rsidR="00000000" w:rsidRPr="00000000">
              <w:rPr>
                <w:b w:val="1"/>
                <w:sz w:val="20"/>
                <w:szCs w:val="20"/>
                <w:rtl w:val="0"/>
              </w:rPr>
              <w:t xml:space="preserve"> </w:t>
            </w:r>
          </w:p>
        </w:tc>
      </w:tr>
      <w:tr>
        <w:trPr>
          <w:cantSplit w:val="0"/>
          <w:trHeight w:val="31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5CA">
            <w:pPr>
              <w:spacing w:after="0" w:line="240" w:lineRule="auto"/>
              <w:rPr>
                <w:b w:val="1"/>
                <w:sz w:val="20"/>
                <w:szCs w:val="20"/>
              </w:rPr>
            </w:pPr>
            <w:r w:rsidDel="00000000" w:rsidR="00000000" w:rsidRPr="00000000">
              <w:rPr>
                <w:b w:val="1"/>
                <w:sz w:val="20"/>
                <w:szCs w:val="20"/>
                <w:rtl w:val="0"/>
              </w:rPr>
              <w:t xml:space="preserve">Connaught</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5CB">
            <w:pPr>
              <w:spacing w:after="0" w:line="240" w:lineRule="auto"/>
              <w:jc w:val="right"/>
              <w:rPr>
                <w:b w:val="1"/>
                <w:sz w:val="20"/>
                <w:szCs w:val="20"/>
              </w:rPr>
            </w:pPr>
            <w:r w:rsidDel="00000000" w:rsidR="00000000" w:rsidRPr="00000000">
              <w:rPr>
                <w:b w:val="1"/>
                <w:sz w:val="20"/>
                <w:szCs w:val="20"/>
                <w:rtl w:val="0"/>
              </w:rPr>
              <w:t xml:space="preserve">38</w:t>
            </w:r>
          </w:p>
        </w:tc>
        <w:tc>
          <w:tcPr>
            <w:tcBorders>
              <w:top w:color="000000" w:space="0" w:sz="0" w:val="nil"/>
              <w:left w:color="000000" w:space="0" w:sz="0" w:val="nil"/>
              <w:bottom w:color="000000" w:space="0" w:sz="0" w:val="nil"/>
              <w:right w:color="000000" w:space="0" w:sz="0" w:val="nil"/>
            </w:tcBorders>
            <w:shd w:fill="e2efda" w:val="clear"/>
            <w:vAlign w:val="center"/>
          </w:tcPr>
          <w:p w:rsidR="00000000" w:rsidDel="00000000" w:rsidP="00000000" w:rsidRDefault="00000000" w:rsidRPr="00000000" w14:paraId="000005CC">
            <w:pPr>
              <w:spacing w:after="0" w:line="240" w:lineRule="auto"/>
              <w:jc w:val="right"/>
              <w:rPr>
                <w:b w:val="1"/>
                <w:sz w:val="20"/>
                <w:szCs w:val="20"/>
              </w:rPr>
            </w:pPr>
            <w:r w:rsidDel="00000000" w:rsidR="00000000" w:rsidRPr="00000000">
              <w:rPr>
                <w:b w:val="1"/>
                <w:sz w:val="20"/>
                <w:szCs w:val="20"/>
                <w:rtl w:val="0"/>
              </w:rPr>
              <w:t xml:space="preserve">2</w:t>
            </w:r>
          </w:p>
        </w:tc>
        <w:tc>
          <w:tcPr>
            <w:tcBorders>
              <w:top w:color="000000" w:space="0" w:sz="0" w:val="nil"/>
              <w:left w:color="000000" w:space="0" w:sz="0" w:val="nil"/>
              <w:bottom w:color="000000" w:space="0" w:sz="0" w:val="nil"/>
              <w:right w:color="000000" w:space="0" w:sz="0" w:val="nil"/>
            </w:tcBorders>
            <w:shd w:fill="e2efda" w:val="clear"/>
            <w:vAlign w:val="center"/>
          </w:tcPr>
          <w:p w:rsidR="00000000" w:rsidDel="00000000" w:rsidP="00000000" w:rsidRDefault="00000000" w:rsidRPr="00000000" w14:paraId="000005CD">
            <w:pPr>
              <w:spacing w:after="0" w:line="240" w:lineRule="auto"/>
              <w:jc w:val="right"/>
              <w:rPr>
                <w:b w:val="1"/>
                <w:sz w:val="20"/>
                <w:szCs w:val="20"/>
              </w:rPr>
            </w:pPr>
            <w:r w:rsidDel="00000000" w:rsidR="00000000" w:rsidRPr="00000000">
              <w:rPr>
                <w:b w:val="1"/>
                <w:sz w:val="20"/>
                <w:szCs w:val="20"/>
                <w:rtl w:val="0"/>
              </w:rPr>
              <w:t xml:space="preserve">5</w:t>
            </w:r>
          </w:p>
        </w:tc>
        <w:tc>
          <w:tcPr>
            <w:tcBorders>
              <w:top w:color="000000" w:space="0" w:sz="0" w:val="nil"/>
              <w:left w:color="000000" w:space="0" w:sz="0" w:val="nil"/>
              <w:bottom w:color="000000" w:space="0" w:sz="0" w:val="nil"/>
              <w:right w:color="000000" w:space="0" w:sz="0" w:val="nil"/>
            </w:tcBorders>
            <w:shd w:fill="ddebf7" w:val="clear"/>
            <w:vAlign w:val="center"/>
          </w:tcPr>
          <w:p w:rsidR="00000000" w:rsidDel="00000000" w:rsidP="00000000" w:rsidRDefault="00000000" w:rsidRPr="00000000" w14:paraId="000005CE">
            <w:pPr>
              <w:spacing w:after="0" w:line="240" w:lineRule="auto"/>
              <w:jc w:val="right"/>
              <w:rPr>
                <w:b w:val="1"/>
                <w:sz w:val="20"/>
                <w:szCs w:val="20"/>
              </w:rPr>
            </w:pPr>
            <w:r w:rsidDel="00000000" w:rsidR="00000000" w:rsidRPr="00000000">
              <w:rPr>
                <w:b w:val="1"/>
                <w:sz w:val="20"/>
                <w:szCs w:val="20"/>
                <w:rtl w:val="0"/>
              </w:rPr>
              <w:t xml:space="preserve">1</w:t>
            </w:r>
          </w:p>
        </w:tc>
        <w:tc>
          <w:tcPr>
            <w:tcBorders>
              <w:top w:color="000000" w:space="0" w:sz="0" w:val="nil"/>
              <w:left w:color="000000" w:space="0" w:sz="0" w:val="nil"/>
              <w:bottom w:color="000000" w:space="0" w:sz="0" w:val="nil"/>
              <w:right w:color="000000" w:space="0" w:sz="0" w:val="nil"/>
            </w:tcBorders>
            <w:shd w:fill="ddebf7" w:val="clear"/>
            <w:vAlign w:val="center"/>
          </w:tcPr>
          <w:p w:rsidR="00000000" w:rsidDel="00000000" w:rsidP="00000000" w:rsidRDefault="00000000" w:rsidRPr="00000000" w14:paraId="000005CF">
            <w:pPr>
              <w:spacing w:after="0" w:line="240" w:lineRule="auto"/>
              <w:jc w:val="right"/>
              <w:rPr>
                <w:b w:val="1"/>
                <w:sz w:val="20"/>
                <w:szCs w:val="20"/>
              </w:rPr>
            </w:pPr>
            <w:r w:rsidDel="00000000" w:rsidR="00000000" w:rsidRPr="00000000">
              <w:rPr>
                <w:b w:val="1"/>
                <w:sz w:val="20"/>
                <w:szCs w:val="20"/>
                <w:rtl w:val="0"/>
              </w:rPr>
              <w:t xml:space="preserve">3</w:t>
            </w:r>
          </w:p>
        </w:tc>
        <w:tc>
          <w:tcPr>
            <w:tcBorders>
              <w:top w:color="000000" w:space="0" w:sz="0" w:val="nil"/>
              <w:left w:color="000000" w:space="0" w:sz="0" w:val="nil"/>
              <w:bottom w:color="000000" w:space="0" w:sz="0" w:val="nil"/>
              <w:right w:color="000000" w:space="0" w:sz="0" w:val="nil"/>
            </w:tcBorders>
            <w:shd w:fill="ffe5e5" w:val="clear"/>
            <w:vAlign w:val="center"/>
          </w:tcPr>
          <w:p w:rsidR="00000000" w:rsidDel="00000000" w:rsidP="00000000" w:rsidRDefault="00000000" w:rsidRPr="00000000" w14:paraId="000005D0">
            <w:pPr>
              <w:spacing w:after="0" w:line="240" w:lineRule="auto"/>
              <w:jc w:val="right"/>
              <w:rPr>
                <w:b w:val="1"/>
                <w:sz w:val="20"/>
                <w:szCs w:val="20"/>
              </w:rPr>
            </w:pPr>
            <w:r w:rsidDel="00000000" w:rsidR="00000000" w:rsidRPr="00000000">
              <w:rPr>
                <w:b w:val="1"/>
                <w:sz w:val="20"/>
                <w:szCs w:val="20"/>
                <w:rtl w:val="0"/>
              </w:rPr>
              <w:t xml:space="preserve"> </w:t>
            </w:r>
          </w:p>
        </w:tc>
        <w:tc>
          <w:tcPr>
            <w:tcBorders>
              <w:top w:color="000000" w:space="0" w:sz="0" w:val="nil"/>
              <w:left w:color="000000" w:space="0" w:sz="0" w:val="nil"/>
              <w:bottom w:color="000000" w:space="0" w:sz="0" w:val="nil"/>
              <w:right w:color="000000" w:space="0" w:sz="0" w:val="nil"/>
            </w:tcBorders>
            <w:shd w:fill="ffe5e5" w:val="clear"/>
            <w:vAlign w:val="center"/>
          </w:tcPr>
          <w:p w:rsidR="00000000" w:rsidDel="00000000" w:rsidP="00000000" w:rsidRDefault="00000000" w:rsidRPr="00000000" w14:paraId="000005D1">
            <w:pPr>
              <w:spacing w:after="0" w:line="240" w:lineRule="auto"/>
              <w:jc w:val="right"/>
              <w:rPr>
                <w:b w:val="1"/>
                <w:sz w:val="20"/>
                <w:szCs w:val="20"/>
              </w:rPr>
            </w:pPr>
            <w:r w:rsidDel="00000000" w:rsidR="00000000" w:rsidRPr="00000000">
              <w:rPr>
                <w:b w:val="1"/>
                <w:sz w:val="20"/>
                <w:szCs w:val="20"/>
                <w:rtl w:val="0"/>
              </w:rPr>
              <w:t xml:space="preserve"> </w:t>
            </w:r>
          </w:p>
        </w:tc>
      </w:tr>
      <w:tr>
        <w:trPr>
          <w:cantSplit w:val="0"/>
          <w:trHeight w:val="315" w:hRule="atLeast"/>
          <w:tblHeader w:val="0"/>
        </w:trPr>
        <w:tc>
          <w:tcPr>
            <w:tcBorders>
              <w:top w:color="000000" w:space="0" w:sz="4" w:val="single"/>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5D2">
            <w:pPr>
              <w:spacing w:after="0" w:line="240" w:lineRule="auto"/>
              <w:rPr>
                <w:sz w:val="20"/>
                <w:szCs w:val="20"/>
              </w:rPr>
            </w:pPr>
            <w:r w:rsidDel="00000000" w:rsidR="00000000" w:rsidRPr="00000000">
              <w:rPr>
                <w:sz w:val="20"/>
                <w:szCs w:val="20"/>
                <w:rtl w:val="0"/>
              </w:rPr>
              <w:t xml:space="preserve">Kilteasheen, The Bishop’s Seat</w:t>
            </w:r>
          </w:p>
        </w:tc>
        <w:tc>
          <w:tcPr>
            <w:tcBorders>
              <w:top w:color="000000" w:space="0" w:sz="4" w:val="single"/>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5D3">
            <w:pPr>
              <w:spacing w:after="0" w:line="240" w:lineRule="auto"/>
              <w:jc w:val="right"/>
              <w:rPr>
                <w:sz w:val="20"/>
                <w:szCs w:val="20"/>
              </w:rPr>
            </w:pPr>
            <w:r w:rsidDel="00000000" w:rsidR="00000000" w:rsidRPr="00000000">
              <w:rPr>
                <w:sz w:val="20"/>
                <w:szCs w:val="20"/>
                <w:rtl w:val="0"/>
              </w:rPr>
              <w:t xml:space="preserve">38</w:t>
            </w:r>
          </w:p>
        </w:tc>
        <w:tc>
          <w:tcPr>
            <w:tcBorders>
              <w:top w:color="000000" w:space="0" w:sz="4" w:val="single"/>
              <w:left w:color="000000" w:space="0" w:sz="0" w:val="nil"/>
              <w:bottom w:color="000000" w:space="0" w:sz="4" w:val="single"/>
              <w:right w:color="000000" w:space="0" w:sz="0" w:val="nil"/>
            </w:tcBorders>
            <w:shd w:fill="e2efda" w:val="clear"/>
            <w:vAlign w:val="center"/>
          </w:tcPr>
          <w:p w:rsidR="00000000" w:rsidDel="00000000" w:rsidP="00000000" w:rsidRDefault="00000000" w:rsidRPr="00000000" w14:paraId="000005D4">
            <w:pPr>
              <w:spacing w:after="0" w:line="240" w:lineRule="auto"/>
              <w:jc w:val="right"/>
              <w:rPr>
                <w:sz w:val="20"/>
                <w:szCs w:val="20"/>
              </w:rPr>
            </w:pPr>
            <w:r w:rsidDel="00000000" w:rsidR="00000000" w:rsidRPr="00000000">
              <w:rPr>
                <w:sz w:val="20"/>
                <w:szCs w:val="20"/>
                <w:rtl w:val="0"/>
              </w:rPr>
              <w:t xml:space="preserve">2</w:t>
            </w:r>
          </w:p>
        </w:tc>
        <w:tc>
          <w:tcPr>
            <w:tcBorders>
              <w:top w:color="000000" w:space="0" w:sz="4" w:val="single"/>
              <w:left w:color="000000" w:space="0" w:sz="0" w:val="nil"/>
              <w:bottom w:color="000000" w:space="0" w:sz="4" w:val="single"/>
              <w:right w:color="000000" w:space="0" w:sz="0" w:val="nil"/>
            </w:tcBorders>
            <w:shd w:fill="e2efda" w:val="clear"/>
            <w:vAlign w:val="center"/>
          </w:tcPr>
          <w:p w:rsidR="00000000" w:rsidDel="00000000" w:rsidP="00000000" w:rsidRDefault="00000000" w:rsidRPr="00000000" w14:paraId="000005D5">
            <w:pPr>
              <w:spacing w:after="0" w:line="240" w:lineRule="auto"/>
              <w:jc w:val="right"/>
              <w:rPr>
                <w:sz w:val="20"/>
                <w:szCs w:val="20"/>
              </w:rPr>
            </w:pPr>
            <w:r w:rsidDel="00000000" w:rsidR="00000000" w:rsidRPr="00000000">
              <w:rPr>
                <w:sz w:val="20"/>
                <w:szCs w:val="20"/>
                <w:rtl w:val="0"/>
              </w:rPr>
              <w:t xml:space="preserve">5</w:t>
            </w:r>
          </w:p>
        </w:tc>
        <w:tc>
          <w:tcPr>
            <w:tcBorders>
              <w:top w:color="000000" w:space="0" w:sz="4" w:val="single"/>
              <w:left w:color="000000" w:space="0" w:sz="0" w:val="nil"/>
              <w:bottom w:color="000000" w:space="0" w:sz="4" w:val="single"/>
              <w:right w:color="000000" w:space="0" w:sz="0" w:val="nil"/>
            </w:tcBorders>
            <w:shd w:fill="ddebf7" w:val="clear"/>
            <w:vAlign w:val="center"/>
          </w:tcPr>
          <w:p w:rsidR="00000000" w:rsidDel="00000000" w:rsidP="00000000" w:rsidRDefault="00000000" w:rsidRPr="00000000" w14:paraId="000005D6">
            <w:pPr>
              <w:spacing w:after="0" w:line="240" w:lineRule="auto"/>
              <w:jc w:val="right"/>
              <w:rPr>
                <w:sz w:val="20"/>
                <w:szCs w:val="20"/>
              </w:rPr>
            </w:pPr>
            <w:r w:rsidDel="00000000" w:rsidR="00000000" w:rsidRPr="00000000">
              <w:rPr>
                <w:sz w:val="20"/>
                <w:szCs w:val="20"/>
                <w:rtl w:val="0"/>
              </w:rPr>
              <w:t xml:space="preserve">1</w:t>
            </w:r>
          </w:p>
        </w:tc>
        <w:tc>
          <w:tcPr>
            <w:tcBorders>
              <w:top w:color="000000" w:space="0" w:sz="4" w:val="single"/>
              <w:left w:color="000000" w:space="0" w:sz="0" w:val="nil"/>
              <w:bottom w:color="000000" w:space="0" w:sz="4" w:val="single"/>
              <w:right w:color="000000" w:space="0" w:sz="0" w:val="nil"/>
            </w:tcBorders>
            <w:shd w:fill="ddebf7" w:val="clear"/>
            <w:vAlign w:val="center"/>
          </w:tcPr>
          <w:p w:rsidR="00000000" w:rsidDel="00000000" w:rsidP="00000000" w:rsidRDefault="00000000" w:rsidRPr="00000000" w14:paraId="000005D7">
            <w:pPr>
              <w:spacing w:after="0" w:line="240" w:lineRule="auto"/>
              <w:jc w:val="right"/>
              <w:rPr>
                <w:sz w:val="20"/>
                <w:szCs w:val="20"/>
              </w:rPr>
            </w:pPr>
            <w:r w:rsidDel="00000000" w:rsidR="00000000" w:rsidRPr="00000000">
              <w:rPr>
                <w:sz w:val="20"/>
                <w:szCs w:val="20"/>
                <w:rtl w:val="0"/>
              </w:rPr>
              <w:t xml:space="preserve">3</w:t>
            </w:r>
          </w:p>
        </w:tc>
        <w:tc>
          <w:tcPr>
            <w:tcBorders>
              <w:top w:color="000000" w:space="0" w:sz="4" w:val="single"/>
              <w:left w:color="000000" w:space="0" w:sz="0" w:val="nil"/>
              <w:bottom w:color="000000" w:space="0" w:sz="4" w:val="single"/>
              <w:right w:color="000000" w:space="0" w:sz="0" w:val="nil"/>
            </w:tcBorders>
            <w:shd w:fill="ffe5e5" w:val="clear"/>
            <w:vAlign w:val="center"/>
          </w:tcPr>
          <w:p w:rsidR="00000000" w:rsidDel="00000000" w:rsidP="00000000" w:rsidRDefault="00000000" w:rsidRPr="00000000" w14:paraId="000005D8">
            <w:pPr>
              <w:spacing w:after="0" w:line="240" w:lineRule="auto"/>
              <w:jc w:val="right"/>
              <w:rPr>
                <w:sz w:val="20"/>
                <w:szCs w:val="20"/>
              </w:rPr>
            </w:pPr>
            <w:r w:rsidDel="00000000" w:rsidR="00000000" w:rsidRPr="00000000">
              <w:rPr>
                <w:sz w:val="20"/>
                <w:szCs w:val="20"/>
                <w:rtl w:val="0"/>
              </w:rPr>
              <w:t xml:space="preserve"> </w:t>
            </w:r>
          </w:p>
        </w:tc>
        <w:tc>
          <w:tcPr>
            <w:tcBorders>
              <w:top w:color="000000" w:space="0" w:sz="4" w:val="single"/>
              <w:left w:color="000000" w:space="0" w:sz="0" w:val="nil"/>
              <w:bottom w:color="000000" w:space="0" w:sz="4" w:val="single"/>
              <w:right w:color="000000" w:space="0" w:sz="0" w:val="nil"/>
            </w:tcBorders>
            <w:shd w:fill="ffe5e5" w:val="clear"/>
            <w:vAlign w:val="center"/>
          </w:tcPr>
          <w:p w:rsidR="00000000" w:rsidDel="00000000" w:rsidP="00000000" w:rsidRDefault="00000000" w:rsidRPr="00000000" w14:paraId="000005D9">
            <w:pPr>
              <w:spacing w:after="0" w:line="240" w:lineRule="auto"/>
              <w:jc w:val="right"/>
              <w:rPr>
                <w:sz w:val="20"/>
                <w:szCs w:val="20"/>
              </w:rPr>
            </w:pPr>
            <w:r w:rsidDel="00000000" w:rsidR="00000000" w:rsidRPr="00000000">
              <w:rPr>
                <w:sz w:val="20"/>
                <w:szCs w:val="20"/>
                <w:rtl w:val="0"/>
              </w:rPr>
              <w:t xml:space="preserve"> </w:t>
            </w:r>
          </w:p>
        </w:tc>
      </w:tr>
      <w:tr>
        <w:trPr>
          <w:cantSplit w:val="0"/>
          <w:trHeight w:val="315" w:hRule="atLeast"/>
          <w:tblHeader w:val="0"/>
        </w:trPr>
        <w:tc>
          <w:tcPr>
            <w:gridSpan w:val="8"/>
            <w:tcBorders>
              <w:top w:color="000000" w:space="0" w:sz="4" w:val="single"/>
              <w:left w:color="000000" w:space="0" w:sz="0" w:val="nil"/>
              <w:bottom w:color="2f75b5" w:space="0" w:sz="4" w:val="single"/>
              <w:right w:color="000000" w:space="0" w:sz="0" w:val="nil"/>
            </w:tcBorders>
            <w:shd w:fill="auto" w:val="clear"/>
            <w:vAlign w:val="center"/>
          </w:tcPr>
          <w:p w:rsidR="00000000" w:rsidDel="00000000" w:rsidP="00000000" w:rsidRDefault="00000000" w:rsidRPr="00000000" w14:paraId="000005DA">
            <w:pPr>
              <w:spacing w:after="0" w:line="240" w:lineRule="auto"/>
              <w:rPr>
                <w:sz w:val="20"/>
                <w:szCs w:val="20"/>
              </w:rPr>
            </w:pPr>
            <w:r w:rsidDel="00000000" w:rsidR="00000000" w:rsidRPr="00000000">
              <w:rPr>
                <w:sz w:val="20"/>
                <w:szCs w:val="20"/>
                <w:vertAlign w:val="superscript"/>
                <w:rtl w:val="0"/>
              </w:rPr>
              <w:t xml:space="preserve">a</w:t>
            </w:r>
            <w:r w:rsidDel="00000000" w:rsidR="00000000" w:rsidRPr="00000000">
              <w:rPr>
                <w:sz w:val="20"/>
                <w:szCs w:val="20"/>
                <w:rtl w:val="0"/>
              </w:rPr>
              <w:t xml:space="preserve"> </w:t>
            </w:r>
            <w:r w:rsidDel="00000000" w:rsidR="00000000" w:rsidRPr="00000000">
              <w:rPr>
                <w:sz w:val="18"/>
                <w:szCs w:val="18"/>
                <w:rtl w:val="0"/>
              </w:rPr>
              <w:t xml:space="preserve">Percentages are displayed only when </w:t>
            </w:r>
            <w:r w:rsidDel="00000000" w:rsidR="00000000" w:rsidRPr="00000000">
              <w:rPr>
                <w:i w:val="1"/>
                <w:sz w:val="18"/>
                <w:szCs w:val="18"/>
                <w:rtl w:val="0"/>
              </w:rPr>
              <w:t xml:space="preserve">n</w:t>
            </w:r>
            <w:r w:rsidDel="00000000" w:rsidR="00000000" w:rsidRPr="00000000">
              <w:rPr>
                <w:sz w:val="18"/>
                <w:szCs w:val="18"/>
                <w:rtl w:val="0"/>
              </w:rPr>
              <w:t xml:space="preserve"> ≥ 10</w:t>
            </w:r>
            <w:r w:rsidDel="00000000" w:rsidR="00000000" w:rsidRPr="00000000">
              <w:rPr>
                <w:rtl w:val="0"/>
              </w:rPr>
            </w:r>
          </w:p>
        </w:tc>
      </w:tr>
    </w:tbl>
    <w:p w:rsidR="00000000" w:rsidDel="00000000" w:rsidP="00000000" w:rsidRDefault="00000000" w:rsidRPr="00000000" w14:paraId="000005E2">
      <w:pPr>
        <w:spacing w:before="240" w:lineRule="auto"/>
        <w:jc w:val="both"/>
        <w:rPr/>
      </w:pPr>
      <w:r w:rsidDel="00000000" w:rsidR="00000000" w:rsidRPr="00000000">
        <w:rPr>
          <w:rtl w:val="0"/>
        </w:rPr>
        <w:t xml:space="preserve">Of the eleven lineages exclusively shared between Eng_EMA and the groups from the Scandinavian Peninsula (Supp. Table 2.5), we observed ten among the larger sample of the Vikings from Scandinavia (</w:t>
      </w:r>
      <w:r w:rsidDel="00000000" w:rsidR="00000000" w:rsidRPr="00000000">
        <w:rPr>
          <w:i w:val="1"/>
          <w:rtl w:val="0"/>
        </w:rPr>
        <w:t xml:space="preserve">n </w:t>
      </w:r>
      <w:r w:rsidDel="00000000" w:rsidR="00000000" w:rsidRPr="00000000">
        <w:rPr>
          <w:rtl w:val="0"/>
        </w:rPr>
        <w:t xml:space="preserve">= 170); only one, H1a3b, appeared as unique to the Scand_IA_EMA group (</w:t>
      </w:r>
      <w:r w:rsidDel="00000000" w:rsidR="00000000" w:rsidRPr="00000000">
        <w:rPr>
          <w:i w:val="1"/>
          <w:rtl w:val="0"/>
        </w:rPr>
        <w:t xml:space="preserve">n </w:t>
      </w:r>
      <w:r w:rsidDel="00000000" w:rsidR="00000000" w:rsidRPr="00000000">
        <w:rPr>
          <w:rtl w:val="0"/>
        </w:rPr>
        <w:t xml:space="preserve">= 14), matching one individual from Öland in Southeast Sweden. Among the eleven matches, we labelled four (H1b1, I4a1, K2b1a1 and U5a2b) as “uncertain,” as they were nested among lineages found in pre-medieval Britain. We also detected one occurrence among the Ire_MA group, but no matches among the British and Irish Vikings.</w:t>
      </w:r>
    </w:p>
    <w:p w:rsidR="00000000" w:rsidDel="00000000" w:rsidP="00000000" w:rsidRDefault="00000000" w:rsidRPr="00000000" w14:paraId="000005E3">
      <w:pPr>
        <w:keepNext w:val="1"/>
        <w:spacing w:after="200" w:line="240" w:lineRule="auto"/>
        <w:jc w:val="both"/>
        <w:rPr>
          <w:i w:val="1"/>
          <w:sz w:val="18"/>
          <w:szCs w:val="18"/>
        </w:rPr>
      </w:pPr>
      <w:bookmarkStart w:colFirst="0" w:colLast="0" w:name="_heading=h.2lwamvv" w:id="51"/>
      <w:bookmarkEnd w:id="51"/>
      <w:r w:rsidDel="00000000" w:rsidR="00000000" w:rsidRPr="00000000">
        <w:rPr>
          <w:i w:val="1"/>
          <w:sz w:val="18"/>
          <w:szCs w:val="18"/>
          <w:rtl w:val="0"/>
        </w:rPr>
        <w:t xml:space="preserve">Supp. Table 2.5. Mitochondrial lineages exclusively shared between Eng_EMA and the Scandinavian Peninsula. Underlined lineages are classed as “uncertain” as they are either too nodal, or not supported by the sharing pattern of other sister/sub-lineages. Tabulated numbers represent the number of individuals carrying each lineage.</w:t>
      </w:r>
    </w:p>
    <w:tbl>
      <w:tblPr>
        <w:tblStyle w:val="Table4"/>
        <w:tblW w:w="8877.0" w:type="dxa"/>
        <w:jc w:val="center"/>
        <w:tblBorders>
          <w:top w:color="000000" w:space="0" w:sz="4" w:val="single"/>
          <w:left w:color="000000" w:space="0" w:sz="4" w:val="single"/>
          <w:bottom w:color="000000" w:space="0" w:sz="4" w:val="single"/>
          <w:right w:color="000000" w:space="0" w:sz="4" w:val="single"/>
          <w:insideV w:color="000000" w:space="0" w:sz="4" w:val="single"/>
        </w:tblBorders>
        <w:tblLayout w:type="fixed"/>
        <w:tblLook w:val="0400"/>
      </w:tblPr>
      <w:tblGrid>
        <w:gridCol w:w="1006"/>
        <w:gridCol w:w="1121"/>
        <w:gridCol w:w="1125"/>
        <w:gridCol w:w="1260"/>
        <w:gridCol w:w="990"/>
        <w:gridCol w:w="1395"/>
        <w:gridCol w:w="1200"/>
        <w:gridCol w:w="780"/>
        <w:tblGridChange w:id="0">
          <w:tblGrid>
            <w:gridCol w:w="1006"/>
            <w:gridCol w:w="1121"/>
            <w:gridCol w:w="1125"/>
            <w:gridCol w:w="1260"/>
            <w:gridCol w:w="990"/>
            <w:gridCol w:w="1395"/>
            <w:gridCol w:w="1200"/>
            <w:gridCol w:w="780"/>
          </w:tblGrid>
        </w:tblGridChange>
      </w:tblGrid>
      <w:tr>
        <w:trPr>
          <w:cantSplit w:val="1"/>
          <w:trHeight w:val="2398" w:hRule="atLeast"/>
          <w:tblHeader w:val="0"/>
        </w:trPr>
        <w:tc>
          <w:tcPr>
            <w:tcBorders>
              <w:top w:color="000000" w:space="0" w:sz="0" w:val="nil"/>
              <w:left w:color="000000" w:space="0" w:sz="0" w:val="nil"/>
              <w:bottom w:color="000000" w:space="0" w:sz="4" w:val="single"/>
            </w:tcBorders>
            <w:shd w:fill="auto" w:val="clear"/>
            <w:vAlign w:val="bottom"/>
          </w:tcPr>
          <w:p w:rsidR="00000000" w:rsidDel="00000000" w:rsidP="00000000" w:rsidRDefault="00000000" w:rsidRPr="00000000" w14:paraId="000005E4">
            <w:pPr>
              <w:spacing w:after="0" w:line="240" w:lineRule="auto"/>
              <w:rPr>
                <w:b w:val="1"/>
                <w:sz w:val="20"/>
                <w:szCs w:val="20"/>
              </w:rPr>
            </w:pPr>
            <w:r w:rsidDel="00000000" w:rsidR="00000000" w:rsidRPr="00000000">
              <w:rPr>
                <w:b w:val="1"/>
                <w:sz w:val="20"/>
                <w:szCs w:val="20"/>
                <w:rtl w:val="0"/>
              </w:rPr>
              <w:t xml:space="preserve">Lineages</w:t>
            </w:r>
          </w:p>
        </w:tc>
        <w:tc>
          <w:tcPr>
            <w:tcBorders>
              <w:top w:color="000000" w:space="0" w:sz="4" w:val="single"/>
              <w:bottom w:color="000000" w:space="0" w:sz="4" w:val="single"/>
            </w:tcBorders>
            <w:shd w:fill="f2f2f2" w:val="clear"/>
            <w:vAlign w:val="center"/>
          </w:tcPr>
          <w:p w:rsidR="00000000" w:rsidDel="00000000" w:rsidP="00000000" w:rsidRDefault="00000000" w:rsidRPr="00000000" w14:paraId="000005E5">
            <w:pPr>
              <w:spacing w:after="0" w:line="240" w:lineRule="auto"/>
              <w:ind w:right="-104"/>
              <w:rPr>
                <w:b w:val="1"/>
                <w:color w:val="ed7d31"/>
                <w:sz w:val="20"/>
                <w:szCs w:val="20"/>
              </w:rPr>
            </w:pPr>
            <w:r w:rsidDel="00000000" w:rsidR="00000000" w:rsidRPr="00000000">
              <w:rPr>
                <w:b w:val="1"/>
                <w:color w:val="ed7d31"/>
                <w:sz w:val="20"/>
                <w:szCs w:val="20"/>
                <w:rtl w:val="0"/>
              </w:rPr>
              <w:t xml:space="preserve">Eng_EMA (</w:t>
            </w:r>
            <w:r w:rsidDel="00000000" w:rsidR="00000000" w:rsidRPr="00000000">
              <w:rPr>
                <w:b w:val="1"/>
                <w:i w:val="1"/>
                <w:color w:val="ed7d31"/>
                <w:sz w:val="20"/>
                <w:szCs w:val="20"/>
                <w:rtl w:val="0"/>
              </w:rPr>
              <w:t xml:space="preserve">n</w:t>
            </w:r>
            <w:r w:rsidDel="00000000" w:rsidR="00000000" w:rsidRPr="00000000">
              <w:rPr>
                <w:b w:val="1"/>
                <w:color w:val="ed7d31"/>
                <w:sz w:val="20"/>
                <w:szCs w:val="20"/>
                <w:rtl w:val="0"/>
              </w:rPr>
              <w:t xml:space="preserve">=249)</w:t>
            </w:r>
          </w:p>
        </w:tc>
        <w:tc>
          <w:tcPr>
            <w:tcBorders>
              <w:top w:color="000000" w:space="0" w:sz="4" w:val="single"/>
              <w:bottom w:color="000000" w:space="0" w:sz="4" w:val="single"/>
            </w:tcBorders>
            <w:shd w:fill="auto" w:val="clear"/>
            <w:vAlign w:val="center"/>
          </w:tcPr>
          <w:p w:rsidR="00000000" w:rsidDel="00000000" w:rsidP="00000000" w:rsidRDefault="00000000" w:rsidRPr="00000000" w14:paraId="000005E6">
            <w:pPr>
              <w:spacing w:after="0" w:line="240" w:lineRule="auto"/>
              <w:ind w:right="-104"/>
              <w:rPr>
                <w:color w:val="375623"/>
                <w:sz w:val="20"/>
                <w:szCs w:val="20"/>
              </w:rPr>
            </w:pPr>
            <w:r w:rsidDel="00000000" w:rsidR="00000000" w:rsidRPr="00000000">
              <w:rPr>
                <w:color w:val="375623"/>
                <w:sz w:val="20"/>
                <w:szCs w:val="20"/>
                <w:rtl w:val="0"/>
              </w:rPr>
              <w:t xml:space="preserve">NorthSea_</w:t>
            </w:r>
          </w:p>
          <w:p w:rsidR="00000000" w:rsidDel="00000000" w:rsidP="00000000" w:rsidRDefault="00000000" w:rsidRPr="00000000" w14:paraId="000005E7">
            <w:pPr>
              <w:spacing w:after="0" w:line="240" w:lineRule="auto"/>
              <w:ind w:right="-104"/>
              <w:rPr>
                <w:color w:val="375623"/>
                <w:sz w:val="20"/>
                <w:szCs w:val="20"/>
              </w:rPr>
            </w:pPr>
            <w:r w:rsidDel="00000000" w:rsidR="00000000" w:rsidRPr="00000000">
              <w:rPr>
                <w:color w:val="375623"/>
                <w:sz w:val="20"/>
                <w:szCs w:val="20"/>
                <w:rtl w:val="0"/>
              </w:rPr>
              <w:t xml:space="preserve">BA_IA_EMA</w:t>
            </w:r>
          </w:p>
          <w:p w:rsidR="00000000" w:rsidDel="00000000" w:rsidP="00000000" w:rsidRDefault="00000000" w:rsidRPr="00000000" w14:paraId="000005E8">
            <w:pPr>
              <w:spacing w:after="0" w:line="240" w:lineRule="auto"/>
              <w:ind w:right="-104"/>
              <w:rPr>
                <w:color w:val="375623"/>
                <w:sz w:val="20"/>
                <w:szCs w:val="20"/>
              </w:rPr>
            </w:pPr>
            <w:r w:rsidDel="00000000" w:rsidR="00000000" w:rsidRPr="00000000">
              <w:rPr>
                <w:color w:val="375623"/>
                <w:sz w:val="20"/>
                <w:szCs w:val="20"/>
                <w:rtl w:val="0"/>
              </w:rPr>
              <w:t xml:space="preserve">(</w:t>
            </w:r>
            <w:r w:rsidDel="00000000" w:rsidR="00000000" w:rsidRPr="00000000">
              <w:rPr>
                <w:i w:val="1"/>
                <w:color w:val="375623"/>
                <w:sz w:val="20"/>
                <w:szCs w:val="20"/>
                <w:rtl w:val="0"/>
              </w:rPr>
              <w:t xml:space="preserve">n</w:t>
            </w:r>
            <w:r w:rsidDel="00000000" w:rsidR="00000000" w:rsidRPr="00000000">
              <w:rPr>
                <w:color w:val="375623"/>
                <w:sz w:val="20"/>
                <w:szCs w:val="20"/>
                <w:rtl w:val="0"/>
              </w:rPr>
              <w:t xml:space="preserve">=199)</w:t>
            </w:r>
          </w:p>
        </w:tc>
        <w:tc>
          <w:tcPr>
            <w:tcBorders>
              <w:top w:color="000000" w:space="0" w:sz="4" w:val="single"/>
              <w:bottom w:color="000000" w:space="0" w:sz="4" w:val="single"/>
            </w:tcBorders>
            <w:shd w:fill="auto" w:val="clear"/>
            <w:vAlign w:val="center"/>
          </w:tcPr>
          <w:p w:rsidR="00000000" w:rsidDel="00000000" w:rsidP="00000000" w:rsidRDefault="00000000" w:rsidRPr="00000000" w14:paraId="000005E9">
            <w:pPr>
              <w:spacing w:after="0" w:line="240" w:lineRule="auto"/>
              <w:ind w:right="-104"/>
              <w:rPr>
                <w:color w:val="548235"/>
                <w:sz w:val="20"/>
                <w:szCs w:val="20"/>
              </w:rPr>
            </w:pPr>
            <w:r w:rsidDel="00000000" w:rsidR="00000000" w:rsidRPr="00000000">
              <w:rPr>
                <w:color w:val="548235"/>
                <w:sz w:val="20"/>
                <w:szCs w:val="20"/>
                <w:rtl w:val="0"/>
              </w:rPr>
              <w:t xml:space="preserve">VK_NorthSea (</w:t>
            </w:r>
            <w:r w:rsidDel="00000000" w:rsidR="00000000" w:rsidRPr="00000000">
              <w:rPr>
                <w:i w:val="1"/>
                <w:color w:val="548235"/>
                <w:sz w:val="20"/>
                <w:szCs w:val="20"/>
                <w:rtl w:val="0"/>
              </w:rPr>
              <w:t xml:space="preserve">n</w:t>
            </w:r>
            <w:r w:rsidDel="00000000" w:rsidR="00000000" w:rsidRPr="00000000">
              <w:rPr>
                <w:color w:val="548235"/>
                <w:sz w:val="20"/>
                <w:szCs w:val="20"/>
                <w:rtl w:val="0"/>
              </w:rPr>
              <w:t xml:space="preserve">=83)</w:t>
            </w:r>
          </w:p>
        </w:tc>
        <w:tc>
          <w:tcPr>
            <w:tcBorders>
              <w:top w:color="000000" w:space="0" w:sz="4" w:val="single"/>
              <w:bottom w:color="000000" w:space="0" w:sz="4" w:val="single"/>
            </w:tcBorders>
            <w:shd w:fill="f2f2f2" w:val="clear"/>
            <w:vAlign w:val="center"/>
          </w:tcPr>
          <w:p w:rsidR="00000000" w:rsidDel="00000000" w:rsidP="00000000" w:rsidRDefault="00000000" w:rsidRPr="00000000" w14:paraId="000005EA">
            <w:pPr>
              <w:spacing w:after="0" w:line="240" w:lineRule="auto"/>
              <w:ind w:right="-116"/>
              <w:rPr>
                <w:color w:val="0000ff"/>
                <w:sz w:val="20"/>
                <w:szCs w:val="20"/>
              </w:rPr>
            </w:pPr>
            <w:r w:rsidDel="00000000" w:rsidR="00000000" w:rsidRPr="00000000">
              <w:rPr>
                <w:color w:val="0000ff"/>
                <w:sz w:val="20"/>
                <w:szCs w:val="20"/>
                <w:rtl w:val="0"/>
              </w:rPr>
              <w:t xml:space="preserve">VK_Scand (</w:t>
            </w:r>
            <w:r w:rsidDel="00000000" w:rsidR="00000000" w:rsidRPr="00000000">
              <w:rPr>
                <w:i w:val="1"/>
                <w:color w:val="0000ff"/>
                <w:sz w:val="20"/>
                <w:szCs w:val="20"/>
                <w:rtl w:val="0"/>
              </w:rPr>
              <w:t xml:space="preserve">n</w:t>
            </w:r>
            <w:r w:rsidDel="00000000" w:rsidR="00000000" w:rsidRPr="00000000">
              <w:rPr>
                <w:color w:val="0000ff"/>
                <w:sz w:val="20"/>
                <w:szCs w:val="20"/>
                <w:rtl w:val="0"/>
              </w:rPr>
              <w:t xml:space="preserve">=170)</w:t>
            </w:r>
          </w:p>
        </w:tc>
        <w:tc>
          <w:tcPr>
            <w:tcBorders>
              <w:top w:color="000000" w:space="0" w:sz="4" w:val="single"/>
              <w:bottom w:color="000000" w:space="0" w:sz="4" w:val="single"/>
            </w:tcBorders>
            <w:shd w:fill="f2f2f2" w:val="clear"/>
            <w:vAlign w:val="center"/>
          </w:tcPr>
          <w:p w:rsidR="00000000" w:rsidDel="00000000" w:rsidP="00000000" w:rsidRDefault="00000000" w:rsidRPr="00000000" w14:paraId="000005EB">
            <w:pPr>
              <w:spacing w:after="0" w:line="240" w:lineRule="auto"/>
              <w:ind w:right="-104"/>
              <w:rPr>
                <w:color w:val="0000ff"/>
                <w:sz w:val="20"/>
                <w:szCs w:val="20"/>
              </w:rPr>
            </w:pPr>
            <w:r w:rsidDel="00000000" w:rsidR="00000000" w:rsidRPr="00000000">
              <w:rPr>
                <w:color w:val="2e75b5"/>
                <w:sz w:val="20"/>
                <w:szCs w:val="20"/>
                <w:rtl w:val="0"/>
              </w:rPr>
              <w:t xml:space="preserve">Scand_IA_EMA (</w:t>
            </w:r>
            <w:r w:rsidDel="00000000" w:rsidR="00000000" w:rsidRPr="00000000">
              <w:rPr>
                <w:i w:val="1"/>
                <w:color w:val="2e75b5"/>
                <w:sz w:val="20"/>
                <w:szCs w:val="20"/>
                <w:rtl w:val="0"/>
              </w:rPr>
              <w:t xml:space="preserve">n</w:t>
            </w:r>
            <w:r w:rsidDel="00000000" w:rsidR="00000000" w:rsidRPr="00000000">
              <w:rPr>
                <w:color w:val="2e75b5"/>
                <w:sz w:val="20"/>
                <w:szCs w:val="20"/>
                <w:rtl w:val="0"/>
              </w:rPr>
              <w:t xml:space="preserve">=14)</w:t>
            </w:r>
            <w:r w:rsidDel="00000000" w:rsidR="00000000" w:rsidRPr="00000000">
              <w:rPr>
                <w:rtl w:val="0"/>
              </w:rPr>
            </w:r>
          </w:p>
        </w:tc>
        <w:tc>
          <w:tcPr>
            <w:tcBorders>
              <w:top w:color="000000" w:space="0" w:sz="4" w:val="single"/>
              <w:bottom w:color="000000" w:space="0" w:sz="4" w:val="single"/>
            </w:tcBorders>
            <w:shd w:fill="f2f2f2" w:val="clear"/>
            <w:vAlign w:val="center"/>
          </w:tcPr>
          <w:p w:rsidR="00000000" w:rsidDel="00000000" w:rsidP="00000000" w:rsidRDefault="00000000" w:rsidRPr="00000000" w14:paraId="000005EC">
            <w:pPr>
              <w:spacing w:after="0" w:line="240" w:lineRule="auto"/>
              <w:ind w:right="-104"/>
              <w:rPr>
                <w:color w:val="cc0099"/>
                <w:sz w:val="20"/>
                <w:szCs w:val="20"/>
              </w:rPr>
            </w:pPr>
            <w:r w:rsidDel="00000000" w:rsidR="00000000" w:rsidRPr="00000000">
              <w:rPr>
                <w:color w:val="7030a0"/>
                <w:rtl w:val="0"/>
              </w:rPr>
              <w:t xml:space="preserve">VK_Brit&amp;Ire</w:t>
            </w:r>
            <w:r w:rsidDel="00000000" w:rsidR="00000000" w:rsidRPr="00000000">
              <w:rPr>
                <w:color w:val="7030a0"/>
                <w:sz w:val="20"/>
                <w:szCs w:val="20"/>
                <w:rtl w:val="0"/>
              </w:rPr>
              <w:t xml:space="preserve"> (</w:t>
            </w:r>
            <w:r w:rsidDel="00000000" w:rsidR="00000000" w:rsidRPr="00000000">
              <w:rPr>
                <w:i w:val="1"/>
                <w:color w:val="7030a0"/>
                <w:sz w:val="20"/>
                <w:szCs w:val="20"/>
                <w:rtl w:val="0"/>
              </w:rPr>
              <w:t xml:space="preserve">n</w:t>
            </w:r>
            <w:r w:rsidDel="00000000" w:rsidR="00000000" w:rsidRPr="00000000">
              <w:rPr>
                <w:color w:val="7030a0"/>
                <w:sz w:val="20"/>
                <w:szCs w:val="20"/>
                <w:rtl w:val="0"/>
              </w:rPr>
              <w:t xml:space="preserve">=44)</w:t>
            </w:r>
            <w:r w:rsidDel="00000000" w:rsidR="00000000" w:rsidRPr="00000000">
              <w:rPr>
                <w:rtl w:val="0"/>
              </w:rPr>
            </w:r>
          </w:p>
        </w:tc>
        <w:tc>
          <w:tcPr>
            <w:tcBorders>
              <w:top w:color="000000" w:space="0" w:sz="4" w:val="single"/>
              <w:bottom w:color="000000" w:space="0" w:sz="4" w:val="single"/>
            </w:tcBorders>
            <w:shd w:fill="f2f2f2" w:val="clear"/>
            <w:vAlign w:val="center"/>
          </w:tcPr>
          <w:p w:rsidR="00000000" w:rsidDel="00000000" w:rsidP="00000000" w:rsidRDefault="00000000" w:rsidRPr="00000000" w14:paraId="000005ED">
            <w:pPr>
              <w:spacing w:after="0" w:line="240" w:lineRule="auto"/>
              <w:ind w:right="-104"/>
              <w:rPr>
                <w:color w:val="cc0099"/>
                <w:sz w:val="20"/>
                <w:szCs w:val="20"/>
              </w:rPr>
            </w:pPr>
            <w:r w:rsidDel="00000000" w:rsidR="00000000" w:rsidRPr="00000000">
              <w:rPr>
                <w:color w:val="cc0099"/>
                <w:sz w:val="20"/>
                <w:szCs w:val="20"/>
                <w:rtl w:val="0"/>
              </w:rPr>
              <w:t xml:space="preserve">Ire_MA (</w:t>
            </w:r>
            <w:r w:rsidDel="00000000" w:rsidR="00000000" w:rsidRPr="00000000">
              <w:rPr>
                <w:i w:val="1"/>
                <w:color w:val="cc0099"/>
                <w:sz w:val="20"/>
                <w:szCs w:val="20"/>
                <w:rtl w:val="0"/>
              </w:rPr>
              <w:t xml:space="preserve">n</w:t>
            </w:r>
            <w:r w:rsidDel="00000000" w:rsidR="00000000" w:rsidRPr="00000000">
              <w:rPr>
                <w:color w:val="cc0099"/>
                <w:sz w:val="20"/>
                <w:szCs w:val="20"/>
                <w:rtl w:val="0"/>
              </w:rPr>
              <w:t xml:space="preserve">=38)</w:t>
            </w:r>
          </w:p>
        </w:tc>
      </w:tr>
      <w:tr>
        <w:trPr>
          <w:cantSplit w:val="0"/>
          <w:trHeight w:val="300" w:hRule="atLeast"/>
          <w:tblHeader w:val="0"/>
        </w:trPr>
        <w:tc>
          <w:tcPr>
            <w:tcBorders>
              <w:top w:color="000000" w:space="0" w:sz="4" w:val="single"/>
              <w:left w:color="000000" w:space="0" w:sz="0" w:val="nil"/>
            </w:tcBorders>
            <w:shd w:fill="auto" w:val="clear"/>
            <w:vAlign w:val="center"/>
          </w:tcPr>
          <w:p w:rsidR="00000000" w:rsidDel="00000000" w:rsidP="00000000" w:rsidRDefault="00000000" w:rsidRPr="00000000" w14:paraId="000005EE">
            <w:pPr>
              <w:spacing w:after="0" w:line="240" w:lineRule="auto"/>
              <w:rPr>
                <w:sz w:val="20"/>
                <w:szCs w:val="20"/>
              </w:rPr>
            </w:pPr>
            <w:r w:rsidDel="00000000" w:rsidR="00000000" w:rsidRPr="00000000">
              <w:rPr>
                <w:sz w:val="20"/>
                <w:szCs w:val="20"/>
                <w:rtl w:val="0"/>
              </w:rPr>
              <w:t xml:space="preserve">H1a3b</w:t>
            </w:r>
          </w:p>
        </w:tc>
        <w:tc>
          <w:tcPr>
            <w:tcBorders>
              <w:top w:color="000000" w:space="0" w:sz="4" w:val="single"/>
            </w:tcBorders>
            <w:shd w:fill="ddebf7" w:val="clear"/>
            <w:vAlign w:val="center"/>
          </w:tcPr>
          <w:p w:rsidR="00000000" w:rsidDel="00000000" w:rsidP="00000000" w:rsidRDefault="00000000" w:rsidRPr="00000000" w14:paraId="000005EF">
            <w:pPr>
              <w:spacing w:after="0" w:line="240" w:lineRule="auto"/>
              <w:jc w:val="right"/>
              <w:rPr>
                <w:b w:val="1"/>
                <w:sz w:val="20"/>
                <w:szCs w:val="20"/>
              </w:rPr>
            </w:pPr>
            <w:r w:rsidDel="00000000" w:rsidR="00000000" w:rsidRPr="00000000">
              <w:rPr>
                <w:b w:val="1"/>
                <w:sz w:val="20"/>
                <w:szCs w:val="20"/>
                <w:rtl w:val="0"/>
              </w:rPr>
              <w:t xml:space="preserve">1</w:t>
            </w:r>
          </w:p>
        </w:tc>
        <w:tc>
          <w:tcPr>
            <w:tcBorders>
              <w:top w:color="000000" w:space="0" w:sz="4" w:val="single"/>
            </w:tcBorders>
            <w:shd w:fill="auto" w:val="clear"/>
            <w:vAlign w:val="center"/>
          </w:tcPr>
          <w:p w:rsidR="00000000" w:rsidDel="00000000" w:rsidP="00000000" w:rsidRDefault="00000000" w:rsidRPr="00000000" w14:paraId="000005F0">
            <w:pPr>
              <w:spacing w:after="0" w:line="240" w:lineRule="auto"/>
              <w:jc w:val="right"/>
              <w:rPr>
                <w:sz w:val="20"/>
                <w:szCs w:val="20"/>
              </w:rPr>
            </w:pPr>
            <w:r w:rsidDel="00000000" w:rsidR="00000000" w:rsidRPr="00000000">
              <w:rPr>
                <w:rtl w:val="0"/>
              </w:rPr>
            </w:r>
          </w:p>
        </w:tc>
        <w:tc>
          <w:tcPr>
            <w:tcBorders>
              <w:top w:color="000000" w:space="0" w:sz="4" w:val="single"/>
            </w:tcBorders>
            <w:shd w:fill="auto" w:val="clear"/>
            <w:vAlign w:val="center"/>
          </w:tcPr>
          <w:p w:rsidR="00000000" w:rsidDel="00000000" w:rsidP="00000000" w:rsidRDefault="00000000" w:rsidRPr="00000000" w14:paraId="000005F1">
            <w:pPr>
              <w:spacing w:after="0" w:line="240" w:lineRule="auto"/>
              <w:jc w:val="right"/>
              <w:rPr>
                <w:rFonts w:ascii="Times New Roman" w:cs="Times New Roman" w:eastAsia="Times New Roman" w:hAnsi="Times New Roman"/>
                <w:sz w:val="18"/>
                <w:szCs w:val="18"/>
              </w:rPr>
            </w:pPr>
            <w:r w:rsidDel="00000000" w:rsidR="00000000" w:rsidRPr="00000000">
              <w:rPr>
                <w:rtl w:val="0"/>
              </w:rPr>
            </w:r>
          </w:p>
        </w:tc>
        <w:tc>
          <w:tcPr>
            <w:tcBorders>
              <w:top w:color="000000" w:space="0" w:sz="4" w:val="single"/>
            </w:tcBorders>
            <w:shd w:fill="auto" w:val="clear"/>
            <w:vAlign w:val="center"/>
          </w:tcPr>
          <w:p w:rsidR="00000000" w:rsidDel="00000000" w:rsidP="00000000" w:rsidRDefault="00000000" w:rsidRPr="00000000" w14:paraId="000005F2">
            <w:pPr>
              <w:spacing w:after="0" w:line="240" w:lineRule="auto"/>
              <w:jc w:val="right"/>
              <w:rPr>
                <w:rFonts w:ascii="Times New Roman" w:cs="Times New Roman" w:eastAsia="Times New Roman" w:hAnsi="Times New Roman"/>
                <w:sz w:val="18"/>
                <w:szCs w:val="18"/>
              </w:rPr>
            </w:pPr>
            <w:r w:rsidDel="00000000" w:rsidR="00000000" w:rsidRPr="00000000">
              <w:rPr>
                <w:rtl w:val="0"/>
              </w:rPr>
            </w:r>
          </w:p>
        </w:tc>
        <w:tc>
          <w:tcPr>
            <w:tcBorders>
              <w:top w:color="000000" w:space="0" w:sz="4" w:val="single"/>
            </w:tcBorders>
            <w:shd w:fill="ddebf7" w:val="clear"/>
            <w:vAlign w:val="center"/>
          </w:tcPr>
          <w:p w:rsidR="00000000" w:rsidDel="00000000" w:rsidP="00000000" w:rsidRDefault="00000000" w:rsidRPr="00000000" w14:paraId="000005F3">
            <w:pPr>
              <w:spacing w:after="0" w:line="240" w:lineRule="auto"/>
              <w:jc w:val="right"/>
              <w:rPr>
                <w:sz w:val="20"/>
                <w:szCs w:val="20"/>
              </w:rPr>
            </w:pPr>
            <w:r w:rsidDel="00000000" w:rsidR="00000000" w:rsidRPr="00000000">
              <w:rPr>
                <w:sz w:val="20"/>
                <w:szCs w:val="20"/>
                <w:rtl w:val="0"/>
              </w:rPr>
              <w:t xml:space="preserve">1</w:t>
            </w:r>
          </w:p>
        </w:tc>
        <w:tc>
          <w:tcPr>
            <w:tcBorders>
              <w:top w:color="000000" w:space="0" w:sz="4" w:val="single"/>
            </w:tcBorders>
            <w:vAlign w:val="center"/>
          </w:tcPr>
          <w:p w:rsidR="00000000" w:rsidDel="00000000" w:rsidP="00000000" w:rsidRDefault="00000000" w:rsidRPr="00000000" w14:paraId="000005F4">
            <w:pPr>
              <w:spacing w:after="0" w:line="240" w:lineRule="auto"/>
              <w:jc w:val="right"/>
              <w:rPr>
                <w:sz w:val="20"/>
                <w:szCs w:val="20"/>
              </w:rPr>
            </w:pPr>
            <w:r w:rsidDel="00000000" w:rsidR="00000000" w:rsidRPr="00000000">
              <w:rPr>
                <w:rtl w:val="0"/>
              </w:rPr>
            </w:r>
          </w:p>
        </w:tc>
        <w:tc>
          <w:tcPr>
            <w:tcBorders>
              <w:top w:color="000000" w:space="0" w:sz="4" w:val="single"/>
            </w:tcBorders>
            <w:shd w:fill="auto" w:val="clear"/>
            <w:vAlign w:val="center"/>
          </w:tcPr>
          <w:p w:rsidR="00000000" w:rsidDel="00000000" w:rsidP="00000000" w:rsidRDefault="00000000" w:rsidRPr="00000000" w14:paraId="000005F5">
            <w:pPr>
              <w:spacing w:after="0" w:line="240" w:lineRule="auto"/>
              <w:jc w:val="right"/>
              <w:rPr>
                <w:sz w:val="20"/>
                <w:szCs w:val="20"/>
              </w:rPr>
            </w:pPr>
            <w:r w:rsidDel="00000000" w:rsidR="00000000" w:rsidRPr="00000000">
              <w:rPr>
                <w:rtl w:val="0"/>
              </w:rPr>
            </w:r>
          </w:p>
        </w:tc>
      </w:tr>
      <w:tr>
        <w:trPr>
          <w:cantSplit w:val="0"/>
          <w:trHeight w:val="300" w:hRule="atLeast"/>
          <w:tblHeader w:val="0"/>
        </w:trPr>
        <w:tc>
          <w:tcPr>
            <w:tcBorders>
              <w:left w:color="000000" w:space="0" w:sz="0" w:val="nil"/>
            </w:tcBorders>
            <w:shd w:fill="auto" w:val="clear"/>
            <w:vAlign w:val="center"/>
          </w:tcPr>
          <w:p w:rsidR="00000000" w:rsidDel="00000000" w:rsidP="00000000" w:rsidRDefault="00000000" w:rsidRPr="00000000" w14:paraId="000005F6">
            <w:pPr>
              <w:spacing w:after="0" w:line="240" w:lineRule="auto"/>
              <w:rPr>
                <w:sz w:val="20"/>
                <w:szCs w:val="20"/>
                <w:u w:val="single"/>
              </w:rPr>
            </w:pPr>
            <w:r w:rsidDel="00000000" w:rsidR="00000000" w:rsidRPr="00000000">
              <w:rPr>
                <w:sz w:val="20"/>
                <w:szCs w:val="20"/>
                <w:u w:val="single"/>
                <w:rtl w:val="0"/>
              </w:rPr>
              <w:t xml:space="preserve">H1b1</w:t>
            </w:r>
          </w:p>
        </w:tc>
        <w:tc>
          <w:tcPr>
            <w:shd w:fill="ddebf7" w:val="clear"/>
            <w:vAlign w:val="center"/>
          </w:tcPr>
          <w:p w:rsidR="00000000" w:rsidDel="00000000" w:rsidP="00000000" w:rsidRDefault="00000000" w:rsidRPr="00000000" w14:paraId="000005F7">
            <w:pPr>
              <w:spacing w:after="0" w:line="240" w:lineRule="auto"/>
              <w:jc w:val="right"/>
              <w:rPr>
                <w:b w:val="1"/>
                <w:sz w:val="20"/>
                <w:szCs w:val="20"/>
              </w:rPr>
            </w:pPr>
            <w:r w:rsidDel="00000000" w:rsidR="00000000" w:rsidRPr="00000000">
              <w:rPr>
                <w:b w:val="1"/>
                <w:sz w:val="20"/>
                <w:szCs w:val="20"/>
                <w:rtl w:val="0"/>
              </w:rPr>
              <w:t xml:space="preserve">2</w:t>
            </w:r>
          </w:p>
        </w:tc>
        <w:tc>
          <w:tcPr>
            <w:shd w:fill="auto" w:val="clear"/>
            <w:vAlign w:val="center"/>
          </w:tcPr>
          <w:p w:rsidR="00000000" w:rsidDel="00000000" w:rsidP="00000000" w:rsidRDefault="00000000" w:rsidRPr="00000000" w14:paraId="000005F8">
            <w:pPr>
              <w:spacing w:after="0" w:line="240" w:lineRule="auto"/>
              <w:jc w:val="right"/>
              <w:rPr>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5F9">
            <w:pPr>
              <w:spacing w:after="0" w:line="240" w:lineRule="auto"/>
              <w:jc w:val="right"/>
              <w:rPr>
                <w:rFonts w:ascii="Times New Roman" w:cs="Times New Roman" w:eastAsia="Times New Roman" w:hAnsi="Times New Roman"/>
                <w:sz w:val="18"/>
                <w:szCs w:val="18"/>
              </w:rPr>
            </w:pPr>
            <w:r w:rsidDel="00000000" w:rsidR="00000000" w:rsidRPr="00000000">
              <w:rPr>
                <w:rtl w:val="0"/>
              </w:rPr>
            </w:r>
          </w:p>
        </w:tc>
        <w:tc>
          <w:tcPr>
            <w:shd w:fill="ddebf7" w:val="clear"/>
            <w:vAlign w:val="center"/>
          </w:tcPr>
          <w:p w:rsidR="00000000" w:rsidDel="00000000" w:rsidP="00000000" w:rsidRDefault="00000000" w:rsidRPr="00000000" w14:paraId="000005FA">
            <w:pPr>
              <w:spacing w:after="0" w:line="240" w:lineRule="auto"/>
              <w:jc w:val="right"/>
              <w:rPr>
                <w:sz w:val="20"/>
                <w:szCs w:val="20"/>
              </w:rPr>
            </w:pPr>
            <w:r w:rsidDel="00000000" w:rsidR="00000000" w:rsidRPr="00000000">
              <w:rPr>
                <w:sz w:val="20"/>
                <w:szCs w:val="20"/>
                <w:rtl w:val="0"/>
              </w:rPr>
              <w:t xml:space="preserve">1</w:t>
            </w:r>
          </w:p>
        </w:tc>
        <w:tc>
          <w:tcPr>
            <w:shd w:fill="auto" w:val="clear"/>
            <w:vAlign w:val="center"/>
          </w:tcPr>
          <w:p w:rsidR="00000000" w:rsidDel="00000000" w:rsidP="00000000" w:rsidRDefault="00000000" w:rsidRPr="00000000" w14:paraId="000005FB">
            <w:pPr>
              <w:spacing w:after="0" w:line="240" w:lineRule="auto"/>
              <w:jc w:val="right"/>
              <w:rPr>
                <w:sz w:val="20"/>
                <w:szCs w:val="20"/>
              </w:rPr>
            </w:pPr>
            <w:r w:rsidDel="00000000" w:rsidR="00000000" w:rsidRPr="00000000">
              <w:rPr>
                <w:rtl w:val="0"/>
              </w:rPr>
            </w:r>
          </w:p>
        </w:tc>
        <w:tc>
          <w:tcPr>
            <w:vAlign w:val="center"/>
          </w:tcPr>
          <w:p w:rsidR="00000000" w:rsidDel="00000000" w:rsidP="00000000" w:rsidRDefault="00000000" w:rsidRPr="00000000" w14:paraId="000005FC">
            <w:pPr>
              <w:spacing w:after="0" w:line="240" w:lineRule="auto"/>
              <w:jc w:val="right"/>
              <w:rPr>
                <w:rFonts w:ascii="Times New Roman" w:cs="Times New Roman" w:eastAsia="Times New Roman" w:hAnsi="Times New Roman"/>
                <w:sz w:val="18"/>
                <w:szCs w:val="18"/>
              </w:rPr>
            </w:pPr>
            <w:r w:rsidDel="00000000" w:rsidR="00000000" w:rsidRPr="00000000">
              <w:rPr>
                <w:rtl w:val="0"/>
              </w:rPr>
            </w:r>
          </w:p>
        </w:tc>
        <w:tc>
          <w:tcPr>
            <w:shd w:fill="auto" w:val="clear"/>
            <w:vAlign w:val="center"/>
          </w:tcPr>
          <w:p w:rsidR="00000000" w:rsidDel="00000000" w:rsidP="00000000" w:rsidRDefault="00000000" w:rsidRPr="00000000" w14:paraId="000005FD">
            <w:pPr>
              <w:spacing w:after="0" w:line="240" w:lineRule="auto"/>
              <w:jc w:val="right"/>
              <w:rPr>
                <w:rFonts w:ascii="Times New Roman" w:cs="Times New Roman" w:eastAsia="Times New Roman" w:hAnsi="Times New Roman"/>
                <w:sz w:val="18"/>
                <w:szCs w:val="18"/>
              </w:rPr>
            </w:pPr>
            <w:r w:rsidDel="00000000" w:rsidR="00000000" w:rsidRPr="00000000">
              <w:rPr>
                <w:rtl w:val="0"/>
              </w:rPr>
            </w:r>
          </w:p>
        </w:tc>
      </w:tr>
      <w:tr>
        <w:trPr>
          <w:cantSplit w:val="0"/>
          <w:trHeight w:val="300" w:hRule="atLeast"/>
          <w:tblHeader w:val="0"/>
        </w:trPr>
        <w:tc>
          <w:tcPr>
            <w:tcBorders>
              <w:left w:color="000000" w:space="0" w:sz="0" w:val="nil"/>
            </w:tcBorders>
            <w:shd w:fill="auto" w:val="clear"/>
            <w:vAlign w:val="center"/>
          </w:tcPr>
          <w:p w:rsidR="00000000" w:rsidDel="00000000" w:rsidP="00000000" w:rsidRDefault="00000000" w:rsidRPr="00000000" w14:paraId="000005FE">
            <w:pPr>
              <w:spacing w:after="0" w:line="240" w:lineRule="auto"/>
              <w:rPr>
                <w:sz w:val="20"/>
                <w:szCs w:val="20"/>
              </w:rPr>
            </w:pPr>
            <w:r w:rsidDel="00000000" w:rsidR="00000000" w:rsidRPr="00000000">
              <w:rPr>
                <w:sz w:val="20"/>
                <w:szCs w:val="20"/>
                <w:rtl w:val="0"/>
              </w:rPr>
              <w:t xml:space="preserve">H1b5</w:t>
            </w:r>
          </w:p>
        </w:tc>
        <w:tc>
          <w:tcPr>
            <w:shd w:fill="ddebf7" w:val="clear"/>
            <w:vAlign w:val="center"/>
          </w:tcPr>
          <w:p w:rsidR="00000000" w:rsidDel="00000000" w:rsidP="00000000" w:rsidRDefault="00000000" w:rsidRPr="00000000" w14:paraId="000005FF">
            <w:pPr>
              <w:spacing w:after="0" w:line="240" w:lineRule="auto"/>
              <w:jc w:val="right"/>
              <w:rPr>
                <w:b w:val="1"/>
                <w:sz w:val="20"/>
                <w:szCs w:val="20"/>
              </w:rPr>
            </w:pPr>
            <w:r w:rsidDel="00000000" w:rsidR="00000000" w:rsidRPr="00000000">
              <w:rPr>
                <w:b w:val="1"/>
                <w:sz w:val="20"/>
                <w:szCs w:val="20"/>
                <w:rtl w:val="0"/>
              </w:rPr>
              <w:t xml:space="preserve">1</w:t>
            </w:r>
          </w:p>
        </w:tc>
        <w:tc>
          <w:tcPr>
            <w:shd w:fill="auto" w:val="clear"/>
            <w:vAlign w:val="center"/>
          </w:tcPr>
          <w:p w:rsidR="00000000" w:rsidDel="00000000" w:rsidP="00000000" w:rsidRDefault="00000000" w:rsidRPr="00000000" w14:paraId="00000600">
            <w:pPr>
              <w:spacing w:after="0" w:line="240" w:lineRule="auto"/>
              <w:jc w:val="right"/>
              <w:rPr>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601">
            <w:pPr>
              <w:spacing w:after="0" w:line="240" w:lineRule="auto"/>
              <w:jc w:val="right"/>
              <w:rPr>
                <w:rFonts w:ascii="Times New Roman" w:cs="Times New Roman" w:eastAsia="Times New Roman" w:hAnsi="Times New Roman"/>
                <w:sz w:val="18"/>
                <w:szCs w:val="18"/>
              </w:rPr>
            </w:pPr>
            <w:r w:rsidDel="00000000" w:rsidR="00000000" w:rsidRPr="00000000">
              <w:rPr>
                <w:rtl w:val="0"/>
              </w:rPr>
            </w:r>
          </w:p>
        </w:tc>
        <w:tc>
          <w:tcPr>
            <w:shd w:fill="ddebf7" w:val="clear"/>
            <w:vAlign w:val="center"/>
          </w:tcPr>
          <w:p w:rsidR="00000000" w:rsidDel="00000000" w:rsidP="00000000" w:rsidRDefault="00000000" w:rsidRPr="00000000" w14:paraId="00000602">
            <w:pPr>
              <w:spacing w:after="0" w:line="240" w:lineRule="auto"/>
              <w:jc w:val="right"/>
              <w:rPr>
                <w:sz w:val="20"/>
                <w:szCs w:val="20"/>
              </w:rPr>
            </w:pPr>
            <w:r w:rsidDel="00000000" w:rsidR="00000000" w:rsidRPr="00000000">
              <w:rPr>
                <w:sz w:val="20"/>
                <w:szCs w:val="20"/>
                <w:rtl w:val="0"/>
              </w:rPr>
              <w:t xml:space="preserve">1</w:t>
            </w:r>
          </w:p>
        </w:tc>
        <w:tc>
          <w:tcPr>
            <w:shd w:fill="auto" w:val="clear"/>
            <w:vAlign w:val="center"/>
          </w:tcPr>
          <w:p w:rsidR="00000000" w:rsidDel="00000000" w:rsidP="00000000" w:rsidRDefault="00000000" w:rsidRPr="00000000" w14:paraId="00000603">
            <w:pPr>
              <w:spacing w:after="0" w:line="240" w:lineRule="auto"/>
              <w:jc w:val="right"/>
              <w:rPr>
                <w:sz w:val="20"/>
                <w:szCs w:val="20"/>
              </w:rPr>
            </w:pPr>
            <w:r w:rsidDel="00000000" w:rsidR="00000000" w:rsidRPr="00000000">
              <w:rPr>
                <w:rtl w:val="0"/>
              </w:rPr>
            </w:r>
          </w:p>
        </w:tc>
        <w:tc>
          <w:tcPr>
            <w:vAlign w:val="center"/>
          </w:tcPr>
          <w:p w:rsidR="00000000" w:rsidDel="00000000" w:rsidP="00000000" w:rsidRDefault="00000000" w:rsidRPr="00000000" w14:paraId="00000604">
            <w:pPr>
              <w:spacing w:after="0" w:line="240" w:lineRule="auto"/>
              <w:jc w:val="right"/>
              <w:rPr>
                <w:rFonts w:ascii="Times New Roman" w:cs="Times New Roman" w:eastAsia="Times New Roman" w:hAnsi="Times New Roman"/>
                <w:sz w:val="18"/>
                <w:szCs w:val="18"/>
              </w:rPr>
            </w:pPr>
            <w:r w:rsidDel="00000000" w:rsidR="00000000" w:rsidRPr="00000000">
              <w:rPr>
                <w:rtl w:val="0"/>
              </w:rPr>
            </w:r>
          </w:p>
        </w:tc>
        <w:tc>
          <w:tcPr>
            <w:shd w:fill="auto" w:val="clear"/>
            <w:vAlign w:val="center"/>
          </w:tcPr>
          <w:p w:rsidR="00000000" w:rsidDel="00000000" w:rsidP="00000000" w:rsidRDefault="00000000" w:rsidRPr="00000000" w14:paraId="00000605">
            <w:pPr>
              <w:spacing w:after="0" w:line="240" w:lineRule="auto"/>
              <w:jc w:val="right"/>
              <w:rPr>
                <w:rFonts w:ascii="Times New Roman" w:cs="Times New Roman" w:eastAsia="Times New Roman" w:hAnsi="Times New Roman"/>
                <w:sz w:val="18"/>
                <w:szCs w:val="18"/>
              </w:rPr>
            </w:pPr>
            <w:r w:rsidDel="00000000" w:rsidR="00000000" w:rsidRPr="00000000">
              <w:rPr>
                <w:rtl w:val="0"/>
              </w:rPr>
            </w:r>
          </w:p>
        </w:tc>
      </w:tr>
      <w:tr>
        <w:trPr>
          <w:cantSplit w:val="0"/>
          <w:trHeight w:val="300" w:hRule="atLeast"/>
          <w:tblHeader w:val="0"/>
        </w:trPr>
        <w:tc>
          <w:tcPr>
            <w:tcBorders>
              <w:left w:color="000000" w:space="0" w:sz="0" w:val="nil"/>
            </w:tcBorders>
            <w:shd w:fill="auto" w:val="clear"/>
            <w:vAlign w:val="center"/>
          </w:tcPr>
          <w:p w:rsidR="00000000" w:rsidDel="00000000" w:rsidP="00000000" w:rsidRDefault="00000000" w:rsidRPr="00000000" w14:paraId="00000606">
            <w:pPr>
              <w:spacing w:after="0" w:line="240" w:lineRule="auto"/>
              <w:rPr>
                <w:sz w:val="20"/>
                <w:szCs w:val="20"/>
              </w:rPr>
            </w:pPr>
            <w:r w:rsidDel="00000000" w:rsidR="00000000" w:rsidRPr="00000000">
              <w:rPr>
                <w:sz w:val="20"/>
                <w:szCs w:val="20"/>
                <w:rtl w:val="0"/>
              </w:rPr>
              <w:t xml:space="preserve">H1g1</w:t>
            </w:r>
          </w:p>
        </w:tc>
        <w:tc>
          <w:tcPr>
            <w:shd w:fill="ddebf7" w:val="clear"/>
            <w:vAlign w:val="center"/>
          </w:tcPr>
          <w:p w:rsidR="00000000" w:rsidDel="00000000" w:rsidP="00000000" w:rsidRDefault="00000000" w:rsidRPr="00000000" w14:paraId="00000607">
            <w:pPr>
              <w:spacing w:after="0" w:line="240" w:lineRule="auto"/>
              <w:jc w:val="right"/>
              <w:rPr>
                <w:b w:val="1"/>
                <w:sz w:val="20"/>
                <w:szCs w:val="20"/>
              </w:rPr>
            </w:pPr>
            <w:r w:rsidDel="00000000" w:rsidR="00000000" w:rsidRPr="00000000">
              <w:rPr>
                <w:b w:val="1"/>
                <w:sz w:val="20"/>
                <w:szCs w:val="20"/>
                <w:rtl w:val="0"/>
              </w:rPr>
              <w:t xml:space="preserve">4</w:t>
            </w:r>
          </w:p>
        </w:tc>
        <w:tc>
          <w:tcPr>
            <w:shd w:fill="auto" w:val="clear"/>
            <w:vAlign w:val="center"/>
          </w:tcPr>
          <w:p w:rsidR="00000000" w:rsidDel="00000000" w:rsidP="00000000" w:rsidRDefault="00000000" w:rsidRPr="00000000" w14:paraId="00000608">
            <w:pPr>
              <w:spacing w:after="0" w:line="240" w:lineRule="auto"/>
              <w:jc w:val="right"/>
              <w:rPr>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609">
            <w:pPr>
              <w:spacing w:after="0" w:line="240" w:lineRule="auto"/>
              <w:jc w:val="right"/>
              <w:rPr>
                <w:rFonts w:ascii="Times New Roman" w:cs="Times New Roman" w:eastAsia="Times New Roman" w:hAnsi="Times New Roman"/>
                <w:sz w:val="18"/>
                <w:szCs w:val="18"/>
              </w:rPr>
            </w:pPr>
            <w:r w:rsidDel="00000000" w:rsidR="00000000" w:rsidRPr="00000000">
              <w:rPr>
                <w:rtl w:val="0"/>
              </w:rPr>
            </w:r>
          </w:p>
        </w:tc>
        <w:tc>
          <w:tcPr>
            <w:shd w:fill="ddebf7" w:val="clear"/>
            <w:vAlign w:val="center"/>
          </w:tcPr>
          <w:p w:rsidR="00000000" w:rsidDel="00000000" w:rsidP="00000000" w:rsidRDefault="00000000" w:rsidRPr="00000000" w14:paraId="0000060A">
            <w:pPr>
              <w:spacing w:after="0" w:line="240" w:lineRule="auto"/>
              <w:jc w:val="right"/>
              <w:rPr>
                <w:sz w:val="20"/>
                <w:szCs w:val="20"/>
              </w:rPr>
            </w:pPr>
            <w:r w:rsidDel="00000000" w:rsidR="00000000" w:rsidRPr="00000000">
              <w:rPr>
                <w:sz w:val="20"/>
                <w:szCs w:val="20"/>
                <w:rtl w:val="0"/>
              </w:rPr>
              <w:t xml:space="preserve">1</w:t>
            </w:r>
          </w:p>
        </w:tc>
        <w:tc>
          <w:tcPr>
            <w:shd w:fill="auto" w:val="clear"/>
            <w:vAlign w:val="center"/>
          </w:tcPr>
          <w:p w:rsidR="00000000" w:rsidDel="00000000" w:rsidP="00000000" w:rsidRDefault="00000000" w:rsidRPr="00000000" w14:paraId="0000060B">
            <w:pPr>
              <w:spacing w:after="0" w:line="240" w:lineRule="auto"/>
              <w:jc w:val="right"/>
              <w:rPr>
                <w:sz w:val="20"/>
                <w:szCs w:val="20"/>
              </w:rPr>
            </w:pPr>
            <w:r w:rsidDel="00000000" w:rsidR="00000000" w:rsidRPr="00000000">
              <w:rPr>
                <w:rtl w:val="0"/>
              </w:rPr>
            </w:r>
          </w:p>
        </w:tc>
        <w:tc>
          <w:tcPr>
            <w:vAlign w:val="center"/>
          </w:tcPr>
          <w:p w:rsidR="00000000" w:rsidDel="00000000" w:rsidP="00000000" w:rsidRDefault="00000000" w:rsidRPr="00000000" w14:paraId="0000060C">
            <w:pPr>
              <w:spacing w:after="0" w:line="240" w:lineRule="auto"/>
              <w:jc w:val="right"/>
              <w:rPr>
                <w:rFonts w:ascii="Times New Roman" w:cs="Times New Roman" w:eastAsia="Times New Roman" w:hAnsi="Times New Roman"/>
                <w:sz w:val="18"/>
                <w:szCs w:val="18"/>
              </w:rPr>
            </w:pPr>
            <w:r w:rsidDel="00000000" w:rsidR="00000000" w:rsidRPr="00000000">
              <w:rPr>
                <w:rtl w:val="0"/>
              </w:rPr>
            </w:r>
          </w:p>
        </w:tc>
        <w:tc>
          <w:tcPr>
            <w:shd w:fill="auto" w:val="clear"/>
            <w:vAlign w:val="center"/>
          </w:tcPr>
          <w:p w:rsidR="00000000" w:rsidDel="00000000" w:rsidP="00000000" w:rsidRDefault="00000000" w:rsidRPr="00000000" w14:paraId="0000060D">
            <w:pPr>
              <w:spacing w:after="0" w:line="240" w:lineRule="auto"/>
              <w:jc w:val="right"/>
              <w:rPr>
                <w:rFonts w:ascii="Times New Roman" w:cs="Times New Roman" w:eastAsia="Times New Roman" w:hAnsi="Times New Roman"/>
                <w:sz w:val="18"/>
                <w:szCs w:val="18"/>
              </w:rPr>
            </w:pPr>
            <w:r w:rsidDel="00000000" w:rsidR="00000000" w:rsidRPr="00000000">
              <w:rPr>
                <w:rtl w:val="0"/>
              </w:rPr>
            </w:r>
          </w:p>
        </w:tc>
      </w:tr>
      <w:tr>
        <w:trPr>
          <w:cantSplit w:val="0"/>
          <w:trHeight w:val="300" w:hRule="atLeast"/>
          <w:tblHeader w:val="0"/>
        </w:trPr>
        <w:tc>
          <w:tcPr>
            <w:tcBorders>
              <w:left w:color="000000" w:space="0" w:sz="0" w:val="nil"/>
            </w:tcBorders>
            <w:shd w:fill="auto" w:val="clear"/>
            <w:vAlign w:val="center"/>
          </w:tcPr>
          <w:p w:rsidR="00000000" w:rsidDel="00000000" w:rsidP="00000000" w:rsidRDefault="00000000" w:rsidRPr="00000000" w14:paraId="0000060E">
            <w:pPr>
              <w:spacing w:after="0" w:line="240" w:lineRule="auto"/>
              <w:rPr>
                <w:sz w:val="20"/>
                <w:szCs w:val="20"/>
              </w:rPr>
            </w:pPr>
            <w:r w:rsidDel="00000000" w:rsidR="00000000" w:rsidRPr="00000000">
              <w:rPr>
                <w:sz w:val="20"/>
                <w:szCs w:val="20"/>
                <w:rtl w:val="0"/>
              </w:rPr>
              <w:t xml:space="preserve">H10e</w:t>
            </w:r>
          </w:p>
        </w:tc>
        <w:tc>
          <w:tcPr>
            <w:shd w:fill="ddebf7" w:val="clear"/>
            <w:vAlign w:val="center"/>
          </w:tcPr>
          <w:p w:rsidR="00000000" w:rsidDel="00000000" w:rsidP="00000000" w:rsidRDefault="00000000" w:rsidRPr="00000000" w14:paraId="0000060F">
            <w:pPr>
              <w:spacing w:after="0" w:line="240" w:lineRule="auto"/>
              <w:jc w:val="right"/>
              <w:rPr>
                <w:b w:val="1"/>
                <w:sz w:val="20"/>
                <w:szCs w:val="20"/>
              </w:rPr>
            </w:pPr>
            <w:r w:rsidDel="00000000" w:rsidR="00000000" w:rsidRPr="00000000">
              <w:rPr>
                <w:b w:val="1"/>
                <w:sz w:val="20"/>
                <w:szCs w:val="20"/>
                <w:rtl w:val="0"/>
              </w:rPr>
              <w:t xml:space="preserve">1</w:t>
            </w:r>
          </w:p>
        </w:tc>
        <w:tc>
          <w:tcPr>
            <w:shd w:fill="auto" w:val="clear"/>
            <w:vAlign w:val="center"/>
          </w:tcPr>
          <w:p w:rsidR="00000000" w:rsidDel="00000000" w:rsidP="00000000" w:rsidRDefault="00000000" w:rsidRPr="00000000" w14:paraId="00000610">
            <w:pPr>
              <w:spacing w:after="0" w:line="240" w:lineRule="auto"/>
              <w:jc w:val="right"/>
              <w:rPr>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611">
            <w:pPr>
              <w:spacing w:after="0" w:line="240" w:lineRule="auto"/>
              <w:jc w:val="right"/>
              <w:rPr>
                <w:rFonts w:ascii="Times New Roman" w:cs="Times New Roman" w:eastAsia="Times New Roman" w:hAnsi="Times New Roman"/>
                <w:sz w:val="18"/>
                <w:szCs w:val="18"/>
              </w:rPr>
            </w:pPr>
            <w:r w:rsidDel="00000000" w:rsidR="00000000" w:rsidRPr="00000000">
              <w:rPr>
                <w:rtl w:val="0"/>
              </w:rPr>
            </w:r>
          </w:p>
        </w:tc>
        <w:tc>
          <w:tcPr>
            <w:shd w:fill="ddebf7" w:val="clear"/>
            <w:vAlign w:val="center"/>
          </w:tcPr>
          <w:p w:rsidR="00000000" w:rsidDel="00000000" w:rsidP="00000000" w:rsidRDefault="00000000" w:rsidRPr="00000000" w14:paraId="00000612">
            <w:pPr>
              <w:spacing w:after="0" w:line="240" w:lineRule="auto"/>
              <w:jc w:val="right"/>
              <w:rPr>
                <w:sz w:val="20"/>
                <w:szCs w:val="20"/>
              </w:rPr>
            </w:pPr>
            <w:r w:rsidDel="00000000" w:rsidR="00000000" w:rsidRPr="00000000">
              <w:rPr>
                <w:sz w:val="20"/>
                <w:szCs w:val="20"/>
                <w:rtl w:val="0"/>
              </w:rPr>
              <w:t xml:space="preserve">1</w:t>
            </w:r>
          </w:p>
        </w:tc>
        <w:tc>
          <w:tcPr>
            <w:shd w:fill="auto" w:val="clear"/>
            <w:vAlign w:val="center"/>
          </w:tcPr>
          <w:p w:rsidR="00000000" w:rsidDel="00000000" w:rsidP="00000000" w:rsidRDefault="00000000" w:rsidRPr="00000000" w14:paraId="00000613">
            <w:pPr>
              <w:spacing w:after="0" w:line="240" w:lineRule="auto"/>
              <w:jc w:val="right"/>
              <w:rPr>
                <w:sz w:val="20"/>
                <w:szCs w:val="20"/>
              </w:rPr>
            </w:pPr>
            <w:r w:rsidDel="00000000" w:rsidR="00000000" w:rsidRPr="00000000">
              <w:rPr>
                <w:rtl w:val="0"/>
              </w:rPr>
            </w:r>
          </w:p>
        </w:tc>
        <w:tc>
          <w:tcPr>
            <w:vAlign w:val="center"/>
          </w:tcPr>
          <w:p w:rsidR="00000000" w:rsidDel="00000000" w:rsidP="00000000" w:rsidRDefault="00000000" w:rsidRPr="00000000" w14:paraId="00000614">
            <w:pPr>
              <w:spacing w:after="0" w:line="240" w:lineRule="auto"/>
              <w:jc w:val="right"/>
              <w:rPr>
                <w:rFonts w:ascii="Times New Roman" w:cs="Times New Roman" w:eastAsia="Times New Roman" w:hAnsi="Times New Roman"/>
                <w:sz w:val="18"/>
                <w:szCs w:val="18"/>
              </w:rPr>
            </w:pPr>
            <w:r w:rsidDel="00000000" w:rsidR="00000000" w:rsidRPr="00000000">
              <w:rPr>
                <w:rtl w:val="0"/>
              </w:rPr>
            </w:r>
          </w:p>
        </w:tc>
        <w:tc>
          <w:tcPr>
            <w:shd w:fill="auto" w:val="clear"/>
            <w:vAlign w:val="center"/>
          </w:tcPr>
          <w:p w:rsidR="00000000" w:rsidDel="00000000" w:rsidP="00000000" w:rsidRDefault="00000000" w:rsidRPr="00000000" w14:paraId="00000615">
            <w:pPr>
              <w:spacing w:after="0" w:line="240" w:lineRule="auto"/>
              <w:jc w:val="right"/>
              <w:rPr>
                <w:rFonts w:ascii="Times New Roman" w:cs="Times New Roman" w:eastAsia="Times New Roman" w:hAnsi="Times New Roman"/>
                <w:sz w:val="18"/>
                <w:szCs w:val="18"/>
              </w:rPr>
            </w:pPr>
            <w:r w:rsidDel="00000000" w:rsidR="00000000" w:rsidRPr="00000000">
              <w:rPr>
                <w:rtl w:val="0"/>
              </w:rPr>
            </w:r>
          </w:p>
        </w:tc>
      </w:tr>
      <w:tr>
        <w:trPr>
          <w:cantSplit w:val="0"/>
          <w:trHeight w:val="300" w:hRule="atLeast"/>
          <w:tblHeader w:val="0"/>
        </w:trPr>
        <w:tc>
          <w:tcPr>
            <w:tcBorders>
              <w:left w:color="000000" w:space="0" w:sz="0" w:val="nil"/>
            </w:tcBorders>
            <w:shd w:fill="auto" w:val="clear"/>
            <w:vAlign w:val="center"/>
          </w:tcPr>
          <w:p w:rsidR="00000000" w:rsidDel="00000000" w:rsidP="00000000" w:rsidRDefault="00000000" w:rsidRPr="00000000" w14:paraId="00000616">
            <w:pPr>
              <w:spacing w:after="0" w:line="240" w:lineRule="auto"/>
              <w:rPr>
                <w:i w:val="1"/>
                <w:sz w:val="20"/>
                <w:szCs w:val="20"/>
              </w:rPr>
            </w:pPr>
            <w:r w:rsidDel="00000000" w:rsidR="00000000" w:rsidRPr="00000000">
              <w:rPr>
                <w:sz w:val="20"/>
                <w:szCs w:val="20"/>
                <w:rtl w:val="0"/>
              </w:rPr>
              <w:t xml:space="preserve">J1c3f</w:t>
            </w:r>
            <w:r w:rsidDel="00000000" w:rsidR="00000000" w:rsidRPr="00000000">
              <w:rPr>
                <w:rtl w:val="0"/>
              </w:rPr>
            </w:r>
          </w:p>
        </w:tc>
        <w:tc>
          <w:tcPr>
            <w:shd w:fill="ddebf7" w:val="clear"/>
            <w:vAlign w:val="center"/>
          </w:tcPr>
          <w:p w:rsidR="00000000" w:rsidDel="00000000" w:rsidP="00000000" w:rsidRDefault="00000000" w:rsidRPr="00000000" w14:paraId="00000617">
            <w:pPr>
              <w:spacing w:after="0" w:line="240" w:lineRule="auto"/>
              <w:jc w:val="right"/>
              <w:rPr>
                <w:b w:val="1"/>
                <w:sz w:val="20"/>
                <w:szCs w:val="20"/>
              </w:rPr>
            </w:pPr>
            <w:r w:rsidDel="00000000" w:rsidR="00000000" w:rsidRPr="00000000">
              <w:rPr>
                <w:b w:val="1"/>
                <w:sz w:val="20"/>
                <w:szCs w:val="20"/>
                <w:rtl w:val="0"/>
              </w:rPr>
              <w:t xml:space="preserve">5</w:t>
            </w:r>
          </w:p>
        </w:tc>
        <w:tc>
          <w:tcPr>
            <w:shd w:fill="auto" w:val="clear"/>
            <w:vAlign w:val="center"/>
          </w:tcPr>
          <w:p w:rsidR="00000000" w:rsidDel="00000000" w:rsidP="00000000" w:rsidRDefault="00000000" w:rsidRPr="00000000" w14:paraId="00000618">
            <w:pPr>
              <w:spacing w:after="0" w:line="240" w:lineRule="auto"/>
              <w:jc w:val="right"/>
              <w:rPr>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619">
            <w:pPr>
              <w:spacing w:after="0" w:line="240" w:lineRule="auto"/>
              <w:jc w:val="right"/>
              <w:rPr>
                <w:rFonts w:ascii="Times New Roman" w:cs="Times New Roman" w:eastAsia="Times New Roman" w:hAnsi="Times New Roman"/>
                <w:sz w:val="18"/>
                <w:szCs w:val="18"/>
              </w:rPr>
            </w:pPr>
            <w:r w:rsidDel="00000000" w:rsidR="00000000" w:rsidRPr="00000000">
              <w:rPr>
                <w:rtl w:val="0"/>
              </w:rPr>
            </w:r>
          </w:p>
        </w:tc>
        <w:tc>
          <w:tcPr>
            <w:shd w:fill="ddebf7" w:val="clear"/>
            <w:vAlign w:val="center"/>
          </w:tcPr>
          <w:p w:rsidR="00000000" w:rsidDel="00000000" w:rsidP="00000000" w:rsidRDefault="00000000" w:rsidRPr="00000000" w14:paraId="0000061A">
            <w:pPr>
              <w:spacing w:after="0" w:line="240" w:lineRule="auto"/>
              <w:jc w:val="right"/>
              <w:rPr>
                <w:sz w:val="20"/>
                <w:szCs w:val="20"/>
              </w:rPr>
            </w:pPr>
            <w:r w:rsidDel="00000000" w:rsidR="00000000" w:rsidRPr="00000000">
              <w:rPr>
                <w:sz w:val="20"/>
                <w:szCs w:val="20"/>
                <w:rtl w:val="0"/>
              </w:rPr>
              <w:t xml:space="preserve">1</w:t>
            </w:r>
          </w:p>
        </w:tc>
        <w:tc>
          <w:tcPr>
            <w:shd w:fill="auto" w:val="clear"/>
            <w:vAlign w:val="center"/>
          </w:tcPr>
          <w:p w:rsidR="00000000" w:rsidDel="00000000" w:rsidP="00000000" w:rsidRDefault="00000000" w:rsidRPr="00000000" w14:paraId="0000061B">
            <w:pPr>
              <w:spacing w:after="0" w:line="240" w:lineRule="auto"/>
              <w:jc w:val="right"/>
              <w:rPr>
                <w:sz w:val="20"/>
                <w:szCs w:val="20"/>
              </w:rPr>
            </w:pPr>
            <w:r w:rsidDel="00000000" w:rsidR="00000000" w:rsidRPr="00000000">
              <w:rPr>
                <w:rtl w:val="0"/>
              </w:rPr>
            </w:r>
          </w:p>
        </w:tc>
        <w:tc>
          <w:tcPr>
            <w:vAlign w:val="center"/>
          </w:tcPr>
          <w:p w:rsidR="00000000" w:rsidDel="00000000" w:rsidP="00000000" w:rsidRDefault="00000000" w:rsidRPr="00000000" w14:paraId="0000061C">
            <w:pPr>
              <w:spacing w:after="0" w:line="240" w:lineRule="auto"/>
              <w:jc w:val="right"/>
              <w:rPr>
                <w:rFonts w:ascii="Times New Roman" w:cs="Times New Roman" w:eastAsia="Times New Roman" w:hAnsi="Times New Roman"/>
                <w:sz w:val="18"/>
                <w:szCs w:val="18"/>
              </w:rPr>
            </w:pPr>
            <w:r w:rsidDel="00000000" w:rsidR="00000000" w:rsidRPr="00000000">
              <w:rPr>
                <w:rtl w:val="0"/>
              </w:rPr>
            </w:r>
          </w:p>
        </w:tc>
        <w:tc>
          <w:tcPr>
            <w:shd w:fill="deebf6" w:val="clear"/>
            <w:vAlign w:val="center"/>
          </w:tcPr>
          <w:p w:rsidR="00000000" w:rsidDel="00000000" w:rsidP="00000000" w:rsidRDefault="00000000" w:rsidRPr="00000000" w14:paraId="0000061D">
            <w:pPr>
              <w:spacing w:after="0" w:line="240" w:lineRule="auto"/>
              <w:jc w:val="right"/>
              <w:rPr>
                <w:rFonts w:ascii="Times New Roman" w:cs="Times New Roman" w:eastAsia="Times New Roman" w:hAnsi="Times New Roman"/>
                <w:sz w:val="18"/>
                <w:szCs w:val="18"/>
              </w:rPr>
            </w:pPr>
            <w:r w:rsidDel="00000000" w:rsidR="00000000" w:rsidRPr="00000000">
              <w:rPr>
                <w:sz w:val="20"/>
                <w:szCs w:val="20"/>
                <w:rtl w:val="0"/>
              </w:rPr>
              <w:t xml:space="preserve">1</w:t>
            </w:r>
            <w:r w:rsidDel="00000000" w:rsidR="00000000" w:rsidRPr="00000000">
              <w:rPr>
                <w:rtl w:val="0"/>
              </w:rPr>
            </w:r>
          </w:p>
        </w:tc>
      </w:tr>
      <w:tr>
        <w:trPr>
          <w:cantSplit w:val="0"/>
          <w:trHeight w:val="300" w:hRule="atLeast"/>
          <w:tblHeader w:val="0"/>
        </w:trPr>
        <w:tc>
          <w:tcPr>
            <w:tcBorders>
              <w:left w:color="000000" w:space="0" w:sz="0" w:val="nil"/>
            </w:tcBorders>
            <w:shd w:fill="auto" w:val="clear"/>
            <w:vAlign w:val="center"/>
          </w:tcPr>
          <w:p w:rsidR="00000000" w:rsidDel="00000000" w:rsidP="00000000" w:rsidRDefault="00000000" w:rsidRPr="00000000" w14:paraId="0000061E">
            <w:pPr>
              <w:spacing w:after="0" w:line="240" w:lineRule="auto"/>
              <w:rPr>
                <w:sz w:val="20"/>
                <w:szCs w:val="20"/>
              </w:rPr>
            </w:pPr>
            <w:r w:rsidDel="00000000" w:rsidR="00000000" w:rsidRPr="00000000">
              <w:rPr>
                <w:sz w:val="20"/>
                <w:szCs w:val="20"/>
                <w:rtl w:val="0"/>
              </w:rPr>
              <w:t xml:space="preserve">T2b11</w:t>
            </w:r>
          </w:p>
        </w:tc>
        <w:tc>
          <w:tcPr>
            <w:shd w:fill="ddebf7" w:val="clear"/>
            <w:vAlign w:val="center"/>
          </w:tcPr>
          <w:p w:rsidR="00000000" w:rsidDel="00000000" w:rsidP="00000000" w:rsidRDefault="00000000" w:rsidRPr="00000000" w14:paraId="0000061F">
            <w:pPr>
              <w:spacing w:after="0" w:line="240" w:lineRule="auto"/>
              <w:jc w:val="right"/>
              <w:rPr>
                <w:b w:val="1"/>
                <w:sz w:val="20"/>
                <w:szCs w:val="20"/>
              </w:rPr>
            </w:pPr>
            <w:r w:rsidDel="00000000" w:rsidR="00000000" w:rsidRPr="00000000">
              <w:rPr>
                <w:b w:val="1"/>
                <w:sz w:val="20"/>
                <w:szCs w:val="20"/>
                <w:rtl w:val="0"/>
              </w:rPr>
              <w:t xml:space="preserve">1</w:t>
            </w:r>
          </w:p>
        </w:tc>
        <w:tc>
          <w:tcPr>
            <w:shd w:fill="auto" w:val="clear"/>
            <w:vAlign w:val="center"/>
          </w:tcPr>
          <w:p w:rsidR="00000000" w:rsidDel="00000000" w:rsidP="00000000" w:rsidRDefault="00000000" w:rsidRPr="00000000" w14:paraId="00000620">
            <w:pPr>
              <w:spacing w:after="0" w:line="240" w:lineRule="auto"/>
              <w:jc w:val="right"/>
              <w:rPr>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621">
            <w:pPr>
              <w:spacing w:after="0" w:line="240" w:lineRule="auto"/>
              <w:jc w:val="right"/>
              <w:rPr>
                <w:rFonts w:ascii="Times New Roman" w:cs="Times New Roman" w:eastAsia="Times New Roman" w:hAnsi="Times New Roman"/>
                <w:sz w:val="18"/>
                <w:szCs w:val="18"/>
              </w:rPr>
            </w:pPr>
            <w:r w:rsidDel="00000000" w:rsidR="00000000" w:rsidRPr="00000000">
              <w:rPr>
                <w:rtl w:val="0"/>
              </w:rPr>
            </w:r>
          </w:p>
        </w:tc>
        <w:tc>
          <w:tcPr>
            <w:shd w:fill="ddebf7" w:val="clear"/>
            <w:vAlign w:val="center"/>
          </w:tcPr>
          <w:p w:rsidR="00000000" w:rsidDel="00000000" w:rsidP="00000000" w:rsidRDefault="00000000" w:rsidRPr="00000000" w14:paraId="00000622">
            <w:pPr>
              <w:spacing w:after="0" w:line="240" w:lineRule="auto"/>
              <w:jc w:val="right"/>
              <w:rPr>
                <w:sz w:val="20"/>
                <w:szCs w:val="20"/>
              </w:rPr>
            </w:pPr>
            <w:r w:rsidDel="00000000" w:rsidR="00000000" w:rsidRPr="00000000">
              <w:rPr>
                <w:sz w:val="20"/>
                <w:szCs w:val="20"/>
                <w:rtl w:val="0"/>
              </w:rPr>
              <w:t xml:space="preserve">1</w:t>
            </w:r>
          </w:p>
        </w:tc>
        <w:tc>
          <w:tcPr>
            <w:shd w:fill="auto" w:val="clear"/>
            <w:vAlign w:val="center"/>
          </w:tcPr>
          <w:p w:rsidR="00000000" w:rsidDel="00000000" w:rsidP="00000000" w:rsidRDefault="00000000" w:rsidRPr="00000000" w14:paraId="00000623">
            <w:pPr>
              <w:spacing w:after="0" w:line="240" w:lineRule="auto"/>
              <w:jc w:val="right"/>
              <w:rPr>
                <w:sz w:val="20"/>
                <w:szCs w:val="20"/>
              </w:rPr>
            </w:pPr>
            <w:r w:rsidDel="00000000" w:rsidR="00000000" w:rsidRPr="00000000">
              <w:rPr>
                <w:rtl w:val="0"/>
              </w:rPr>
            </w:r>
          </w:p>
        </w:tc>
        <w:tc>
          <w:tcPr>
            <w:vAlign w:val="center"/>
          </w:tcPr>
          <w:p w:rsidR="00000000" w:rsidDel="00000000" w:rsidP="00000000" w:rsidRDefault="00000000" w:rsidRPr="00000000" w14:paraId="00000624">
            <w:pPr>
              <w:spacing w:after="0" w:line="240" w:lineRule="auto"/>
              <w:jc w:val="right"/>
              <w:rPr>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625">
            <w:pPr>
              <w:spacing w:after="0" w:line="240" w:lineRule="auto"/>
              <w:jc w:val="right"/>
              <w:rPr>
                <w:sz w:val="20"/>
                <w:szCs w:val="20"/>
              </w:rPr>
            </w:pPr>
            <w:r w:rsidDel="00000000" w:rsidR="00000000" w:rsidRPr="00000000">
              <w:rPr>
                <w:rtl w:val="0"/>
              </w:rPr>
            </w:r>
          </w:p>
        </w:tc>
      </w:tr>
      <w:tr>
        <w:trPr>
          <w:cantSplit w:val="0"/>
          <w:trHeight w:val="300" w:hRule="atLeast"/>
          <w:tblHeader w:val="0"/>
        </w:trPr>
        <w:tc>
          <w:tcPr>
            <w:tcBorders>
              <w:left w:color="000000" w:space="0" w:sz="0" w:val="nil"/>
            </w:tcBorders>
            <w:shd w:fill="auto" w:val="clear"/>
            <w:vAlign w:val="center"/>
          </w:tcPr>
          <w:p w:rsidR="00000000" w:rsidDel="00000000" w:rsidP="00000000" w:rsidRDefault="00000000" w:rsidRPr="00000000" w14:paraId="00000626">
            <w:pPr>
              <w:spacing w:after="0" w:line="240" w:lineRule="auto"/>
              <w:rPr>
                <w:i w:val="1"/>
                <w:sz w:val="20"/>
                <w:szCs w:val="20"/>
              </w:rPr>
            </w:pPr>
            <w:r w:rsidDel="00000000" w:rsidR="00000000" w:rsidRPr="00000000">
              <w:rPr>
                <w:sz w:val="20"/>
                <w:szCs w:val="20"/>
                <w:rtl w:val="0"/>
              </w:rPr>
              <w:t xml:space="preserve">T2b24</w:t>
            </w:r>
            <w:r w:rsidDel="00000000" w:rsidR="00000000" w:rsidRPr="00000000">
              <w:rPr>
                <w:rtl w:val="0"/>
              </w:rPr>
            </w:r>
          </w:p>
        </w:tc>
        <w:tc>
          <w:tcPr>
            <w:shd w:fill="ddebf7" w:val="clear"/>
            <w:vAlign w:val="center"/>
          </w:tcPr>
          <w:p w:rsidR="00000000" w:rsidDel="00000000" w:rsidP="00000000" w:rsidRDefault="00000000" w:rsidRPr="00000000" w14:paraId="00000627">
            <w:pPr>
              <w:spacing w:after="0" w:line="240" w:lineRule="auto"/>
              <w:jc w:val="right"/>
              <w:rPr>
                <w:b w:val="1"/>
                <w:sz w:val="20"/>
                <w:szCs w:val="20"/>
              </w:rPr>
            </w:pPr>
            <w:r w:rsidDel="00000000" w:rsidR="00000000" w:rsidRPr="00000000">
              <w:rPr>
                <w:b w:val="1"/>
                <w:sz w:val="20"/>
                <w:szCs w:val="20"/>
                <w:rtl w:val="0"/>
              </w:rPr>
              <w:t xml:space="preserve">1</w:t>
            </w:r>
          </w:p>
        </w:tc>
        <w:tc>
          <w:tcPr>
            <w:shd w:fill="auto" w:val="clear"/>
            <w:vAlign w:val="center"/>
          </w:tcPr>
          <w:p w:rsidR="00000000" w:rsidDel="00000000" w:rsidP="00000000" w:rsidRDefault="00000000" w:rsidRPr="00000000" w14:paraId="00000628">
            <w:pPr>
              <w:spacing w:after="0" w:line="240" w:lineRule="auto"/>
              <w:jc w:val="right"/>
              <w:rPr>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629">
            <w:pPr>
              <w:spacing w:after="0" w:line="240" w:lineRule="auto"/>
              <w:jc w:val="right"/>
              <w:rPr>
                <w:rFonts w:ascii="Times New Roman" w:cs="Times New Roman" w:eastAsia="Times New Roman" w:hAnsi="Times New Roman"/>
                <w:sz w:val="18"/>
                <w:szCs w:val="18"/>
              </w:rPr>
            </w:pPr>
            <w:r w:rsidDel="00000000" w:rsidR="00000000" w:rsidRPr="00000000">
              <w:rPr>
                <w:rtl w:val="0"/>
              </w:rPr>
            </w:r>
          </w:p>
        </w:tc>
        <w:tc>
          <w:tcPr>
            <w:shd w:fill="ddebf7" w:val="clear"/>
            <w:vAlign w:val="center"/>
          </w:tcPr>
          <w:p w:rsidR="00000000" w:rsidDel="00000000" w:rsidP="00000000" w:rsidRDefault="00000000" w:rsidRPr="00000000" w14:paraId="0000062A">
            <w:pPr>
              <w:spacing w:after="0" w:line="240" w:lineRule="auto"/>
              <w:jc w:val="right"/>
              <w:rPr>
                <w:sz w:val="20"/>
                <w:szCs w:val="20"/>
              </w:rPr>
            </w:pPr>
            <w:r w:rsidDel="00000000" w:rsidR="00000000" w:rsidRPr="00000000">
              <w:rPr>
                <w:sz w:val="20"/>
                <w:szCs w:val="20"/>
                <w:rtl w:val="0"/>
              </w:rPr>
              <w:t xml:space="preserve">1</w:t>
            </w:r>
          </w:p>
        </w:tc>
        <w:tc>
          <w:tcPr>
            <w:shd w:fill="auto" w:val="clear"/>
            <w:vAlign w:val="center"/>
          </w:tcPr>
          <w:p w:rsidR="00000000" w:rsidDel="00000000" w:rsidP="00000000" w:rsidRDefault="00000000" w:rsidRPr="00000000" w14:paraId="0000062B">
            <w:pPr>
              <w:spacing w:after="0" w:line="240" w:lineRule="auto"/>
              <w:jc w:val="right"/>
              <w:rPr>
                <w:sz w:val="20"/>
                <w:szCs w:val="20"/>
              </w:rPr>
            </w:pPr>
            <w:r w:rsidDel="00000000" w:rsidR="00000000" w:rsidRPr="00000000">
              <w:rPr>
                <w:rtl w:val="0"/>
              </w:rPr>
            </w:r>
          </w:p>
        </w:tc>
        <w:tc>
          <w:tcPr>
            <w:vAlign w:val="center"/>
          </w:tcPr>
          <w:p w:rsidR="00000000" w:rsidDel="00000000" w:rsidP="00000000" w:rsidRDefault="00000000" w:rsidRPr="00000000" w14:paraId="0000062C">
            <w:pPr>
              <w:spacing w:after="0" w:line="240" w:lineRule="auto"/>
              <w:jc w:val="right"/>
              <w:rPr>
                <w:rFonts w:ascii="Times New Roman" w:cs="Times New Roman" w:eastAsia="Times New Roman" w:hAnsi="Times New Roman"/>
                <w:sz w:val="18"/>
                <w:szCs w:val="18"/>
              </w:rPr>
            </w:pPr>
            <w:r w:rsidDel="00000000" w:rsidR="00000000" w:rsidRPr="00000000">
              <w:rPr>
                <w:rtl w:val="0"/>
              </w:rPr>
            </w:r>
          </w:p>
        </w:tc>
        <w:tc>
          <w:tcPr>
            <w:shd w:fill="auto" w:val="clear"/>
            <w:vAlign w:val="center"/>
          </w:tcPr>
          <w:p w:rsidR="00000000" w:rsidDel="00000000" w:rsidP="00000000" w:rsidRDefault="00000000" w:rsidRPr="00000000" w14:paraId="0000062D">
            <w:pPr>
              <w:spacing w:after="0" w:line="240" w:lineRule="auto"/>
              <w:jc w:val="right"/>
              <w:rPr>
                <w:rFonts w:ascii="Times New Roman" w:cs="Times New Roman" w:eastAsia="Times New Roman" w:hAnsi="Times New Roman"/>
                <w:sz w:val="18"/>
                <w:szCs w:val="18"/>
              </w:rPr>
            </w:pPr>
            <w:r w:rsidDel="00000000" w:rsidR="00000000" w:rsidRPr="00000000">
              <w:rPr>
                <w:rtl w:val="0"/>
              </w:rPr>
            </w:r>
          </w:p>
        </w:tc>
      </w:tr>
      <w:tr>
        <w:trPr>
          <w:cantSplit w:val="0"/>
          <w:trHeight w:val="300" w:hRule="atLeast"/>
          <w:tblHeader w:val="0"/>
        </w:trPr>
        <w:tc>
          <w:tcPr>
            <w:tcBorders>
              <w:left w:color="000000" w:space="0" w:sz="0" w:val="nil"/>
            </w:tcBorders>
            <w:shd w:fill="auto" w:val="clear"/>
            <w:vAlign w:val="center"/>
          </w:tcPr>
          <w:p w:rsidR="00000000" w:rsidDel="00000000" w:rsidP="00000000" w:rsidRDefault="00000000" w:rsidRPr="00000000" w14:paraId="0000062E">
            <w:pPr>
              <w:spacing w:after="0" w:line="240" w:lineRule="auto"/>
              <w:rPr>
                <w:sz w:val="20"/>
                <w:szCs w:val="20"/>
                <w:u w:val="single"/>
              </w:rPr>
            </w:pPr>
            <w:r w:rsidDel="00000000" w:rsidR="00000000" w:rsidRPr="00000000">
              <w:rPr>
                <w:sz w:val="20"/>
                <w:szCs w:val="20"/>
                <w:u w:val="single"/>
                <w:rtl w:val="0"/>
              </w:rPr>
              <w:t xml:space="preserve">U5a2b</w:t>
            </w:r>
          </w:p>
        </w:tc>
        <w:tc>
          <w:tcPr>
            <w:shd w:fill="ddebf7" w:val="clear"/>
            <w:vAlign w:val="center"/>
          </w:tcPr>
          <w:p w:rsidR="00000000" w:rsidDel="00000000" w:rsidP="00000000" w:rsidRDefault="00000000" w:rsidRPr="00000000" w14:paraId="0000062F">
            <w:pPr>
              <w:spacing w:after="0" w:line="240" w:lineRule="auto"/>
              <w:jc w:val="right"/>
              <w:rPr>
                <w:b w:val="1"/>
                <w:sz w:val="20"/>
                <w:szCs w:val="20"/>
              </w:rPr>
            </w:pPr>
            <w:r w:rsidDel="00000000" w:rsidR="00000000" w:rsidRPr="00000000">
              <w:rPr>
                <w:b w:val="1"/>
                <w:sz w:val="20"/>
                <w:szCs w:val="20"/>
                <w:rtl w:val="0"/>
              </w:rPr>
              <w:t xml:space="preserve">2</w:t>
            </w:r>
          </w:p>
        </w:tc>
        <w:tc>
          <w:tcPr>
            <w:shd w:fill="auto" w:val="clear"/>
            <w:vAlign w:val="center"/>
          </w:tcPr>
          <w:p w:rsidR="00000000" w:rsidDel="00000000" w:rsidP="00000000" w:rsidRDefault="00000000" w:rsidRPr="00000000" w14:paraId="00000630">
            <w:pPr>
              <w:spacing w:after="0" w:line="240" w:lineRule="auto"/>
              <w:jc w:val="right"/>
              <w:rPr>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631">
            <w:pPr>
              <w:spacing w:after="0" w:line="240" w:lineRule="auto"/>
              <w:jc w:val="right"/>
              <w:rPr>
                <w:rFonts w:ascii="Times New Roman" w:cs="Times New Roman" w:eastAsia="Times New Roman" w:hAnsi="Times New Roman"/>
                <w:sz w:val="18"/>
                <w:szCs w:val="18"/>
              </w:rPr>
            </w:pPr>
            <w:r w:rsidDel="00000000" w:rsidR="00000000" w:rsidRPr="00000000">
              <w:rPr>
                <w:rtl w:val="0"/>
              </w:rPr>
            </w:r>
          </w:p>
        </w:tc>
        <w:tc>
          <w:tcPr>
            <w:shd w:fill="ddebf7" w:val="clear"/>
            <w:vAlign w:val="center"/>
          </w:tcPr>
          <w:p w:rsidR="00000000" w:rsidDel="00000000" w:rsidP="00000000" w:rsidRDefault="00000000" w:rsidRPr="00000000" w14:paraId="00000632">
            <w:pPr>
              <w:spacing w:after="0" w:line="240" w:lineRule="auto"/>
              <w:jc w:val="right"/>
              <w:rPr>
                <w:sz w:val="20"/>
                <w:szCs w:val="20"/>
              </w:rPr>
            </w:pPr>
            <w:r w:rsidDel="00000000" w:rsidR="00000000" w:rsidRPr="00000000">
              <w:rPr>
                <w:sz w:val="20"/>
                <w:szCs w:val="20"/>
                <w:rtl w:val="0"/>
              </w:rPr>
              <w:t xml:space="preserve">1</w:t>
            </w:r>
          </w:p>
        </w:tc>
        <w:tc>
          <w:tcPr>
            <w:shd w:fill="auto" w:val="clear"/>
            <w:vAlign w:val="center"/>
          </w:tcPr>
          <w:p w:rsidR="00000000" w:rsidDel="00000000" w:rsidP="00000000" w:rsidRDefault="00000000" w:rsidRPr="00000000" w14:paraId="00000633">
            <w:pPr>
              <w:spacing w:after="0" w:line="240" w:lineRule="auto"/>
              <w:jc w:val="right"/>
              <w:rPr>
                <w:sz w:val="20"/>
                <w:szCs w:val="20"/>
              </w:rPr>
            </w:pPr>
            <w:r w:rsidDel="00000000" w:rsidR="00000000" w:rsidRPr="00000000">
              <w:rPr>
                <w:rtl w:val="0"/>
              </w:rPr>
            </w:r>
          </w:p>
        </w:tc>
        <w:tc>
          <w:tcPr>
            <w:vAlign w:val="center"/>
          </w:tcPr>
          <w:p w:rsidR="00000000" w:rsidDel="00000000" w:rsidP="00000000" w:rsidRDefault="00000000" w:rsidRPr="00000000" w14:paraId="00000634">
            <w:pPr>
              <w:spacing w:after="0" w:line="240" w:lineRule="auto"/>
              <w:jc w:val="right"/>
              <w:rPr>
                <w:rFonts w:ascii="Times New Roman" w:cs="Times New Roman" w:eastAsia="Times New Roman" w:hAnsi="Times New Roman"/>
                <w:sz w:val="18"/>
                <w:szCs w:val="18"/>
              </w:rPr>
            </w:pPr>
            <w:r w:rsidDel="00000000" w:rsidR="00000000" w:rsidRPr="00000000">
              <w:rPr>
                <w:rtl w:val="0"/>
              </w:rPr>
            </w:r>
          </w:p>
        </w:tc>
        <w:tc>
          <w:tcPr>
            <w:shd w:fill="auto" w:val="clear"/>
            <w:vAlign w:val="center"/>
          </w:tcPr>
          <w:p w:rsidR="00000000" w:rsidDel="00000000" w:rsidP="00000000" w:rsidRDefault="00000000" w:rsidRPr="00000000" w14:paraId="00000635">
            <w:pPr>
              <w:spacing w:after="0" w:line="240" w:lineRule="auto"/>
              <w:jc w:val="right"/>
              <w:rPr>
                <w:rFonts w:ascii="Times New Roman" w:cs="Times New Roman" w:eastAsia="Times New Roman" w:hAnsi="Times New Roman"/>
                <w:sz w:val="18"/>
                <w:szCs w:val="18"/>
              </w:rPr>
            </w:pPr>
            <w:r w:rsidDel="00000000" w:rsidR="00000000" w:rsidRPr="00000000">
              <w:rPr>
                <w:rtl w:val="0"/>
              </w:rPr>
            </w:r>
          </w:p>
        </w:tc>
      </w:tr>
      <w:tr>
        <w:trPr>
          <w:cantSplit w:val="0"/>
          <w:trHeight w:val="300" w:hRule="atLeast"/>
          <w:tblHeader w:val="0"/>
        </w:trPr>
        <w:tc>
          <w:tcPr>
            <w:tcBorders>
              <w:left w:color="000000" w:space="0" w:sz="0" w:val="nil"/>
            </w:tcBorders>
            <w:shd w:fill="auto" w:val="clear"/>
            <w:vAlign w:val="center"/>
          </w:tcPr>
          <w:p w:rsidR="00000000" w:rsidDel="00000000" w:rsidP="00000000" w:rsidRDefault="00000000" w:rsidRPr="00000000" w14:paraId="00000636">
            <w:pPr>
              <w:spacing w:after="0" w:line="240" w:lineRule="auto"/>
              <w:rPr>
                <w:sz w:val="20"/>
                <w:szCs w:val="20"/>
                <w:u w:val="single"/>
              </w:rPr>
            </w:pPr>
            <w:r w:rsidDel="00000000" w:rsidR="00000000" w:rsidRPr="00000000">
              <w:rPr>
                <w:sz w:val="20"/>
                <w:szCs w:val="20"/>
                <w:u w:val="single"/>
                <w:rtl w:val="0"/>
              </w:rPr>
              <w:t xml:space="preserve">K2b1a1</w:t>
            </w:r>
          </w:p>
        </w:tc>
        <w:tc>
          <w:tcPr>
            <w:shd w:fill="ddebf7" w:val="clear"/>
            <w:vAlign w:val="center"/>
          </w:tcPr>
          <w:p w:rsidR="00000000" w:rsidDel="00000000" w:rsidP="00000000" w:rsidRDefault="00000000" w:rsidRPr="00000000" w14:paraId="00000637">
            <w:pPr>
              <w:spacing w:after="0" w:line="240" w:lineRule="auto"/>
              <w:jc w:val="right"/>
              <w:rPr>
                <w:b w:val="1"/>
                <w:sz w:val="20"/>
                <w:szCs w:val="20"/>
              </w:rPr>
            </w:pPr>
            <w:r w:rsidDel="00000000" w:rsidR="00000000" w:rsidRPr="00000000">
              <w:rPr>
                <w:b w:val="1"/>
                <w:sz w:val="20"/>
                <w:szCs w:val="20"/>
                <w:rtl w:val="0"/>
              </w:rPr>
              <w:t xml:space="preserve">1</w:t>
            </w:r>
          </w:p>
        </w:tc>
        <w:tc>
          <w:tcPr>
            <w:shd w:fill="auto" w:val="clear"/>
            <w:vAlign w:val="center"/>
          </w:tcPr>
          <w:p w:rsidR="00000000" w:rsidDel="00000000" w:rsidP="00000000" w:rsidRDefault="00000000" w:rsidRPr="00000000" w14:paraId="00000638">
            <w:pPr>
              <w:spacing w:after="0" w:line="240" w:lineRule="auto"/>
              <w:jc w:val="right"/>
              <w:rPr>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639">
            <w:pPr>
              <w:spacing w:after="0" w:line="240" w:lineRule="auto"/>
              <w:jc w:val="right"/>
              <w:rPr>
                <w:rFonts w:ascii="Times New Roman" w:cs="Times New Roman" w:eastAsia="Times New Roman" w:hAnsi="Times New Roman"/>
                <w:sz w:val="18"/>
                <w:szCs w:val="18"/>
              </w:rPr>
            </w:pPr>
            <w:r w:rsidDel="00000000" w:rsidR="00000000" w:rsidRPr="00000000">
              <w:rPr>
                <w:rtl w:val="0"/>
              </w:rPr>
            </w:r>
          </w:p>
        </w:tc>
        <w:tc>
          <w:tcPr>
            <w:shd w:fill="ddebf7" w:val="clear"/>
            <w:vAlign w:val="center"/>
          </w:tcPr>
          <w:p w:rsidR="00000000" w:rsidDel="00000000" w:rsidP="00000000" w:rsidRDefault="00000000" w:rsidRPr="00000000" w14:paraId="0000063A">
            <w:pPr>
              <w:spacing w:after="0" w:line="240" w:lineRule="auto"/>
              <w:jc w:val="right"/>
              <w:rPr>
                <w:sz w:val="20"/>
                <w:szCs w:val="20"/>
              </w:rPr>
            </w:pPr>
            <w:r w:rsidDel="00000000" w:rsidR="00000000" w:rsidRPr="00000000">
              <w:rPr>
                <w:sz w:val="20"/>
                <w:szCs w:val="20"/>
                <w:rtl w:val="0"/>
              </w:rPr>
              <w:t xml:space="preserve">2</w:t>
            </w:r>
          </w:p>
        </w:tc>
        <w:tc>
          <w:tcPr>
            <w:shd w:fill="auto" w:val="clear"/>
            <w:vAlign w:val="center"/>
          </w:tcPr>
          <w:p w:rsidR="00000000" w:rsidDel="00000000" w:rsidP="00000000" w:rsidRDefault="00000000" w:rsidRPr="00000000" w14:paraId="0000063B">
            <w:pPr>
              <w:spacing w:after="0" w:line="240" w:lineRule="auto"/>
              <w:jc w:val="right"/>
              <w:rPr>
                <w:sz w:val="20"/>
                <w:szCs w:val="20"/>
              </w:rPr>
            </w:pPr>
            <w:r w:rsidDel="00000000" w:rsidR="00000000" w:rsidRPr="00000000">
              <w:rPr>
                <w:rtl w:val="0"/>
              </w:rPr>
            </w:r>
          </w:p>
        </w:tc>
        <w:tc>
          <w:tcPr>
            <w:vAlign w:val="center"/>
          </w:tcPr>
          <w:p w:rsidR="00000000" w:rsidDel="00000000" w:rsidP="00000000" w:rsidRDefault="00000000" w:rsidRPr="00000000" w14:paraId="0000063C">
            <w:pPr>
              <w:spacing w:after="0" w:line="240" w:lineRule="auto"/>
              <w:jc w:val="right"/>
              <w:rPr>
                <w:rFonts w:ascii="Times New Roman" w:cs="Times New Roman" w:eastAsia="Times New Roman" w:hAnsi="Times New Roman"/>
                <w:sz w:val="18"/>
                <w:szCs w:val="18"/>
              </w:rPr>
            </w:pPr>
            <w:r w:rsidDel="00000000" w:rsidR="00000000" w:rsidRPr="00000000">
              <w:rPr>
                <w:rtl w:val="0"/>
              </w:rPr>
            </w:r>
          </w:p>
        </w:tc>
        <w:tc>
          <w:tcPr>
            <w:shd w:fill="auto" w:val="clear"/>
            <w:vAlign w:val="center"/>
          </w:tcPr>
          <w:p w:rsidR="00000000" w:rsidDel="00000000" w:rsidP="00000000" w:rsidRDefault="00000000" w:rsidRPr="00000000" w14:paraId="0000063D">
            <w:pPr>
              <w:spacing w:after="0" w:line="240" w:lineRule="auto"/>
              <w:jc w:val="right"/>
              <w:rPr>
                <w:rFonts w:ascii="Times New Roman" w:cs="Times New Roman" w:eastAsia="Times New Roman" w:hAnsi="Times New Roman"/>
                <w:sz w:val="18"/>
                <w:szCs w:val="18"/>
              </w:rPr>
            </w:pPr>
            <w:r w:rsidDel="00000000" w:rsidR="00000000" w:rsidRPr="00000000">
              <w:rPr>
                <w:rtl w:val="0"/>
              </w:rPr>
            </w:r>
          </w:p>
        </w:tc>
      </w:tr>
      <w:tr>
        <w:trPr>
          <w:cantSplit w:val="0"/>
          <w:trHeight w:val="300" w:hRule="atLeast"/>
          <w:tblHeader w:val="0"/>
        </w:trPr>
        <w:tc>
          <w:tcPr>
            <w:tcBorders>
              <w:left w:color="000000" w:space="0" w:sz="0" w:val="nil"/>
              <w:bottom w:color="000000" w:space="0" w:sz="4" w:val="single"/>
            </w:tcBorders>
            <w:shd w:fill="auto" w:val="clear"/>
            <w:vAlign w:val="center"/>
          </w:tcPr>
          <w:p w:rsidR="00000000" w:rsidDel="00000000" w:rsidP="00000000" w:rsidRDefault="00000000" w:rsidRPr="00000000" w14:paraId="0000063E">
            <w:pPr>
              <w:spacing w:after="0" w:line="240" w:lineRule="auto"/>
              <w:rPr>
                <w:sz w:val="20"/>
                <w:szCs w:val="20"/>
                <w:u w:val="single"/>
              </w:rPr>
            </w:pPr>
            <w:r w:rsidDel="00000000" w:rsidR="00000000" w:rsidRPr="00000000">
              <w:rPr>
                <w:sz w:val="20"/>
                <w:szCs w:val="20"/>
                <w:u w:val="single"/>
                <w:rtl w:val="0"/>
              </w:rPr>
              <w:t xml:space="preserve">I4a1</w:t>
            </w:r>
          </w:p>
        </w:tc>
        <w:tc>
          <w:tcPr>
            <w:tcBorders>
              <w:bottom w:color="000000" w:space="0" w:sz="4" w:val="single"/>
            </w:tcBorders>
            <w:shd w:fill="ddebf7" w:val="clear"/>
            <w:vAlign w:val="center"/>
          </w:tcPr>
          <w:p w:rsidR="00000000" w:rsidDel="00000000" w:rsidP="00000000" w:rsidRDefault="00000000" w:rsidRPr="00000000" w14:paraId="0000063F">
            <w:pPr>
              <w:spacing w:after="0" w:line="240" w:lineRule="auto"/>
              <w:jc w:val="right"/>
              <w:rPr>
                <w:b w:val="1"/>
                <w:sz w:val="20"/>
                <w:szCs w:val="20"/>
              </w:rPr>
            </w:pPr>
            <w:r w:rsidDel="00000000" w:rsidR="00000000" w:rsidRPr="00000000">
              <w:rPr>
                <w:b w:val="1"/>
                <w:sz w:val="20"/>
                <w:szCs w:val="20"/>
                <w:rtl w:val="0"/>
              </w:rPr>
              <w:t xml:space="preserve">1</w:t>
            </w:r>
          </w:p>
        </w:tc>
        <w:tc>
          <w:tcPr>
            <w:tcBorders>
              <w:bottom w:color="000000" w:space="0" w:sz="4" w:val="single"/>
            </w:tcBorders>
            <w:shd w:fill="auto" w:val="clear"/>
            <w:vAlign w:val="center"/>
          </w:tcPr>
          <w:p w:rsidR="00000000" w:rsidDel="00000000" w:rsidP="00000000" w:rsidRDefault="00000000" w:rsidRPr="00000000" w14:paraId="00000640">
            <w:pPr>
              <w:spacing w:after="0" w:line="240" w:lineRule="auto"/>
              <w:jc w:val="right"/>
              <w:rPr>
                <w:sz w:val="20"/>
                <w:szCs w:val="20"/>
              </w:rPr>
            </w:pPr>
            <w:r w:rsidDel="00000000" w:rsidR="00000000" w:rsidRPr="00000000">
              <w:rPr>
                <w:rtl w:val="0"/>
              </w:rPr>
            </w:r>
          </w:p>
        </w:tc>
        <w:tc>
          <w:tcPr>
            <w:tcBorders>
              <w:bottom w:color="000000" w:space="0" w:sz="4" w:val="single"/>
            </w:tcBorders>
            <w:shd w:fill="auto" w:val="clear"/>
            <w:vAlign w:val="center"/>
          </w:tcPr>
          <w:p w:rsidR="00000000" w:rsidDel="00000000" w:rsidP="00000000" w:rsidRDefault="00000000" w:rsidRPr="00000000" w14:paraId="00000641">
            <w:pPr>
              <w:spacing w:after="0" w:line="240" w:lineRule="auto"/>
              <w:jc w:val="right"/>
              <w:rPr>
                <w:rFonts w:ascii="Times New Roman" w:cs="Times New Roman" w:eastAsia="Times New Roman" w:hAnsi="Times New Roman"/>
                <w:sz w:val="18"/>
                <w:szCs w:val="18"/>
              </w:rPr>
            </w:pPr>
            <w:r w:rsidDel="00000000" w:rsidR="00000000" w:rsidRPr="00000000">
              <w:rPr>
                <w:rtl w:val="0"/>
              </w:rPr>
            </w:r>
          </w:p>
        </w:tc>
        <w:tc>
          <w:tcPr>
            <w:tcBorders>
              <w:bottom w:color="000000" w:space="0" w:sz="4" w:val="single"/>
            </w:tcBorders>
            <w:shd w:fill="ddebf7" w:val="clear"/>
            <w:vAlign w:val="center"/>
          </w:tcPr>
          <w:p w:rsidR="00000000" w:rsidDel="00000000" w:rsidP="00000000" w:rsidRDefault="00000000" w:rsidRPr="00000000" w14:paraId="00000642">
            <w:pPr>
              <w:spacing w:after="0" w:line="240" w:lineRule="auto"/>
              <w:jc w:val="right"/>
              <w:rPr>
                <w:sz w:val="20"/>
                <w:szCs w:val="20"/>
              </w:rPr>
            </w:pPr>
            <w:r w:rsidDel="00000000" w:rsidR="00000000" w:rsidRPr="00000000">
              <w:rPr>
                <w:sz w:val="20"/>
                <w:szCs w:val="20"/>
                <w:rtl w:val="0"/>
              </w:rPr>
              <w:t xml:space="preserve">1</w:t>
            </w:r>
          </w:p>
        </w:tc>
        <w:tc>
          <w:tcPr>
            <w:tcBorders>
              <w:bottom w:color="000000" w:space="0" w:sz="4" w:val="single"/>
            </w:tcBorders>
            <w:shd w:fill="auto" w:val="clear"/>
            <w:vAlign w:val="center"/>
          </w:tcPr>
          <w:p w:rsidR="00000000" w:rsidDel="00000000" w:rsidP="00000000" w:rsidRDefault="00000000" w:rsidRPr="00000000" w14:paraId="00000643">
            <w:pPr>
              <w:spacing w:after="0" w:line="240" w:lineRule="auto"/>
              <w:jc w:val="right"/>
              <w:rPr>
                <w:sz w:val="20"/>
                <w:szCs w:val="20"/>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644">
            <w:pPr>
              <w:spacing w:after="0" w:line="240" w:lineRule="auto"/>
              <w:jc w:val="right"/>
              <w:rPr>
                <w:rFonts w:ascii="Times New Roman" w:cs="Times New Roman" w:eastAsia="Times New Roman" w:hAnsi="Times New Roman"/>
                <w:sz w:val="18"/>
                <w:szCs w:val="18"/>
              </w:rPr>
            </w:pPr>
            <w:r w:rsidDel="00000000" w:rsidR="00000000" w:rsidRPr="00000000">
              <w:rPr>
                <w:rtl w:val="0"/>
              </w:rPr>
            </w:r>
          </w:p>
        </w:tc>
        <w:tc>
          <w:tcPr>
            <w:tcBorders>
              <w:bottom w:color="000000" w:space="0" w:sz="4" w:val="single"/>
            </w:tcBorders>
            <w:shd w:fill="auto" w:val="clear"/>
            <w:vAlign w:val="center"/>
          </w:tcPr>
          <w:p w:rsidR="00000000" w:rsidDel="00000000" w:rsidP="00000000" w:rsidRDefault="00000000" w:rsidRPr="00000000" w14:paraId="00000645">
            <w:pPr>
              <w:spacing w:after="0" w:line="240" w:lineRule="auto"/>
              <w:jc w:val="right"/>
              <w:rPr>
                <w:rFonts w:ascii="Times New Roman" w:cs="Times New Roman" w:eastAsia="Times New Roman" w:hAnsi="Times New Roman"/>
                <w:sz w:val="18"/>
                <w:szCs w:val="18"/>
              </w:rPr>
            </w:pPr>
            <w:r w:rsidDel="00000000" w:rsidR="00000000" w:rsidRPr="00000000">
              <w:rPr>
                <w:rtl w:val="0"/>
              </w:rPr>
            </w:r>
          </w:p>
        </w:tc>
      </w:tr>
    </w:tbl>
    <w:p w:rsidR="00000000" w:rsidDel="00000000" w:rsidP="00000000" w:rsidRDefault="00000000" w:rsidRPr="00000000" w14:paraId="00000646">
      <w:pPr>
        <w:spacing w:before="240" w:lineRule="auto"/>
        <w:jc w:val="both"/>
        <w:rPr/>
      </w:pPr>
      <w:r w:rsidDel="00000000" w:rsidR="00000000" w:rsidRPr="00000000">
        <w:rPr>
          <w:rtl w:val="0"/>
        </w:rPr>
        <w:t xml:space="preserve">The lineages of putative Scandinavian origin are detected across all sampled English regions except for England Southwest (mostly represented by the post-Roman Worth Matravers), where there are no matches (Supp. Table 2.4). Frequencies are usually lower than those characterising lineages of NorthSea origin, with some exceptions in England East: Sedgeford (</w:t>
      </w:r>
      <w:r w:rsidDel="00000000" w:rsidR="00000000" w:rsidRPr="00000000">
        <w:rPr>
          <w:i w:val="1"/>
          <w:rtl w:val="0"/>
        </w:rPr>
        <w:t xml:space="preserve">n = </w:t>
      </w:r>
      <w:r w:rsidDel="00000000" w:rsidR="00000000" w:rsidRPr="00000000">
        <w:rPr>
          <w:rtl w:val="0"/>
        </w:rPr>
        <w:t xml:space="preserve">18) with 17% Scand </w:t>
      </w:r>
      <w:r w:rsidDel="00000000" w:rsidR="00000000" w:rsidRPr="00000000">
        <w:rPr>
          <w:i w:val="1"/>
          <w:rtl w:val="0"/>
        </w:rPr>
        <w:t xml:space="preserve">vs</w:t>
      </w:r>
      <w:r w:rsidDel="00000000" w:rsidR="00000000" w:rsidRPr="00000000">
        <w:rPr>
          <w:rtl w:val="0"/>
        </w:rPr>
        <w:t xml:space="preserve"> 6 % NSea, and Oakington (</w:t>
      </w:r>
      <w:r w:rsidDel="00000000" w:rsidR="00000000" w:rsidRPr="00000000">
        <w:rPr>
          <w:i w:val="1"/>
          <w:rtl w:val="0"/>
        </w:rPr>
        <w:t xml:space="preserve">n = </w:t>
      </w:r>
      <w:r w:rsidDel="00000000" w:rsidR="00000000" w:rsidRPr="00000000">
        <w:rPr>
          <w:rtl w:val="0"/>
        </w:rPr>
        <w:t xml:space="preserve">26) with 15% Scand </w:t>
      </w:r>
      <w:r w:rsidDel="00000000" w:rsidR="00000000" w:rsidRPr="00000000">
        <w:rPr>
          <w:i w:val="1"/>
          <w:rtl w:val="0"/>
        </w:rPr>
        <w:t xml:space="preserve">vs</w:t>
      </w:r>
      <w:r w:rsidDel="00000000" w:rsidR="00000000" w:rsidRPr="00000000">
        <w:rPr>
          <w:rtl w:val="0"/>
        </w:rPr>
        <w:t xml:space="preserve"> 15 % NSea. Matches at the source are found in Sweden Southeast (seven occurrences), incidentally the largest sample from the Scandinavian dataset (</w:t>
      </w:r>
      <w:r w:rsidDel="00000000" w:rsidR="00000000" w:rsidRPr="00000000">
        <w:rPr>
          <w:i w:val="1"/>
          <w:rtl w:val="0"/>
        </w:rPr>
        <w:t xml:space="preserve">n = </w:t>
      </w:r>
      <w:r w:rsidDel="00000000" w:rsidR="00000000" w:rsidRPr="00000000">
        <w:rPr>
          <w:rtl w:val="0"/>
        </w:rPr>
        <w:t xml:space="preserve">103), at sites on the two major islands on the Baltic Sea: Gotland and Öland; in Sweden South at Varnhem (two occurrences); and in Norway, at Nordland in the north, and Telemark in the south. </w:t>
      </w:r>
    </w:p>
    <w:p w:rsidR="00000000" w:rsidDel="00000000" w:rsidP="00000000" w:rsidRDefault="00000000" w:rsidRPr="00000000" w14:paraId="00000647">
      <w:pPr>
        <w:spacing w:before="240" w:lineRule="auto"/>
        <w:jc w:val="both"/>
        <w:rPr/>
      </w:pPr>
      <w:r w:rsidDel="00000000" w:rsidR="00000000" w:rsidRPr="00000000">
        <w:rPr>
          <w:rtl w:val="0"/>
        </w:rPr>
        <w:t xml:space="preserve">We found eight lineages shared among Eng_EMA and both the NorthSea and the Scandinavian groups (Supp. Table 2.6), of these, we labelled three (H1a*, H7*, and T2*) as “uncertain” as they were all nodal haplogroups, the remaining five seemed well supported as they nested within clusters that had no representatives in pre-medieval Britain. </w:t>
      </w:r>
    </w:p>
    <w:p w:rsidR="00000000" w:rsidDel="00000000" w:rsidP="00000000" w:rsidRDefault="00000000" w:rsidRPr="00000000" w14:paraId="00000648">
      <w:pPr>
        <w:keepNext w:val="1"/>
        <w:spacing w:after="200" w:line="240" w:lineRule="auto"/>
        <w:jc w:val="both"/>
        <w:rPr>
          <w:i w:val="1"/>
          <w:sz w:val="18"/>
          <w:szCs w:val="18"/>
        </w:rPr>
      </w:pPr>
      <w:r w:rsidDel="00000000" w:rsidR="00000000" w:rsidRPr="00000000">
        <w:rPr>
          <w:i w:val="1"/>
          <w:sz w:val="18"/>
          <w:szCs w:val="18"/>
          <w:rtl w:val="0"/>
        </w:rPr>
        <w:t xml:space="preserve">Supp. Table 2.6. Mitochondrial lineages shared between Eng_EMA and the Continental Medieval groups (North Sea region &amp; Scandinavian Peninsula). Underlined lineages are classed as “uncertain” as they are either too nodal, or not supported by the sharing pattern of other sister/sub-lineages. Tabulated numbers represent the number of individuals carrying each lineage.</w:t>
      </w:r>
    </w:p>
    <w:tbl>
      <w:tblPr>
        <w:tblStyle w:val="Table5"/>
        <w:tblW w:w="9465.0" w:type="dxa"/>
        <w:jc w:val="center"/>
        <w:tblBorders>
          <w:top w:color="000000" w:space="0" w:sz="4" w:val="single"/>
          <w:left w:color="000000" w:space="0" w:sz="4" w:val="single"/>
          <w:bottom w:color="000000" w:space="0" w:sz="4" w:val="single"/>
          <w:right w:color="000000" w:space="0" w:sz="4" w:val="single"/>
          <w:insideV w:color="000000" w:space="0" w:sz="4" w:val="single"/>
        </w:tblBorders>
        <w:tblLayout w:type="fixed"/>
        <w:tblLook w:val="0400"/>
      </w:tblPr>
      <w:tblGrid>
        <w:gridCol w:w="1215"/>
        <w:gridCol w:w="975"/>
        <w:gridCol w:w="1230"/>
        <w:gridCol w:w="1335"/>
        <w:gridCol w:w="1065"/>
        <w:gridCol w:w="1455"/>
        <w:gridCol w:w="1305"/>
        <w:gridCol w:w="885"/>
        <w:tblGridChange w:id="0">
          <w:tblGrid>
            <w:gridCol w:w="1215"/>
            <w:gridCol w:w="975"/>
            <w:gridCol w:w="1230"/>
            <w:gridCol w:w="1335"/>
            <w:gridCol w:w="1065"/>
            <w:gridCol w:w="1455"/>
            <w:gridCol w:w="1305"/>
            <w:gridCol w:w="885"/>
          </w:tblGrid>
        </w:tblGridChange>
      </w:tblGrid>
      <w:tr>
        <w:trPr>
          <w:cantSplit w:val="1"/>
          <w:trHeight w:val="2578" w:hRule="atLeast"/>
          <w:tblHeader w:val="0"/>
        </w:trPr>
        <w:tc>
          <w:tcPr>
            <w:tcBorders>
              <w:top w:color="000000" w:space="0" w:sz="0" w:val="nil"/>
              <w:left w:color="000000" w:space="0" w:sz="0" w:val="nil"/>
              <w:bottom w:color="000000" w:space="0" w:sz="4" w:val="single"/>
            </w:tcBorders>
            <w:shd w:fill="auto" w:val="clear"/>
            <w:vAlign w:val="bottom"/>
          </w:tcPr>
          <w:p w:rsidR="00000000" w:rsidDel="00000000" w:rsidP="00000000" w:rsidRDefault="00000000" w:rsidRPr="00000000" w14:paraId="00000649">
            <w:pPr>
              <w:spacing w:after="0" w:line="240" w:lineRule="auto"/>
              <w:rPr>
                <w:b w:val="1"/>
                <w:sz w:val="20"/>
                <w:szCs w:val="20"/>
              </w:rPr>
            </w:pPr>
            <w:r w:rsidDel="00000000" w:rsidR="00000000" w:rsidRPr="00000000">
              <w:rPr>
                <w:b w:val="1"/>
                <w:sz w:val="20"/>
                <w:szCs w:val="20"/>
                <w:rtl w:val="0"/>
              </w:rPr>
              <w:t xml:space="preserve">Lineages</w:t>
            </w:r>
          </w:p>
        </w:tc>
        <w:tc>
          <w:tcPr>
            <w:tcBorders>
              <w:top w:color="000000" w:space="0" w:sz="4" w:val="single"/>
              <w:bottom w:color="000000" w:space="0" w:sz="4" w:val="single"/>
            </w:tcBorders>
            <w:shd w:fill="f2f2f2" w:val="clear"/>
            <w:vAlign w:val="center"/>
          </w:tcPr>
          <w:p w:rsidR="00000000" w:rsidDel="00000000" w:rsidP="00000000" w:rsidRDefault="00000000" w:rsidRPr="00000000" w14:paraId="0000064A">
            <w:pPr>
              <w:spacing w:after="0" w:line="240" w:lineRule="auto"/>
              <w:ind w:right="-176"/>
              <w:rPr>
                <w:b w:val="1"/>
                <w:color w:val="ed7d31"/>
                <w:sz w:val="20"/>
                <w:szCs w:val="20"/>
              </w:rPr>
            </w:pPr>
            <w:r w:rsidDel="00000000" w:rsidR="00000000" w:rsidRPr="00000000">
              <w:rPr>
                <w:b w:val="1"/>
                <w:color w:val="ed7d31"/>
                <w:sz w:val="20"/>
                <w:szCs w:val="20"/>
                <w:rtl w:val="0"/>
              </w:rPr>
              <w:t xml:space="preserve">Eng_EMA (</w:t>
            </w:r>
            <w:r w:rsidDel="00000000" w:rsidR="00000000" w:rsidRPr="00000000">
              <w:rPr>
                <w:b w:val="1"/>
                <w:i w:val="1"/>
                <w:color w:val="ed7d31"/>
                <w:sz w:val="20"/>
                <w:szCs w:val="20"/>
                <w:rtl w:val="0"/>
              </w:rPr>
              <w:t xml:space="preserve">n</w:t>
            </w:r>
            <w:r w:rsidDel="00000000" w:rsidR="00000000" w:rsidRPr="00000000">
              <w:rPr>
                <w:b w:val="1"/>
                <w:color w:val="ed7d31"/>
                <w:sz w:val="20"/>
                <w:szCs w:val="20"/>
                <w:rtl w:val="0"/>
              </w:rPr>
              <w:t xml:space="preserve">=249)</w:t>
            </w:r>
          </w:p>
        </w:tc>
        <w:tc>
          <w:tcPr>
            <w:tcBorders>
              <w:top w:color="000000" w:space="0" w:sz="4" w:val="single"/>
              <w:bottom w:color="000000" w:space="0" w:sz="4" w:val="single"/>
            </w:tcBorders>
            <w:shd w:fill="f2f2f2" w:val="clear"/>
            <w:vAlign w:val="center"/>
          </w:tcPr>
          <w:p w:rsidR="00000000" w:rsidDel="00000000" w:rsidP="00000000" w:rsidRDefault="00000000" w:rsidRPr="00000000" w14:paraId="0000064B">
            <w:pPr>
              <w:spacing w:after="0" w:line="240" w:lineRule="auto"/>
              <w:ind w:right="-22"/>
              <w:rPr>
                <w:color w:val="375623"/>
                <w:sz w:val="20"/>
                <w:szCs w:val="20"/>
              </w:rPr>
            </w:pPr>
            <w:r w:rsidDel="00000000" w:rsidR="00000000" w:rsidRPr="00000000">
              <w:rPr>
                <w:color w:val="375623"/>
                <w:sz w:val="20"/>
                <w:szCs w:val="20"/>
                <w:rtl w:val="0"/>
              </w:rPr>
              <w:t xml:space="preserve">NorthSea_</w:t>
            </w:r>
          </w:p>
          <w:p w:rsidR="00000000" w:rsidDel="00000000" w:rsidP="00000000" w:rsidRDefault="00000000" w:rsidRPr="00000000" w14:paraId="0000064C">
            <w:pPr>
              <w:spacing w:after="0" w:line="240" w:lineRule="auto"/>
              <w:ind w:right="-22"/>
              <w:rPr>
                <w:color w:val="375623"/>
                <w:sz w:val="20"/>
                <w:szCs w:val="20"/>
              </w:rPr>
            </w:pPr>
            <w:r w:rsidDel="00000000" w:rsidR="00000000" w:rsidRPr="00000000">
              <w:rPr>
                <w:color w:val="375623"/>
                <w:sz w:val="20"/>
                <w:szCs w:val="20"/>
                <w:rtl w:val="0"/>
              </w:rPr>
              <w:t xml:space="preserve">BA_IA_EMA (</w:t>
            </w:r>
            <w:r w:rsidDel="00000000" w:rsidR="00000000" w:rsidRPr="00000000">
              <w:rPr>
                <w:i w:val="1"/>
                <w:color w:val="375623"/>
                <w:sz w:val="20"/>
                <w:szCs w:val="20"/>
                <w:rtl w:val="0"/>
              </w:rPr>
              <w:t xml:space="preserve">n</w:t>
            </w:r>
            <w:r w:rsidDel="00000000" w:rsidR="00000000" w:rsidRPr="00000000">
              <w:rPr>
                <w:color w:val="375623"/>
                <w:sz w:val="20"/>
                <w:szCs w:val="20"/>
                <w:rtl w:val="0"/>
              </w:rPr>
              <w:t xml:space="preserve">=199)</w:t>
            </w:r>
          </w:p>
        </w:tc>
        <w:tc>
          <w:tcPr>
            <w:tcBorders>
              <w:top w:color="000000" w:space="0" w:sz="4" w:val="single"/>
              <w:bottom w:color="000000" w:space="0" w:sz="4" w:val="single"/>
            </w:tcBorders>
            <w:shd w:fill="f2f2f2" w:val="clear"/>
            <w:vAlign w:val="center"/>
          </w:tcPr>
          <w:p w:rsidR="00000000" w:rsidDel="00000000" w:rsidP="00000000" w:rsidRDefault="00000000" w:rsidRPr="00000000" w14:paraId="0000064D">
            <w:pPr>
              <w:spacing w:after="0" w:line="240" w:lineRule="auto"/>
              <w:ind w:right="-22"/>
              <w:rPr>
                <w:color w:val="548235"/>
                <w:sz w:val="20"/>
                <w:szCs w:val="20"/>
              </w:rPr>
            </w:pPr>
            <w:r w:rsidDel="00000000" w:rsidR="00000000" w:rsidRPr="00000000">
              <w:rPr>
                <w:color w:val="548235"/>
                <w:sz w:val="20"/>
                <w:szCs w:val="20"/>
                <w:rtl w:val="0"/>
              </w:rPr>
              <w:t xml:space="preserve">VK_NorthSea (</w:t>
            </w:r>
            <w:r w:rsidDel="00000000" w:rsidR="00000000" w:rsidRPr="00000000">
              <w:rPr>
                <w:i w:val="1"/>
                <w:color w:val="548235"/>
                <w:sz w:val="20"/>
                <w:szCs w:val="20"/>
                <w:rtl w:val="0"/>
              </w:rPr>
              <w:t xml:space="preserve">n</w:t>
            </w:r>
            <w:r w:rsidDel="00000000" w:rsidR="00000000" w:rsidRPr="00000000">
              <w:rPr>
                <w:color w:val="548235"/>
                <w:sz w:val="20"/>
                <w:szCs w:val="20"/>
                <w:rtl w:val="0"/>
              </w:rPr>
              <w:t xml:space="preserve">=83)</w:t>
            </w:r>
          </w:p>
        </w:tc>
        <w:tc>
          <w:tcPr>
            <w:tcBorders>
              <w:top w:color="000000" w:space="0" w:sz="4" w:val="single"/>
              <w:bottom w:color="000000" w:space="0" w:sz="4" w:val="single"/>
            </w:tcBorders>
            <w:shd w:fill="f2f2f2" w:val="clear"/>
            <w:vAlign w:val="center"/>
          </w:tcPr>
          <w:p w:rsidR="00000000" w:rsidDel="00000000" w:rsidP="00000000" w:rsidRDefault="00000000" w:rsidRPr="00000000" w14:paraId="0000064E">
            <w:pPr>
              <w:spacing w:after="0" w:line="240" w:lineRule="auto"/>
              <w:ind w:right="-22"/>
              <w:rPr>
                <w:color w:val="0000ff"/>
                <w:sz w:val="20"/>
                <w:szCs w:val="20"/>
              </w:rPr>
            </w:pPr>
            <w:r w:rsidDel="00000000" w:rsidR="00000000" w:rsidRPr="00000000">
              <w:rPr>
                <w:color w:val="0000ff"/>
                <w:sz w:val="20"/>
                <w:szCs w:val="20"/>
                <w:rtl w:val="0"/>
              </w:rPr>
              <w:t xml:space="preserve">VK_Scand (</w:t>
            </w:r>
            <w:r w:rsidDel="00000000" w:rsidR="00000000" w:rsidRPr="00000000">
              <w:rPr>
                <w:i w:val="1"/>
                <w:color w:val="0000ff"/>
                <w:sz w:val="20"/>
                <w:szCs w:val="20"/>
                <w:rtl w:val="0"/>
              </w:rPr>
              <w:t xml:space="preserve">n</w:t>
            </w:r>
            <w:r w:rsidDel="00000000" w:rsidR="00000000" w:rsidRPr="00000000">
              <w:rPr>
                <w:color w:val="0000ff"/>
                <w:sz w:val="20"/>
                <w:szCs w:val="20"/>
                <w:rtl w:val="0"/>
              </w:rPr>
              <w:t xml:space="preserve">=170)</w:t>
            </w:r>
          </w:p>
        </w:tc>
        <w:tc>
          <w:tcPr>
            <w:tcBorders>
              <w:top w:color="000000" w:space="0" w:sz="4" w:val="single"/>
              <w:bottom w:color="000000" w:space="0" w:sz="4" w:val="single"/>
            </w:tcBorders>
            <w:shd w:fill="f2f2f2" w:val="clear"/>
            <w:vAlign w:val="center"/>
          </w:tcPr>
          <w:p w:rsidR="00000000" w:rsidDel="00000000" w:rsidP="00000000" w:rsidRDefault="00000000" w:rsidRPr="00000000" w14:paraId="0000064F">
            <w:pPr>
              <w:spacing w:after="0" w:line="240" w:lineRule="auto"/>
              <w:ind w:right="-34"/>
              <w:rPr>
                <w:color w:val="2e75b5"/>
                <w:sz w:val="20"/>
                <w:szCs w:val="20"/>
              </w:rPr>
            </w:pPr>
            <w:r w:rsidDel="00000000" w:rsidR="00000000" w:rsidRPr="00000000">
              <w:rPr>
                <w:color w:val="2e75b5"/>
                <w:sz w:val="20"/>
                <w:szCs w:val="20"/>
                <w:rtl w:val="0"/>
              </w:rPr>
              <w:t xml:space="preserve">Scand_IA_EMA (</w:t>
            </w:r>
            <w:r w:rsidDel="00000000" w:rsidR="00000000" w:rsidRPr="00000000">
              <w:rPr>
                <w:i w:val="1"/>
                <w:color w:val="2e75b5"/>
                <w:sz w:val="20"/>
                <w:szCs w:val="20"/>
                <w:rtl w:val="0"/>
              </w:rPr>
              <w:t xml:space="preserve">n</w:t>
            </w:r>
            <w:r w:rsidDel="00000000" w:rsidR="00000000" w:rsidRPr="00000000">
              <w:rPr>
                <w:color w:val="2e75b5"/>
                <w:sz w:val="20"/>
                <w:szCs w:val="20"/>
                <w:rtl w:val="0"/>
              </w:rPr>
              <w:t xml:space="preserve">=14)</w:t>
            </w:r>
          </w:p>
        </w:tc>
        <w:tc>
          <w:tcPr>
            <w:tcBorders>
              <w:top w:color="000000" w:space="0" w:sz="4" w:val="single"/>
              <w:bottom w:color="000000" w:space="0" w:sz="4" w:val="single"/>
            </w:tcBorders>
            <w:shd w:fill="f2f2f2" w:val="clear"/>
            <w:vAlign w:val="center"/>
          </w:tcPr>
          <w:p w:rsidR="00000000" w:rsidDel="00000000" w:rsidP="00000000" w:rsidRDefault="00000000" w:rsidRPr="00000000" w14:paraId="00000650">
            <w:pPr>
              <w:spacing w:after="0" w:line="240" w:lineRule="auto"/>
              <w:ind w:right="-22"/>
              <w:rPr>
                <w:color w:val="7030a0"/>
                <w:sz w:val="20"/>
                <w:szCs w:val="20"/>
              </w:rPr>
            </w:pPr>
            <w:r w:rsidDel="00000000" w:rsidR="00000000" w:rsidRPr="00000000">
              <w:rPr>
                <w:color w:val="7030a0"/>
                <w:sz w:val="20"/>
                <w:szCs w:val="20"/>
                <w:rtl w:val="0"/>
              </w:rPr>
              <w:t xml:space="preserve">VK_Brit&amp;Ire</w:t>
            </w:r>
          </w:p>
          <w:p w:rsidR="00000000" w:rsidDel="00000000" w:rsidP="00000000" w:rsidRDefault="00000000" w:rsidRPr="00000000" w14:paraId="00000651">
            <w:pPr>
              <w:spacing w:after="0" w:line="240" w:lineRule="auto"/>
              <w:ind w:right="-22"/>
              <w:rPr>
                <w:color w:val="cc0099"/>
                <w:sz w:val="20"/>
                <w:szCs w:val="20"/>
              </w:rPr>
            </w:pPr>
            <w:r w:rsidDel="00000000" w:rsidR="00000000" w:rsidRPr="00000000">
              <w:rPr>
                <w:color w:val="7030a0"/>
                <w:sz w:val="20"/>
                <w:szCs w:val="20"/>
                <w:rtl w:val="0"/>
              </w:rPr>
              <w:t xml:space="preserve">(</w:t>
            </w:r>
            <w:r w:rsidDel="00000000" w:rsidR="00000000" w:rsidRPr="00000000">
              <w:rPr>
                <w:i w:val="1"/>
                <w:color w:val="7030a0"/>
                <w:sz w:val="20"/>
                <w:szCs w:val="20"/>
                <w:rtl w:val="0"/>
              </w:rPr>
              <w:t xml:space="preserve">n</w:t>
            </w:r>
            <w:r w:rsidDel="00000000" w:rsidR="00000000" w:rsidRPr="00000000">
              <w:rPr>
                <w:color w:val="7030a0"/>
                <w:sz w:val="20"/>
                <w:szCs w:val="20"/>
                <w:rtl w:val="0"/>
              </w:rPr>
              <w:t xml:space="preserve">=44)</w:t>
            </w:r>
            <w:r w:rsidDel="00000000" w:rsidR="00000000" w:rsidRPr="00000000">
              <w:rPr>
                <w:rtl w:val="0"/>
              </w:rPr>
            </w:r>
          </w:p>
        </w:tc>
        <w:tc>
          <w:tcPr>
            <w:tcBorders>
              <w:top w:color="000000" w:space="0" w:sz="4" w:val="single"/>
              <w:bottom w:color="000000" w:space="0" w:sz="4" w:val="single"/>
            </w:tcBorders>
            <w:shd w:fill="f2f2f2" w:val="clear"/>
            <w:vAlign w:val="center"/>
          </w:tcPr>
          <w:p w:rsidR="00000000" w:rsidDel="00000000" w:rsidP="00000000" w:rsidRDefault="00000000" w:rsidRPr="00000000" w14:paraId="00000652">
            <w:pPr>
              <w:spacing w:after="0" w:line="240" w:lineRule="auto"/>
              <w:ind w:right="-22"/>
              <w:rPr>
                <w:color w:val="cc0099"/>
                <w:sz w:val="20"/>
                <w:szCs w:val="20"/>
              </w:rPr>
            </w:pPr>
            <w:r w:rsidDel="00000000" w:rsidR="00000000" w:rsidRPr="00000000">
              <w:rPr>
                <w:color w:val="cc0099"/>
                <w:sz w:val="20"/>
                <w:szCs w:val="20"/>
                <w:rtl w:val="0"/>
              </w:rPr>
              <w:t xml:space="preserve">Ire_MA (</w:t>
            </w:r>
            <w:r w:rsidDel="00000000" w:rsidR="00000000" w:rsidRPr="00000000">
              <w:rPr>
                <w:i w:val="1"/>
                <w:color w:val="cc0099"/>
                <w:sz w:val="20"/>
                <w:szCs w:val="20"/>
                <w:rtl w:val="0"/>
              </w:rPr>
              <w:t xml:space="preserve">n</w:t>
            </w:r>
            <w:r w:rsidDel="00000000" w:rsidR="00000000" w:rsidRPr="00000000">
              <w:rPr>
                <w:color w:val="cc0099"/>
                <w:sz w:val="20"/>
                <w:szCs w:val="20"/>
                <w:rtl w:val="0"/>
              </w:rPr>
              <w:t xml:space="preserve">=38)</w:t>
            </w:r>
          </w:p>
        </w:tc>
      </w:tr>
      <w:tr>
        <w:trPr>
          <w:cantSplit w:val="0"/>
          <w:trHeight w:val="300" w:hRule="atLeast"/>
          <w:tblHeader w:val="0"/>
        </w:trPr>
        <w:tc>
          <w:tcPr>
            <w:tcBorders>
              <w:top w:color="000000" w:space="0" w:sz="4" w:val="single"/>
              <w:left w:color="000000" w:space="0" w:sz="0" w:val="nil"/>
            </w:tcBorders>
            <w:shd w:fill="auto" w:val="clear"/>
            <w:vAlign w:val="center"/>
          </w:tcPr>
          <w:p w:rsidR="00000000" w:rsidDel="00000000" w:rsidP="00000000" w:rsidRDefault="00000000" w:rsidRPr="00000000" w14:paraId="00000653">
            <w:pPr>
              <w:spacing w:after="0" w:line="240" w:lineRule="auto"/>
              <w:rPr>
                <w:i w:val="1"/>
                <w:sz w:val="20"/>
                <w:szCs w:val="20"/>
              </w:rPr>
            </w:pPr>
            <w:r w:rsidDel="00000000" w:rsidR="00000000" w:rsidRPr="00000000">
              <w:rPr>
                <w:sz w:val="20"/>
                <w:szCs w:val="20"/>
                <w:rtl w:val="0"/>
              </w:rPr>
              <w:t xml:space="preserve">HV9</w:t>
            </w:r>
            <w:r w:rsidDel="00000000" w:rsidR="00000000" w:rsidRPr="00000000">
              <w:rPr>
                <w:rtl w:val="0"/>
              </w:rPr>
            </w:r>
          </w:p>
        </w:tc>
        <w:tc>
          <w:tcPr>
            <w:tcBorders>
              <w:top w:color="000000" w:space="0" w:sz="4" w:val="single"/>
            </w:tcBorders>
            <w:shd w:fill="ffd9d9" w:val="clear"/>
            <w:vAlign w:val="center"/>
          </w:tcPr>
          <w:p w:rsidR="00000000" w:rsidDel="00000000" w:rsidP="00000000" w:rsidRDefault="00000000" w:rsidRPr="00000000" w14:paraId="00000654">
            <w:pPr>
              <w:spacing w:after="0" w:line="240" w:lineRule="auto"/>
              <w:jc w:val="right"/>
              <w:rPr>
                <w:b w:val="1"/>
                <w:sz w:val="20"/>
                <w:szCs w:val="20"/>
              </w:rPr>
            </w:pPr>
            <w:r w:rsidDel="00000000" w:rsidR="00000000" w:rsidRPr="00000000">
              <w:rPr>
                <w:b w:val="1"/>
                <w:sz w:val="20"/>
                <w:szCs w:val="20"/>
                <w:rtl w:val="0"/>
              </w:rPr>
              <w:t xml:space="preserve">1</w:t>
            </w:r>
          </w:p>
        </w:tc>
        <w:tc>
          <w:tcPr>
            <w:tcBorders>
              <w:top w:color="000000" w:space="0" w:sz="4" w:val="single"/>
            </w:tcBorders>
            <w:shd w:fill="ffd9d9" w:val="clear"/>
            <w:vAlign w:val="center"/>
          </w:tcPr>
          <w:p w:rsidR="00000000" w:rsidDel="00000000" w:rsidP="00000000" w:rsidRDefault="00000000" w:rsidRPr="00000000" w14:paraId="00000655">
            <w:pPr>
              <w:spacing w:after="0" w:line="240" w:lineRule="auto"/>
              <w:jc w:val="right"/>
              <w:rPr>
                <w:sz w:val="20"/>
                <w:szCs w:val="20"/>
              </w:rPr>
            </w:pPr>
            <w:r w:rsidDel="00000000" w:rsidR="00000000" w:rsidRPr="00000000">
              <w:rPr>
                <w:sz w:val="20"/>
                <w:szCs w:val="20"/>
                <w:rtl w:val="0"/>
              </w:rPr>
              <w:t xml:space="preserve">1</w:t>
            </w:r>
          </w:p>
        </w:tc>
        <w:tc>
          <w:tcPr>
            <w:tcBorders>
              <w:top w:color="000000" w:space="0" w:sz="4" w:val="single"/>
            </w:tcBorders>
            <w:shd w:fill="auto" w:val="clear"/>
            <w:vAlign w:val="center"/>
          </w:tcPr>
          <w:p w:rsidR="00000000" w:rsidDel="00000000" w:rsidP="00000000" w:rsidRDefault="00000000" w:rsidRPr="00000000" w14:paraId="00000656">
            <w:pPr>
              <w:spacing w:after="0" w:line="240" w:lineRule="auto"/>
              <w:jc w:val="right"/>
              <w:rPr>
                <w:sz w:val="20"/>
                <w:szCs w:val="20"/>
              </w:rPr>
            </w:pPr>
            <w:r w:rsidDel="00000000" w:rsidR="00000000" w:rsidRPr="00000000">
              <w:rPr>
                <w:rtl w:val="0"/>
              </w:rPr>
            </w:r>
          </w:p>
        </w:tc>
        <w:tc>
          <w:tcPr>
            <w:tcBorders>
              <w:top w:color="000000" w:space="0" w:sz="4" w:val="single"/>
            </w:tcBorders>
            <w:shd w:fill="ffd9d9" w:val="clear"/>
            <w:vAlign w:val="center"/>
          </w:tcPr>
          <w:p w:rsidR="00000000" w:rsidDel="00000000" w:rsidP="00000000" w:rsidRDefault="00000000" w:rsidRPr="00000000" w14:paraId="00000657">
            <w:pPr>
              <w:spacing w:after="0" w:line="240" w:lineRule="auto"/>
              <w:jc w:val="right"/>
              <w:rPr>
                <w:sz w:val="20"/>
                <w:szCs w:val="20"/>
              </w:rPr>
            </w:pPr>
            <w:r w:rsidDel="00000000" w:rsidR="00000000" w:rsidRPr="00000000">
              <w:rPr>
                <w:sz w:val="20"/>
                <w:szCs w:val="20"/>
                <w:rtl w:val="0"/>
              </w:rPr>
              <w:t xml:space="preserve">1</w:t>
            </w:r>
          </w:p>
        </w:tc>
        <w:tc>
          <w:tcPr>
            <w:tcBorders>
              <w:top w:color="000000" w:space="0" w:sz="4" w:val="single"/>
            </w:tcBorders>
            <w:shd w:fill="auto" w:val="clear"/>
            <w:vAlign w:val="center"/>
          </w:tcPr>
          <w:p w:rsidR="00000000" w:rsidDel="00000000" w:rsidP="00000000" w:rsidRDefault="00000000" w:rsidRPr="00000000" w14:paraId="00000658">
            <w:pPr>
              <w:spacing w:after="0" w:line="240" w:lineRule="auto"/>
              <w:jc w:val="right"/>
              <w:rPr>
                <w:sz w:val="20"/>
                <w:szCs w:val="20"/>
              </w:rPr>
            </w:pPr>
            <w:r w:rsidDel="00000000" w:rsidR="00000000" w:rsidRPr="00000000">
              <w:rPr>
                <w:rtl w:val="0"/>
              </w:rPr>
            </w:r>
          </w:p>
        </w:tc>
        <w:tc>
          <w:tcPr>
            <w:tcBorders>
              <w:top w:color="000000" w:space="0" w:sz="4" w:val="single"/>
            </w:tcBorders>
            <w:vAlign w:val="center"/>
          </w:tcPr>
          <w:p w:rsidR="00000000" w:rsidDel="00000000" w:rsidP="00000000" w:rsidRDefault="00000000" w:rsidRPr="00000000" w14:paraId="00000659">
            <w:pPr>
              <w:spacing w:after="0" w:line="240" w:lineRule="auto"/>
              <w:jc w:val="right"/>
              <w:rPr>
                <w:rFonts w:ascii="Times New Roman" w:cs="Times New Roman" w:eastAsia="Times New Roman" w:hAnsi="Times New Roman"/>
                <w:sz w:val="18"/>
                <w:szCs w:val="18"/>
              </w:rPr>
            </w:pPr>
            <w:r w:rsidDel="00000000" w:rsidR="00000000" w:rsidRPr="00000000">
              <w:rPr>
                <w:rtl w:val="0"/>
              </w:rPr>
            </w:r>
          </w:p>
        </w:tc>
        <w:tc>
          <w:tcPr>
            <w:tcBorders>
              <w:top w:color="000000" w:space="0" w:sz="4" w:val="single"/>
            </w:tcBorders>
            <w:shd w:fill="auto" w:val="clear"/>
            <w:vAlign w:val="center"/>
          </w:tcPr>
          <w:p w:rsidR="00000000" w:rsidDel="00000000" w:rsidP="00000000" w:rsidRDefault="00000000" w:rsidRPr="00000000" w14:paraId="0000065A">
            <w:pPr>
              <w:spacing w:after="0" w:line="240" w:lineRule="auto"/>
              <w:jc w:val="right"/>
              <w:rPr>
                <w:rFonts w:ascii="Times New Roman" w:cs="Times New Roman" w:eastAsia="Times New Roman" w:hAnsi="Times New Roman"/>
                <w:sz w:val="18"/>
                <w:szCs w:val="18"/>
              </w:rPr>
            </w:pPr>
            <w:r w:rsidDel="00000000" w:rsidR="00000000" w:rsidRPr="00000000">
              <w:rPr>
                <w:rtl w:val="0"/>
              </w:rPr>
            </w:r>
          </w:p>
        </w:tc>
      </w:tr>
      <w:tr>
        <w:trPr>
          <w:cantSplit w:val="0"/>
          <w:trHeight w:val="300" w:hRule="atLeast"/>
          <w:tblHeader w:val="0"/>
        </w:trPr>
        <w:tc>
          <w:tcPr>
            <w:tcBorders>
              <w:left w:color="000000" w:space="0" w:sz="0" w:val="nil"/>
            </w:tcBorders>
            <w:shd w:fill="auto" w:val="clear"/>
            <w:vAlign w:val="center"/>
          </w:tcPr>
          <w:p w:rsidR="00000000" w:rsidDel="00000000" w:rsidP="00000000" w:rsidRDefault="00000000" w:rsidRPr="00000000" w14:paraId="0000065B">
            <w:pPr>
              <w:spacing w:after="0" w:line="240" w:lineRule="auto"/>
              <w:rPr>
                <w:sz w:val="20"/>
                <w:szCs w:val="20"/>
                <w:u w:val="single"/>
              </w:rPr>
            </w:pPr>
            <w:r w:rsidDel="00000000" w:rsidR="00000000" w:rsidRPr="00000000">
              <w:rPr>
                <w:sz w:val="20"/>
                <w:szCs w:val="20"/>
                <w:u w:val="single"/>
                <w:rtl w:val="0"/>
              </w:rPr>
              <w:t xml:space="preserve">H1a*</w:t>
            </w:r>
          </w:p>
        </w:tc>
        <w:tc>
          <w:tcPr>
            <w:shd w:fill="ffd9d9" w:val="clear"/>
            <w:vAlign w:val="center"/>
          </w:tcPr>
          <w:p w:rsidR="00000000" w:rsidDel="00000000" w:rsidP="00000000" w:rsidRDefault="00000000" w:rsidRPr="00000000" w14:paraId="0000065C">
            <w:pPr>
              <w:spacing w:after="0" w:line="240" w:lineRule="auto"/>
              <w:jc w:val="right"/>
              <w:rPr>
                <w:b w:val="1"/>
                <w:sz w:val="20"/>
                <w:szCs w:val="20"/>
              </w:rPr>
            </w:pPr>
            <w:r w:rsidDel="00000000" w:rsidR="00000000" w:rsidRPr="00000000">
              <w:rPr>
                <w:b w:val="1"/>
                <w:sz w:val="20"/>
                <w:szCs w:val="20"/>
                <w:rtl w:val="0"/>
              </w:rPr>
              <w:t xml:space="preserve">1</w:t>
            </w:r>
          </w:p>
        </w:tc>
        <w:tc>
          <w:tcPr>
            <w:shd w:fill="ffd9d9" w:val="clear"/>
            <w:vAlign w:val="center"/>
          </w:tcPr>
          <w:p w:rsidR="00000000" w:rsidDel="00000000" w:rsidP="00000000" w:rsidRDefault="00000000" w:rsidRPr="00000000" w14:paraId="0000065D">
            <w:pPr>
              <w:spacing w:after="0" w:line="240" w:lineRule="auto"/>
              <w:jc w:val="right"/>
              <w:rPr>
                <w:sz w:val="20"/>
                <w:szCs w:val="20"/>
              </w:rPr>
            </w:pPr>
            <w:r w:rsidDel="00000000" w:rsidR="00000000" w:rsidRPr="00000000">
              <w:rPr>
                <w:sz w:val="20"/>
                <w:szCs w:val="20"/>
                <w:rtl w:val="0"/>
              </w:rPr>
              <w:t xml:space="preserve">1</w:t>
            </w:r>
          </w:p>
        </w:tc>
        <w:tc>
          <w:tcPr>
            <w:shd w:fill="ffd9d9" w:val="clear"/>
            <w:vAlign w:val="center"/>
          </w:tcPr>
          <w:p w:rsidR="00000000" w:rsidDel="00000000" w:rsidP="00000000" w:rsidRDefault="00000000" w:rsidRPr="00000000" w14:paraId="0000065E">
            <w:pPr>
              <w:spacing w:after="0" w:line="240" w:lineRule="auto"/>
              <w:jc w:val="right"/>
              <w:rPr>
                <w:sz w:val="20"/>
                <w:szCs w:val="20"/>
              </w:rPr>
            </w:pPr>
            <w:r w:rsidDel="00000000" w:rsidR="00000000" w:rsidRPr="00000000">
              <w:rPr>
                <w:sz w:val="20"/>
                <w:szCs w:val="20"/>
                <w:rtl w:val="0"/>
              </w:rPr>
              <w:t xml:space="preserve">1</w:t>
            </w:r>
          </w:p>
        </w:tc>
        <w:tc>
          <w:tcPr>
            <w:shd w:fill="ffd9d9" w:val="clear"/>
            <w:vAlign w:val="center"/>
          </w:tcPr>
          <w:p w:rsidR="00000000" w:rsidDel="00000000" w:rsidP="00000000" w:rsidRDefault="00000000" w:rsidRPr="00000000" w14:paraId="0000065F">
            <w:pPr>
              <w:spacing w:after="0" w:line="240" w:lineRule="auto"/>
              <w:jc w:val="right"/>
              <w:rPr>
                <w:sz w:val="20"/>
                <w:szCs w:val="20"/>
              </w:rPr>
            </w:pPr>
            <w:r w:rsidDel="00000000" w:rsidR="00000000" w:rsidRPr="00000000">
              <w:rPr>
                <w:sz w:val="20"/>
                <w:szCs w:val="20"/>
                <w:rtl w:val="0"/>
              </w:rPr>
              <w:t xml:space="preserve">2</w:t>
            </w:r>
          </w:p>
        </w:tc>
        <w:tc>
          <w:tcPr>
            <w:shd w:fill="auto" w:val="clear"/>
            <w:vAlign w:val="center"/>
          </w:tcPr>
          <w:p w:rsidR="00000000" w:rsidDel="00000000" w:rsidP="00000000" w:rsidRDefault="00000000" w:rsidRPr="00000000" w14:paraId="00000660">
            <w:pPr>
              <w:spacing w:after="0" w:line="240" w:lineRule="auto"/>
              <w:jc w:val="right"/>
              <w:rPr>
                <w:sz w:val="20"/>
                <w:szCs w:val="20"/>
              </w:rPr>
            </w:pPr>
            <w:r w:rsidDel="00000000" w:rsidR="00000000" w:rsidRPr="00000000">
              <w:rPr>
                <w:rtl w:val="0"/>
              </w:rPr>
            </w:r>
          </w:p>
        </w:tc>
        <w:tc>
          <w:tcPr>
            <w:vAlign w:val="center"/>
          </w:tcPr>
          <w:p w:rsidR="00000000" w:rsidDel="00000000" w:rsidP="00000000" w:rsidRDefault="00000000" w:rsidRPr="00000000" w14:paraId="00000661">
            <w:pPr>
              <w:spacing w:after="0" w:line="240" w:lineRule="auto"/>
              <w:jc w:val="right"/>
              <w:rPr>
                <w:rFonts w:ascii="Times New Roman" w:cs="Times New Roman" w:eastAsia="Times New Roman" w:hAnsi="Times New Roman"/>
                <w:sz w:val="18"/>
                <w:szCs w:val="18"/>
              </w:rPr>
            </w:pPr>
            <w:r w:rsidDel="00000000" w:rsidR="00000000" w:rsidRPr="00000000">
              <w:rPr>
                <w:rtl w:val="0"/>
              </w:rPr>
            </w:r>
          </w:p>
        </w:tc>
        <w:tc>
          <w:tcPr>
            <w:shd w:fill="auto" w:val="clear"/>
            <w:vAlign w:val="center"/>
          </w:tcPr>
          <w:p w:rsidR="00000000" w:rsidDel="00000000" w:rsidP="00000000" w:rsidRDefault="00000000" w:rsidRPr="00000000" w14:paraId="00000662">
            <w:pPr>
              <w:spacing w:after="0" w:line="240" w:lineRule="auto"/>
              <w:jc w:val="right"/>
              <w:rPr>
                <w:rFonts w:ascii="Times New Roman" w:cs="Times New Roman" w:eastAsia="Times New Roman" w:hAnsi="Times New Roman"/>
                <w:sz w:val="18"/>
                <w:szCs w:val="18"/>
              </w:rPr>
            </w:pPr>
            <w:r w:rsidDel="00000000" w:rsidR="00000000" w:rsidRPr="00000000">
              <w:rPr>
                <w:rtl w:val="0"/>
              </w:rPr>
            </w:r>
          </w:p>
        </w:tc>
      </w:tr>
      <w:tr>
        <w:trPr>
          <w:cantSplit w:val="0"/>
          <w:trHeight w:val="300" w:hRule="atLeast"/>
          <w:tblHeader w:val="0"/>
        </w:trPr>
        <w:tc>
          <w:tcPr>
            <w:tcBorders>
              <w:left w:color="000000" w:space="0" w:sz="0" w:val="nil"/>
            </w:tcBorders>
            <w:shd w:fill="auto" w:val="clear"/>
            <w:vAlign w:val="center"/>
          </w:tcPr>
          <w:p w:rsidR="00000000" w:rsidDel="00000000" w:rsidP="00000000" w:rsidRDefault="00000000" w:rsidRPr="00000000" w14:paraId="00000663">
            <w:pPr>
              <w:spacing w:after="0" w:line="240" w:lineRule="auto"/>
              <w:rPr>
                <w:sz w:val="20"/>
                <w:szCs w:val="20"/>
                <w:u w:val="single"/>
              </w:rPr>
            </w:pPr>
            <w:r w:rsidDel="00000000" w:rsidR="00000000" w:rsidRPr="00000000">
              <w:rPr>
                <w:sz w:val="20"/>
                <w:szCs w:val="20"/>
                <w:u w:val="single"/>
                <w:rtl w:val="0"/>
              </w:rPr>
              <w:t xml:space="preserve">H7*</w:t>
            </w:r>
          </w:p>
        </w:tc>
        <w:tc>
          <w:tcPr>
            <w:shd w:fill="ffd9d9" w:val="clear"/>
            <w:vAlign w:val="center"/>
          </w:tcPr>
          <w:p w:rsidR="00000000" w:rsidDel="00000000" w:rsidP="00000000" w:rsidRDefault="00000000" w:rsidRPr="00000000" w14:paraId="00000664">
            <w:pPr>
              <w:spacing w:after="0" w:line="240" w:lineRule="auto"/>
              <w:jc w:val="right"/>
              <w:rPr>
                <w:b w:val="1"/>
                <w:sz w:val="20"/>
                <w:szCs w:val="20"/>
              </w:rPr>
            </w:pPr>
            <w:r w:rsidDel="00000000" w:rsidR="00000000" w:rsidRPr="00000000">
              <w:rPr>
                <w:b w:val="1"/>
                <w:sz w:val="20"/>
                <w:szCs w:val="20"/>
                <w:rtl w:val="0"/>
              </w:rPr>
              <w:t xml:space="preserve">1</w:t>
            </w:r>
          </w:p>
        </w:tc>
        <w:tc>
          <w:tcPr>
            <w:shd w:fill="ffd9d9" w:val="clear"/>
            <w:vAlign w:val="center"/>
          </w:tcPr>
          <w:p w:rsidR="00000000" w:rsidDel="00000000" w:rsidP="00000000" w:rsidRDefault="00000000" w:rsidRPr="00000000" w14:paraId="00000665">
            <w:pPr>
              <w:spacing w:after="0" w:line="240" w:lineRule="auto"/>
              <w:jc w:val="right"/>
              <w:rPr>
                <w:sz w:val="20"/>
                <w:szCs w:val="20"/>
              </w:rPr>
            </w:pPr>
            <w:r w:rsidDel="00000000" w:rsidR="00000000" w:rsidRPr="00000000">
              <w:rPr>
                <w:sz w:val="20"/>
                <w:szCs w:val="20"/>
                <w:rtl w:val="0"/>
              </w:rPr>
              <w:t xml:space="preserve">1</w:t>
            </w:r>
          </w:p>
        </w:tc>
        <w:tc>
          <w:tcPr>
            <w:shd w:fill="auto" w:val="clear"/>
            <w:vAlign w:val="center"/>
          </w:tcPr>
          <w:p w:rsidR="00000000" w:rsidDel="00000000" w:rsidP="00000000" w:rsidRDefault="00000000" w:rsidRPr="00000000" w14:paraId="00000666">
            <w:pPr>
              <w:spacing w:after="0" w:line="240" w:lineRule="auto"/>
              <w:jc w:val="right"/>
              <w:rPr>
                <w:sz w:val="20"/>
                <w:szCs w:val="20"/>
              </w:rPr>
            </w:pPr>
            <w:r w:rsidDel="00000000" w:rsidR="00000000" w:rsidRPr="00000000">
              <w:rPr>
                <w:rtl w:val="0"/>
              </w:rPr>
            </w:r>
          </w:p>
        </w:tc>
        <w:tc>
          <w:tcPr>
            <w:shd w:fill="ffd9d9" w:val="clear"/>
            <w:vAlign w:val="center"/>
          </w:tcPr>
          <w:p w:rsidR="00000000" w:rsidDel="00000000" w:rsidP="00000000" w:rsidRDefault="00000000" w:rsidRPr="00000000" w14:paraId="00000667">
            <w:pPr>
              <w:spacing w:after="0" w:line="240" w:lineRule="auto"/>
              <w:jc w:val="right"/>
              <w:rPr>
                <w:sz w:val="20"/>
                <w:szCs w:val="20"/>
              </w:rPr>
            </w:pPr>
            <w:r w:rsidDel="00000000" w:rsidR="00000000" w:rsidRPr="00000000">
              <w:rPr>
                <w:sz w:val="20"/>
                <w:szCs w:val="20"/>
                <w:rtl w:val="0"/>
              </w:rPr>
              <w:t xml:space="preserve">1</w:t>
            </w:r>
          </w:p>
        </w:tc>
        <w:tc>
          <w:tcPr>
            <w:shd w:fill="auto" w:val="clear"/>
            <w:vAlign w:val="center"/>
          </w:tcPr>
          <w:p w:rsidR="00000000" w:rsidDel="00000000" w:rsidP="00000000" w:rsidRDefault="00000000" w:rsidRPr="00000000" w14:paraId="00000668">
            <w:pPr>
              <w:spacing w:after="0" w:line="240" w:lineRule="auto"/>
              <w:jc w:val="right"/>
              <w:rPr>
                <w:sz w:val="20"/>
                <w:szCs w:val="20"/>
              </w:rPr>
            </w:pPr>
            <w:r w:rsidDel="00000000" w:rsidR="00000000" w:rsidRPr="00000000">
              <w:rPr>
                <w:rtl w:val="0"/>
              </w:rPr>
            </w:r>
          </w:p>
        </w:tc>
        <w:tc>
          <w:tcPr>
            <w:vAlign w:val="center"/>
          </w:tcPr>
          <w:p w:rsidR="00000000" w:rsidDel="00000000" w:rsidP="00000000" w:rsidRDefault="00000000" w:rsidRPr="00000000" w14:paraId="00000669">
            <w:pPr>
              <w:spacing w:after="0" w:line="240" w:lineRule="auto"/>
              <w:jc w:val="right"/>
              <w:rPr>
                <w:rFonts w:ascii="Times New Roman" w:cs="Times New Roman" w:eastAsia="Times New Roman" w:hAnsi="Times New Roman"/>
                <w:sz w:val="18"/>
                <w:szCs w:val="18"/>
              </w:rPr>
            </w:pPr>
            <w:r w:rsidDel="00000000" w:rsidR="00000000" w:rsidRPr="00000000">
              <w:rPr>
                <w:rtl w:val="0"/>
              </w:rPr>
            </w:r>
          </w:p>
        </w:tc>
        <w:tc>
          <w:tcPr>
            <w:shd w:fill="auto" w:val="clear"/>
            <w:vAlign w:val="center"/>
          </w:tcPr>
          <w:p w:rsidR="00000000" w:rsidDel="00000000" w:rsidP="00000000" w:rsidRDefault="00000000" w:rsidRPr="00000000" w14:paraId="0000066A">
            <w:pPr>
              <w:spacing w:after="0" w:line="240" w:lineRule="auto"/>
              <w:jc w:val="right"/>
              <w:rPr>
                <w:rFonts w:ascii="Times New Roman" w:cs="Times New Roman" w:eastAsia="Times New Roman" w:hAnsi="Times New Roman"/>
                <w:sz w:val="18"/>
                <w:szCs w:val="18"/>
              </w:rPr>
            </w:pPr>
            <w:r w:rsidDel="00000000" w:rsidR="00000000" w:rsidRPr="00000000">
              <w:rPr>
                <w:rtl w:val="0"/>
              </w:rPr>
            </w:r>
          </w:p>
        </w:tc>
      </w:tr>
      <w:tr>
        <w:trPr>
          <w:cantSplit w:val="0"/>
          <w:trHeight w:val="300" w:hRule="atLeast"/>
          <w:tblHeader w:val="0"/>
        </w:trPr>
        <w:tc>
          <w:tcPr>
            <w:tcBorders>
              <w:left w:color="000000" w:space="0" w:sz="0" w:val="nil"/>
            </w:tcBorders>
            <w:shd w:fill="auto" w:val="clear"/>
            <w:vAlign w:val="center"/>
          </w:tcPr>
          <w:p w:rsidR="00000000" w:rsidDel="00000000" w:rsidP="00000000" w:rsidRDefault="00000000" w:rsidRPr="00000000" w14:paraId="0000066B">
            <w:pPr>
              <w:spacing w:after="0" w:line="240" w:lineRule="auto"/>
              <w:rPr>
                <w:sz w:val="20"/>
                <w:szCs w:val="20"/>
                <w:u w:val="single"/>
              </w:rPr>
            </w:pPr>
            <w:r w:rsidDel="00000000" w:rsidR="00000000" w:rsidRPr="00000000">
              <w:rPr>
                <w:sz w:val="20"/>
                <w:szCs w:val="20"/>
                <w:u w:val="single"/>
                <w:rtl w:val="0"/>
              </w:rPr>
              <w:t xml:space="preserve">T2*</w:t>
            </w:r>
          </w:p>
        </w:tc>
        <w:tc>
          <w:tcPr>
            <w:shd w:fill="ffd9d9" w:val="clear"/>
            <w:vAlign w:val="center"/>
          </w:tcPr>
          <w:p w:rsidR="00000000" w:rsidDel="00000000" w:rsidP="00000000" w:rsidRDefault="00000000" w:rsidRPr="00000000" w14:paraId="0000066C">
            <w:pPr>
              <w:spacing w:after="0" w:line="240" w:lineRule="auto"/>
              <w:jc w:val="right"/>
              <w:rPr>
                <w:b w:val="1"/>
                <w:sz w:val="20"/>
                <w:szCs w:val="20"/>
              </w:rPr>
            </w:pPr>
            <w:r w:rsidDel="00000000" w:rsidR="00000000" w:rsidRPr="00000000">
              <w:rPr>
                <w:b w:val="1"/>
                <w:sz w:val="20"/>
                <w:szCs w:val="20"/>
                <w:rtl w:val="0"/>
              </w:rPr>
              <w:t xml:space="preserve">2</w:t>
            </w:r>
          </w:p>
        </w:tc>
        <w:tc>
          <w:tcPr>
            <w:shd w:fill="ffd9d9" w:val="clear"/>
            <w:vAlign w:val="center"/>
          </w:tcPr>
          <w:p w:rsidR="00000000" w:rsidDel="00000000" w:rsidP="00000000" w:rsidRDefault="00000000" w:rsidRPr="00000000" w14:paraId="0000066D">
            <w:pPr>
              <w:spacing w:after="0" w:line="240" w:lineRule="auto"/>
              <w:jc w:val="right"/>
              <w:rPr>
                <w:b w:val="1"/>
                <w:sz w:val="20"/>
                <w:szCs w:val="20"/>
              </w:rPr>
            </w:pPr>
            <w:r w:rsidDel="00000000" w:rsidR="00000000" w:rsidRPr="00000000">
              <w:rPr>
                <w:sz w:val="20"/>
                <w:szCs w:val="20"/>
                <w:rtl w:val="0"/>
              </w:rPr>
              <w:t xml:space="preserve">2</w:t>
            </w:r>
            <w:r w:rsidDel="00000000" w:rsidR="00000000" w:rsidRPr="00000000">
              <w:rPr>
                <w:rtl w:val="0"/>
              </w:rPr>
            </w:r>
          </w:p>
        </w:tc>
        <w:tc>
          <w:tcPr>
            <w:shd w:fill="ffd9d9" w:val="clear"/>
            <w:vAlign w:val="center"/>
          </w:tcPr>
          <w:p w:rsidR="00000000" w:rsidDel="00000000" w:rsidP="00000000" w:rsidRDefault="00000000" w:rsidRPr="00000000" w14:paraId="0000066E">
            <w:pPr>
              <w:spacing w:after="0" w:line="240" w:lineRule="auto"/>
              <w:jc w:val="right"/>
              <w:rPr>
                <w:sz w:val="20"/>
                <w:szCs w:val="20"/>
              </w:rPr>
            </w:pPr>
            <w:r w:rsidDel="00000000" w:rsidR="00000000" w:rsidRPr="00000000">
              <w:rPr>
                <w:sz w:val="20"/>
                <w:szCs w:val="20"/>
                <w:rtl w:val="0"/>
              </w:rPr>
              <w:t xml:space="preserve">1</w:t>
            </w:r>
          </w:p>
        </w:tc>
        <w:tc>
          <w:tcPr>
            <w:shd w:fill="ffd9d9" w:val="clear"/>
            <w:vAlign w:val="center"/>
          </w:tcPr>
          <w:p w:rsidR="00000000" w:rsidDel="00000000" w:rsidP="00000000" w:rsidRDefault="00000000" w:rsidRPr="00000000" w14:paraId="0000066F">
            <w:pPr>
              <w:spacing w:after="0" w:line="240" w:lineRule="auto"/>
              <w:jc w:val="right"/>
              <w:rPr>
                <w:sz w:val="20"/>
                <w:szCs w:val="20"/>
              </w:rPr>
            </w:pPr>
            <w:r w:rsidDel="00000000" w:rsidR="00000000" w:rsidRPr="00000000">
              <w:rPr>
                <w:sz w:val="20"/>
                <w:szCs w:val="20"/>
                <w:rtl w:val="0"/>
              </w:rPr>
              <w:t xml:space="preserve">1</w:t>
            </w:r>
          </w:p>
        </w:tc>
        <w:tc>
          <w:tcPr>
            <w:shd w:fill="auto" w:val="clear"/>
            <w:vAlign w:val="center"/>
          </w:tcPr>
          <w:p w:rsidR="00000000" w:rsidDel="00000000" w:rsidP="00000000" w:rsidRDefault="00000000" w:rsidRPr="00000000" w14:paraId="00000670">
            <w:pPr>
              <w:spacing w:after="0" w:line="240" w:lineRule="auto"/>
              <w:jc w:val="right"/>
              <w:rPr>
                <w:sz w:val="20"/>
                <w:szCs w:val="20"/>
              </w:rPr>
            </w:pPr>
            <w:r w:rsidDel="00000000" w:rsidR="00000000" w:rsidRPr="00000000">
              <w:rPr>
                <w:rtl w:val="0"/>
              </w:rPr>
            </w:r>
          </w:p>
        </w:tc>
        <w:tc>
          <w:tcPr>
            <w:vAlign w:val="center"/>
          </w:tcPr>
          <w:p w:rsidR="00000000" w:rsidDel="00000000" w:rsidP="00000000" w:rsidRDefault="00000000" w:rsidRPr="00000000" w14:paraId="00000671">
            <w:pPr>
              <w:spacing w:after="0" w:line="240" w:lineRule="auto"/>
              <w:jc w:val="right"/>
              <w:rPr>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672">
            <w:pPr>
              <w:spacing w:after="0" w:line="240" w:lineRule="auto"/>
              <w:jc w:val="right"/>
              <w:rPr>
                <w:sz w:val="20"/>
                <w:szCs w:val="20"/>
              </w:rPr>
            </w:pPr>
            <w:r w:rsidDel="00000000" w:rsidR="00000000" w:rsidRPr="00000000">
              <w:rPr>
                <w:rtl w:val="0"/>
              </w:rPr>
            </w:r>
          </w:p>
        </w:tc>
      </w:tr>
      <w:tr>
        <w:trPr>
          <w:cantSplit w:val="0"/>
          <w:trHeight w:val="300" w:hRule="atLeast"/>
          <w:tblHeader w:val="0"/>
        </w:trPr>
        <w:tc>
          <w:tcPr>
            <w:tcBorders>
              <w:left w:color="000000" w:space="0" w:sz="0" w:val="nil"/>
            </w:tcBorders>
            <w:shd w:fill="auto" w:val="clear"/>
            <w:vAlign w:val="center"/>
          </w:tcPr>
          <w:p w:rsidR="00000000" w:rsidDel="00000000" w:rsidP="00000000" w:rsidRDefault="00000000" w:rsidRPr="00000000" w14:paraId="00000673">
            <w:pPr>
              <w:spacing w:after="0" w:line="240" w:lineRule="auto"/>
              <w:rPr>
                <w:sz w:val="20"/>
                <w:szCs w:val="20"/>
              </w:rPr>
            </w:pPr>
            <w:r w:rsidDel="00000000" w:rsidR="00000000" w:rsidRPr="00000000">
              <w:rPr>
                <w:sz w:val="20"/>
                <w:szCs w:val="20"/>
                <w:rtl w:val="0"/>
              </w:rPr>
              <w:t xml:space="preserve">T2f1a1</w:t>
            </w:r>
          </w:p>
        </w:tc>
        <w:tc>
          <w:tcPr>
            <w:shd w:fill="ffd9d9" w:val="clear"/>
            <w:vAlign w:val="center"/>
          </w:tcPr>
          <w:p w:rsidR="00000000" w:rsidDel="00000000" w:rsidP="00000000" w:rsidRDefault="00000000" w:rsidRPr="00000000" w14:paraId="00000674">
            <w:pPr>
              <w:spacing w:after="0" w:line="240" w:lineRule="auto"/>
              <w:jc w:val="right"/>
              <w:rPr>
                <w:b w:val="1"/>
                <w:sz w:val="20"/>
                <w:szCs w:val="20"/>
              </w:rPr>
            </w:pPr>
            <w:r w:rsidDel="00000000" w:rsidR="00000000" w:rsidRPr="00000000">
              <w:rPr>
                <w:b w:val="1"/>
                <w:sz w:val="20"/>
                <w:szCs w:val="20"/>
                <w:rtl w:val="0"/>
              </w:rPr>
              <w:t xml:space="preserve">3</w:t>
            </w:r>
          </w:p>
        </w:tc>
        <w:tc>
          <w:tcPr>
            <w:shd w:fill="ffd9d9" w:val="clear"/>
            <w:vAlign w:val="center"/>
          </w:tcPr>
          <w:p w:rsidR="00000000" w:rsidDel="00000000" w:rsidP="00000000" w:rsidRDefault="00000000" w:rsidRPr="00000000" w14:paraId="00000675">
            <w:pPr>
              <w:spacing w:after="0" w:line="240" w:lineRule="auto"/>
              <w:jc w:val="right"/>
              <w:rPr>
                <w:sz w:val="20"/>
                <w:szCs w:val="20"/>
              </w:rPr>
            </w:pPr>
            <w:r w:rsidDel="00000000" w:rsidR="00000000" w:rsidRPr="00000000">
              <w:rPr>
                <w:sz w:val="20"/>
                <w:szCs w:val="20"/>
                <w:rtl w:val="0"/>
              </w:rPr>
              <w:t xml:space="preserve">1</w:t>
            </w:r>
          </w:p>
        </w:tc>
        <w:tc>
          <w:tcPr>
            <w:shd w:fill="auto" w:val="clear"/>
            <w:vAlign w:val="center"/>
          </w:tcPr>
          <w:p w:rsidR="00000000" w:rsidDel="00000000" w:rsidP="00000000" w:rsidRDefault="00000000" w:rsidRPr="00000000" w14:paraId="00000676">
            <w:pPr>
              <w:spacing w:after="0" w:line="240" w:lineRule="auto"/>
              <w:jc w:val="right"/>
              <w:rPr>
                <w:sz w:val="20"/>
                <w:szCs w:val="20"/>
              </w:rPr>
            </w:pPr>
            <w:r w:rsidDel="00000000" w:rsidR="00000000" w:rsidRPr="00000000">
              <w:rPr>
                <w:rtl w:val="0"/>
              </w:rPr>
            </w:r>
          </w:p>
        </w:tc>
        <w:tc>
          <w:tcPr>
            <w:shd w:fill="ffd9d9" w:val="clear"/>
            <w:vAlign w:val="center"/>
          </w:tcPr>
          <w:p w:rsidR="00000000" w:rsidDel="00000000" w:rsidP="00000000" w:rsidRDefault="00000000" w:rsidRPr="00000000" w14:paraId="00000677">
            <w:pPr>
              <w:spacing w:after="0" w:line="240" w:lineRule="auto"/>
              <w:jc w:val="right"/>
              <w:rPr>
                <w:sz w:val="20"/>
                <w:szCs w:val="20"/>
              </w:rPr>
            </w:pPr>
            <w:r w:rsidDel="00000000" w:rsidR="00000000" w:rsidRPr="00000000">
              <w:rPr>
                <w:sz w:val="20"/>
                <w:szCs w:val="20"/>
                <w:rtl w:val="0"/>
              </w:rPr>
              <w:t xml:space="preserve">1</w:t>
            </w:r>
          </w:p>
        </w:tc>
        <w:tc>
          <w:tcPr>
            <w:shd w:fill="auto" w:val="clear"/>
            <w:vAlign w:val="center"/>
          </w:tcPr>
          <w:p w:rsidR="00000000" w:rsidDel="00000000" w:rsidP="00000000" w:rsidRDefault="00000000" w:rsidRPr="00000000" w14:paraId="00000678">
            <w:pPr>
              <w:spacing w:after="0" w:line="240" w:lineRule="auto"/>
              <w:jc w:val="right"/>
              <w:rPr>
                <w:sz w:val="20"/>
                <w:szCs w:val="20"/>
              </w:rPr>
            </w:pPr>
            <w:r w:rsidDel="00000000" w:rsidR="00000000" w:rsidRPr="00000000">
              <w:rPr>
                <w:rtl w:val="0"/>
              </w:rPr>
            </w:r>
          </w:p>
        </w:tc>
        <w:tc>
          <w:tcPr>
            <w:vAlign w:val="center"/>
          </w:tcPr>
          <w:p w:rsidR="00000000" w:rsidDel="00000000" w:rsidP="00000000" w:rsidRDefault="00000000" w:rsidRPr="00000000" w14:paraId="00000679">
            <w:pPr>
              <w:spacing w:after="0" w:line="240" w:lineRule="auto"/>
              <w:jc w:val="right"/>
              <w:rPr>
                <w:rFonts w:ascii="Times New Roman" w:cs="Times New Roman" w:eastAsia="Times New Roman" w:hAnsi="Times New Roman"/>
                <w:sz w:val="18"/>
                <w:szCs w:val="18"/>
              </w:rPr>
            </w:pPr>
            <w:r w:rsidDel="00000000" w:rsidR="00000000" w:rsidRPr="00000000">
              <w:rPr>
                <w:rtl w:val="0"/>
              </w:rPr>
            </w:r>
          </w:p>
        </w:tc>
        <w:tc>
          <w:tcPr>
            <w:shd w:fill="auto" w:val="clear"/>
            <w:vAlign w:val="center"/>
          </w:tcPr>
          <w:p w:rsidR="00000000" w:rsidDel="00000000" w:rsidP="00000000" w:rsidRDefault="00000000" w:rsidRPr="00000000" w14:paraId="0000067A">
            <w:pPr>
              <w:spacing w:after="0" w:line="240" w:lineRule="auto"/>
              <w:jc w:val="right"/>
              <w:rPr>
                <w:rFonts w:ascii="Times New Roman" w:cs="Times New Roman" w:eastAsia="Times New Roman" w:hAnsi="Times New Roman"/>
                <w:sz w:val="18"/>
                <w:szCs w:val="18"/>
              </w:rPr>
            </w:pPr>
            <w:r w:rsidDel="00000000" w:rsidR="00000000" w:rsidRPr="00000000">
              <w:rPr>
                <w:rtl w:val="0"/>
              </w:rPr>
            </w:r>
          </w:p>
        </w:tc>
      </w:tr>
      <w:tr>
        <w:trPr>
          <w:cantSplit w:val="0"/>
          <w:trHeight w:val="300" w:hRule="atLeast"/>
          <w:tblHeader w:val="0"/>
        </w:trPr>
        <w:tc>
          <w:tcPr>
            <w:tcBorders>
              <w:left w:color="000000" w:space="0" w:sz="0" w:val="nil"/>
            </w:tcBorders>
            <w:shd w:fill="auto" w:val="clear"/>
            <w:vAlign w:val="center"/>
          </w:tcPr>
          <w:p w:rsidR="00000000" w:rsidDel="00000000" w:rsidP="00000000" w:rsidRDefault="00000000" w:rsidRPr="00000000" w14:paraId="0000067B">
            <w:pPr>
              <w:spacing w:after="0" w:line="240" w:lineRule="auto"/>
              <w:rPr>
                <w:i w:val="1"/>
                <w:sz w:val="20"/>
                <w:szCs w:val="20"/>
              </w:rPr>
            </w:pPr>
            <w:r w:rsidDel="00000000" w:rsidR="00000000" w:rsidRPr="00000000">
              <w:rPr>
                <w:sz w:val="20"/>
                <w:szCs w:val="20"/>
                <w:rtl w:val="0"/>
              </w:rPr>
              <w:t xml:space="preserve">U5b1c2b</w:t>
            </w:r>
            <w:r w:rsidDel="00000000" w:rsidR="00000000" w:rsidRPr="00000000">
              <w:rPr>
                <w:rtl w:val="0"/>
              </w:rPr>
            </w:r>
          </w:p>
        </w:tc>
        <w:tc>
          <w:tcPr>
            <w:shd w:fill="ffd9d9" w:val="clear"/>
            <w:vAlign w:val="center"/>
          </w:tcPr>
          <w:p w:rsidR="00000000" w:rsidDel="00000000" w:rsidP="00000000" w:rsidRDefault="00000000" w:rsidRPr="00000000" w14:paraId="0000067C">
            <w:pPr>
              <w:spacing w:after="0" w:line="240" w:lineRule="auto"/>
              <w:jc w:val="right"/>
              <w:rPr>
                <w:b w:val="1"/>
                <w:sz w:val="20"/>
                <w:szCs w:val="20"/>
              </w:rPr>
            </w:pPr>
            <w:r w:rsidDel="00000000" w:rsidR="00000000" w:rsidRPr="00000000">
              <w:rPr>
                <w:b w:val="1"/>
                <w:sz w:val="20"/>
                <w:szCs w:val="20"/>
                <w:rtl w:val="0"/>
              </w:rPr>
              <w:t xml:space="preserve">2</w:t>
            </w:r>
          </w:p>
        </w:tc>
        <w:tc>
          <w:tcPr>
            <w:shd w:fill="ffd9d9" w:val="clear"/>
            <w:vAlign w:val="center"/>
          </w:tcPr>
          <w:p w:rsidR="00000000" w:rsidDel="00000000" w:rsidP="00000000" w:rsidRDefault="00000000" w:rsidRPr="00000000" w14:paraId="0000067D">
            <w:pPr>
              <w:spacing w:after="0" w:line="240" w:lineRule="auto"/>
              <w:jc w:val="right"/>
              <w:rPr>
                <w:sz w:val="20"/>
                <w:szCs w:val="20"/>
              </w:rPr>
            </w:pPr>
            <w:r w:rsidDel="00000000" w:rsidR="00000000" w:rsidRPr="00000000">
              <w:rPr>
                <w:sz w:val="20"/>
                <w:szCs w:val="20"/>
                <w:rtl w:val="0"/>
              </w:rPr>
              <w:t xml:space="preserve">2</w:t>
            </w:r>
          </w:p>
        </w:tc>
        <w:tc>
          <w:tcPr>
            <w:shd w:fill="auto" w:val="clear"/>
            <w:vAlign w:val="center"/>
          </w:tcPr>
          <w:p w:rsidR="00000000" w:rsidDel="00000000" w:rsidP="00000000" w:rsidRDefault="00000000" w:rsidRPr="00000000" w14:paraId="0000067E">
            <w:pPr>
              <w:spacing w:after="0" w:line="240" w:lineRule="auto"/>
              <w:jc w:val="right"/>
              <w:rPr>
                <w:sz w:val="20"/>
                <w:szCs w:val="20"/>
              </w:rPr>
            </w:pPr>
            <w:r w:rsidDel="00000000" w:rsidR="00000000" w:rsidRPr="00000000">
              <w:rPr>
                <w:rtl w:val="0"/>
              </w:rPr>
            </w:r>
          </w:p>
        </w:tc>
        <w:tc>
          <w:tcPr>
            <w:shd w:fill="ffd9d9" w:val="clear"/>
            <w:vAlign w:val="center"/>
          </w:tcPr>
          <w:p w:rsidR="00000000" w:rsidDel="00000000" w:rsidP="00000000" w:rsidRDefault="00000000" w:rsidRPr="00000000" w14:paraId="0000067F">
            <w:pPr>
              <w:spacing w:after="0" w:line="240" w:lineRule="auto"/>
              <w:jc w:val="right"/>
              <w:rPr>
                <w:sz w:val="20"/>
                <w:szCs w:val="20"/>
              </w:rPr>
            </w:pPr>
            <w:r w:rsidDel="00000000" w:rsidR="00000000" w:rsidRPr="00000000">
              <w:rPr>
                <w:sz w:val="20"/>
                <w:szCs w:val="20"/>
                <w:rtl w:val="0"/>
              </w:rPr>
              <w:t xml:space="preserve">1</w:t>
            </w:r>
          </w:p>
        </w:tc>
        <w:tc>
          <w:tcPr>
            <w:shd w:fill="auto" w:val="clear"/>
            <w:vAlign w:val="center"/>
          </w:tcPr>
          <w:p w:rsidR="00000000" w:rsidDel="00000000" w:rsidP="00000000" w:rsidRDefault="00000000" w:rsidRPr="00000000" w14:paraId="00000680">
            <w:pPr>
              <w:spacing w:after="0" w:line="240" w:lineRule="auto"/>
              <w:jc w:val="right"/>
              <w:rPr>
                <w:sz w:val="20"/>
                <w:szCs w:val="20"/>
              </w:rPr>
            </w:pPr>
            <w:r w:rsidDel="00000000" w:rsidR="00000000" w:rsidRPr="00000000">
              <w:rPr>
                <w:rtl w:val="0"/>
              </w:rPr>
            </w:r>
          </w:p>
        </w:tc>
        <w:tc>
          <w:tcPr>
            <w:vAlign w:val="center"/>
          </w:tcPr>
          <w:p w:rsidR="00000000" w:rsidDel="00000000" w:rsidP="00000000" w:rsidRDefault="00000000" w:rsidRPr="00000000" w14:paraId="00000681">
            <w:pPr>
              <w:spacing w:after="0" w:line="240" w:lineRule="auto"/>
              <w:jc w:val="right"/>
              <w:rPr>
                <w:rFonts w:ascii="Times New Roman" w:cs="Times New Roman" w:eastAsia="Times New Roman" w:hAnsi="Times New Roman"/>
                <w:sz w:val="18"/>
                <w:szCs w:val="18"/>
              </w:rPr>
            </w:pPr>
            <w:r w:rsidDel="00000000" w:rsidR="00000000" w:rsidRPr="00000000">
              <w:rPr>
                <w:rtl w:val="0"/>
              </w:rPr>
            </w:r>
          </w:p>
        </w:tc>
        <w:tc>
          <w:tcPr>
            <w:shd w:fill="auto" w:val="clear"/>
            <w:vAlign w:val="center"/>
          </w:tcPr>
          <w:p w:rsidR="00000000" w:rsidDel="00000000" w:rsidP="00000000" w:rsidRDefault="00000000" w:rsidRPr="00000000" w14:paraId="00000682">
            <w:pPr>
              <w:spacing w:after="0" w:line="240" w:lineRule="auto"/>
              <w:jc w:val="right"/>
              <w:rPr>
                <w:rFonts w:ascii="Times New Roman" w:cs="Times New Roman" w:eastAsia="Times New Roman" w:hAnsi="Times New Roman"/>
                <w:sz w:val="18"/>
                <w:szCs w:val="18"/>
              </w:rPr>
            </w:pPr>
            <w:r w:rsidDel="00000000" w:rsidR="00000000" w:rsidRPr="00000000">
              <w:rPr>
                <w:rtl w:val="0"/>
              </w:rPr>
            </w:r>
          </w:p>
        </w:tc>
      </w:tr>
      <w:tr>
        <w:trPr>
          <w:cantSplit w:val="0"/>
          <w:trHeight w:val="300" w:hRule="atLeast"/>
          <w:tblHeader w:val="0"/>
        </w:trPr>
        <w:tc>
          <w:tcPr>
            <w:tcBorders>
              <w:left w:color="000000" w:space="0" w:sz="0" w:val="nil"/>
            </w:tcBorders>
            <w:shd w:fill="auto" w:val="clear"/>
            <w:vAlign w:val="center"/>
          </w:tcPr>
          <w:p w:rsidR="00000000" w:rsidDel="00000000" w:rsidP="00000000" w:rsidRDefault="00000000" w:rsidRPr="00000000" w14:paraId="00000683">
            <w:pPr>
              <w:spacing w:after="0" w:line="240" w:lineRule="auto"/>
              <w:rPr>
                <w:sz w:val="20"/>
                <w:szCs w:val="20"/>
              </w:rPr>
            </w:pPr>
            <w:r w:rsidDel="00000000" w:rsidR="00000000" w:rsidRPr="00000000">
              <w:rPr>
                <w:sz w:val="20"/>
                <w:szCs w:val="20"/>
                <w:rtl w:val="0"/>
              </w:rPr>
              <w:t xml:space="preserve">K1a4a1a2b</w:t>
            </w:r>
          </w:p>
        </w:tc>
        <w:tc>
          <w:tcPr>
            <w:shd w:fill="ffd9d9" w:val="clear"/>
            <w:vAlign w:val="center"/>
          </w:tcPr>
          <w:p w:rsidR="00000000" w:rsidDel="00000000" w:rsidP="00000000" w:rsidRDefault="00000000" w:rsidRPr="00000000" w14:paraId="00000684">
            <w:pPr>
              <w:spacing w:after="0" w:line="240" w:lineRule="auto"/>
              <w:jc w:val="right"/>
              <w:rPr>
                <w:b w:val="1"/>
                <w:sz w:val="20"/>
                <w:szCs w:val="20"/>
              </w:rPr>
            </w:pPr>
            <w:r w:rsidDel="00000000" w:rsidR="00000000" w:rsidRPr="00000000">
              <w:rPr>
                <w:b w:val="1"/>
                <w:sz w:val="20"/>
                <w:szCs w:val="20"/>
                <w:rtl w:val="0"/>
              </w:rPr>
              <w:t xml:space="preserve">2</w:t>
            </w:r>
          </w:p>
        </w:tc>
        <w:tc>
          <w:tcPr>
            <w:shd w:fill="ffd9d9" w:val="clear"/>
            <w:vAlign w:val="center"/>
          </w:tcPr>
          <w:p w:rsidR="00000000" w:rsidDel="00000000" w:rsidP="00000000" w:rsidRDefault="00000000" w:rsidRPr="00000000" w14:paraId="00000685">
            <w:pPr>
              <w:spacing w:after="0" w:line="240" w:lineRule="auto"/>
              <w:jc w:val="right"/>
              <w:rPr>
                <w:sz w:val="20"/>
                <w:szCs w:val="20"/>
              </w:rPr>
            </w:pPr>
            <w:r w:rsidDel="00000000" w:rsidR="00000000" w:rsidRPr="00000000">
              <w:rPr>
                <w:sz w:val="20"/>
                <w:szCs w:val="20"/>
                <w:rtl w:val="0"/>
              </w:rPr>
              <w:t xml:space="preserve">1</w:t>
            </w:r>
          </w:p>
        </w:tc>
        <w:tc>
          <w:tcPr>
            <w:shd w:fill="auto" w:val="clear"/>
            <w:vAlign w:val="center"/>
          </w:tcPr>
          <w:p w:rsidR="00000000" w:rsidDel="00000000" w:rsidP="00000000" w:rsidRDefault="00000000" w:rsidRPr="00000000" w14:paraId="00000686">
            <w:pPr>
              <w:spacing w:after="0" w:line="240" w:lineRule="auto"/>
              <w:jc w:val="right"/>
              <w:rPr>
                <w:sz w:val="20"/>
                <w:szCs w:val="20"/>
              </w:rPr>
            </w:pPr>
            <w:r w:rsidDel="00000000" w:rsidR="00000000" w:rsidRPr="00000000">
              <w:rPr>
                <w:rtl w:val="0"/>
              </w:rPr>
            </w:r>
          </w:p>
        </w:tc>
        <w:tc>
          <w:tcPr>
            <w:shd w:fill="ffd9d9" w:val="clear"/>
            <w:vAlign w:val="center"/>
          </w:tcPr>
          <w:p w:rsidR="00000000" w:rsidDel="00000000" w:rsidP="00000000" w:rsidRDefault="00000000" w:rsidRPr="00000000" w14:paraId="00000687">
            <w:pPr>
              <w:spacing w:after="0" w:line="240" w:lineRule="auto"/>
              <w:jc w:val="right"/>
              <w:rPr>
                <w:sz w:val="20"/>
                <w:szCs w:val="20"/>
              </w:rPr>
            </w:pPr>
            <w:r w:rsidDel="00000000" w:rsidR="00000000" w:rsidRPr="00000000">
              <w:rPr>
                <w:sz w:val="20"/>
                <w:szCs w:val="20"/>
                <w:rtl w:val="0"/>
              </w:rPr>
              <w:t xml:space="preserve">2</w:t>
            </w:r>
          </w:p>
        </w:tc>
        <w:tc>
          <w:tcPr>
            <w:shd w:fill="auto" w:val="clear"/>
            <w:vAlign w:val="center"/>
          </w:tcPr>
          <w:p w:rsidR="00000000" w:rsidDel="00000000" w:rsidP="00000000" w:rsidRDefault="00000000" w:rsidRPr="00000000" w14:paraId="00000688">
            <w:pPr>
              <w:spacing w:after="0" w:line="240" w:lineRule="auto"/>
              <w:jc w:val="right"/>
              <w:rPr>
                <w:sz w:val="20"/>
                <w:szCs w:val="20"/>
              </w:rPr>
            </w:pPr>
            <w:r w:rsidDel="00000000" w:rsidR="00000000" w:rsidRPr="00000000">
              <w:rPr>
                <w:rtl w:val="0"/>
              </w:rPr>
            </w:r>
          </w:p>
        </w:tc>
        <w:tc>
          <w:tcPr>
            <w:vAlign w:val="center"/>
          </w:tcPr>
          <w:p w:rsidR="00000000" w:rsidDel="00000000" w:rsidP="00000000" w:rsidRDefault="00000000" w:rsidRPr="00000000" w14:paraId="00000689">
            <w:pPr>
              <w:spacing w:after="0" w:line="240" w:lineRule="auto"/>
              <w:jc w:val="right"/>
              <w:rPr>
                <w:rFonts w:ascii="Times New Roman" w:cs="Times New Roman" w:eastAsia="Times New Roman" w:hAnsi="Times New Roman"/>
                <w:sz w:val="18"/>
                <w:szCs w:val="18"/>
              </w:rPr>
            </w:pPr>
            <w:r w:rsidDel="00000000" w:rsidR="00000000" w:rsidRPr="00000000">
              <w:rPr>
                <w:rtl w:val="0"/>
              </w:rPr>
            </w:r>
          </w:p>
        </w:tc>
        <w:tc>
          <w:tcPr>
            <w:shd w:fill="auto" w:val="clear"/>
            <w:vAlign w:val="center"/>
          </w:tcPr>
          <w:p w:rsidR="00000000" w:rsidDel="00000000" w:rsidP="00000000" w:rsidRDefault="00000000" w:rsidRPr="00000000" w14:paraId="0000068A">
            <w:pPr>
              <w:spacing w:after="0" w:line="240" w:lineRule="auto"/>
              <w:jc w:val="right"/>
              <w:rPr>
                <w:rFonts w:ascii="Times New Roman" w:cs="Times New Roman" w:eastAsia="Times New Roman" w:hAnsi="Times New Roman"/>
                <w:sz w:val="18"/>
                <w:szCs w:val="18"/>
              </w:rPr>
            </w:pPr>
            <w:r w:rsidDel="00000000" w:rsidR="00000000" w:rsidRPr="00000000">
              <w:rPr>
                <w:rtl w:val="0"/>
              </w:rPr>
            </w:r>
          </w:p>
        </w:tc>
      </w:tr>
      <w:tr>
        <w:trPr>
          <w:cantSplit w:val="0"/>
          <w:trHeight w:val="300" w:hRule="atLeast"/>
          <w:tblHeader w:val="0"/>
        </w:trPr>
        <w:tc>
          <w:tcPr>
            <w:tcBorders>
              <w:left w:color="000000" w:space="0" w:sz="0" w:val="nil"/>
              <w:bottom w:color="000000" w:space="0" w:sz="4" w:val="single"/>
            </w:tcBorders>
            <w:shd w:fill="auto" w:val="clear"/>
            <w:vAlign w:val="center"/>
          </w:tcPr>
          <w:p w:rsidR="00000000" w:rsidDel="00000000" w:rsidP="00000000" w:rsidRDefault="00000000" w:rsidRPr="00000000" w14:paraId="0000068B">
            <w:pPr>
              <w:spacing w:after="0" w:line="240" w:lineRule="auto"/>
              <w:rPr>
                <w:sz w:val="20"/>
                <w:szCs w:val="20"/>
              </w:rPr>
            </w:pPr>
            <w:r w:rsidDel="00000000" w:rsidR="00000000" w:rsidRPr="00000000">
              <w:rPr>
                <w:sz w:val="20"/>
                <w:szCs w:val="20"/>
                <w:rtl w:val="0"/>
              </w:rPr>
              <w:t xml:space="preserve">I1a1</w:t>
            </w:r>
          </w:p>
        </w:tc>
        <w:tc>
          <w:tcPr>
            <w:tcBorders>
              <w:bottom w:color="000000" w:space="0" w:sz="4" w:val="single"/>
            </w:tcBorders>
            <w:shd w:fill="ffd9d9" w:val="clear"/>
            <w:vAlign w:val="center"/>
          </w:tcPr>
          <w:p w:rsidR="00000000" w:rsidDel="00000000" w:rsidP="00000000" w:rsidRDefault="00000000" w:rsidRPr="00000000" w14:paraId="0000068C">
            <w:pPr>
              <w:spacing w:after="0" w:line="240" w:lineRule="auto"/>
              <w:jc w:val="right"/>
              <w:rPr>
                <w:b w:val="1"/>
                <w:sz w:val="20"/>
                <w:szCs w:val="20"/>
              </w:rPr>
            </w:pPr>
            <w:r w:rsidDel="00000000" w:rsidR="00000000" w:rsidRPr="00000000">
              <w:rPr>
                <w:b w:val="1"/>
                <w:sz w:val="20"/>
                <w:szCs w:val="20"/>
                <w:rtl w:val="0"/>
              </w:rPr>
              <w:t xml:space="preserve">1</w:t>
            </w:r>
          </w:p>
        </w:tc>
        <w:tc>
          <w:tcPr>
            <w:tcBorders>
              <w:bottom w:color="000000" w:space="0" w:sz="4" w:val="single"/>
            </w:tcBorders>
            <w:shd w:fill="auto" w:val="clear"/>
            <w:vAlign w:val="center"/>
          </w:tcPr>
          <w:p w:rsidR="00000000" w:rsidDel="00000000" w:rsidP="00000000" w:rsidRDefault="00000000" w:rsidRPr="00000000" w14:paraId="0000068D">
            <w:pPr>
              <w:spacing w:after="0" w:line="240" w:lineRule="auto"/>
              <w:jc w:val="right"/>
              <w:rPr>
                <w:sz w:val="20"/>
                <w:szCs w:val="20"/>
              </w:rPr>
            </w:pPr>
            <w:r w:rsidDel="00000000" w:rsidR="00000000" w:rsidRPr="00000000">
              <w:rPr>
                <w:rtl w:val="0"/>
              </w:rPr>
            </w:r>
          </w:p>
        </w:tc>
        <w:tc>
          <w:tcPr>
            <w:tcBorders>
              <w:bottom w:color="000000" w:space="0" w:sz="4" w:val="single"/>
            </w:tcBorders>
            <w:shd w:fill="ffd9d9" w:val="clear"/>
            <w:vAlign w:val="center"/>
          </w:tcPr>
          <w:p w:rsidR="00000000" w:rsidDel="00000000" w:rsidP="00000000" w:rsidRDefault="00000000" w:rsidRPr="00000000" w14:paraId="0000068E">
            <w:pPr>
              <w:spacing w:after="0" w:line="240" w:lineRule="auto"/>
              <w:jc w:val="right"/>
              <w:rPr>
                <w:sz w:val="20"/>
                <w:szCs w:val="20"/>
              </w:rPr>
            </w:pPr>
            <w:r w:rsidDel="00000000" w:rsidR="00000000" w:rsidRPr="00000000">
              <w:rPr>
                <w:sz w:val="20"/>
                <w:szCs w:val="20"/>
                <w:rtl w:val="0"/>
              </w:rPr>
              <w:t xml:space="preserve">1</w:t>
            </w:r>
          </w:p>
        </w:tc>
        <w:tc>
          <w:tcPr>
            <w:tcBorders>
              <w:bottom w:color="000000" w:space="0" w:sz="4" w:val="single"/>
            </w:tcBorders>
            <w:shd w:fill="ffd9d9" w:val="clear"/>
            <w:vAlign w:val="center"/>
          </w:tcPr>
          <w:p w:rsidR="00000000" w:rsidDel="00000000" w:rsidP="00000000" w:rsidRDefault="00000000" w:rsidRPr="00000000" w14:paraId="0000068F">
            <w:pPr>
              <w:spacing w:after="0" w:line="240" w:lineRule="auto"/>
              <w:jc w:val="right"/>
              <w:rPr>
                <w:sz w:val="20"/>
                <w:szCs w:val="20"/>
              </w:rPr>
            </w:pPr>
            <w:r w:rsidDel="00000000" w:rsidR="00000000" w:rsidRPr="00000000">
              <w:rPr>
                <w:sz w:val="20"/>
                <w:szCs w:val="20"/>
                <w:rtl w:val="0"/>
              </w:rPr>
              <w:t xml:space="preserve">1</w:t>
            </w:r>
          </w:p>
        </w:tc>
        <w:tc>
          <w:tcPr>
            <w:tcBorders>
              <w:bottom w:color="000000" w:space="0" w:sz="4" w:val="single"/>
            </w:tcBorders>
            <w:shd w:fill="ffd9d9" w:val="clear"/>
            <w:vAlign w:val="center"/>
          </w:tcPr>
          <w:p w:rsidR="00000000" w:rsidDel="00000000" w:rsidP="00000000" w:rsidRDefault="00000000" w:rsidRPr="00000000" w14:paraId="00000690">
            <w:pPr>
              <w:spacing w:after="0" w:line="240" w:lineRule="auto"/>
              <w:jc w:val="right"/>
              <w:rPr>
                <w:sz w:val="20"/>
                <w:szCs w:val="20"/>
              </w:rPr>
            </w:pPr>
            <w:r w:rsidDel="00000000" w:rsidR="00000000" w:rsidRPr="00000000">
              <w:rPr>
                <w:sz w:val="20"/>
                <w:szCs w:val="20"/>
                <w:rtl w:val="0"/>
              </w:rPr>
              <w:t xml:space="preserve">1</w:t>
            </w:r>
          </w:p>
        </w:tc>
        <w:tc>
          <w:tcPr>
            <w:tcBorders>
              <w:bottom w:color="000000" w:space="0" w:sz="4" w:val="single"/>
            </w:tcBorders>
            <w:vAlign w:val="center"/>
          </w:tcPr>
          <w:p w:rsidR="00000000" w:rsidDel="00000000" w:rsidP="00000000" w:rsidRDefault="00000000" w:rsidRPr="00000000" w14:paraId="00000691">
            <w:pPr>
              <w:spacing w:after="0" w:line="240" w:lineRule="auto"/>
              <w:jc w:val="right"/>
              <w:rPr>
                <w:rFonts w:ascii="Times New Roman" w:cs="Times New Roman" w:eastAsia="Times New Roman" w:hAnsi="Times New Roman"/>
                <w:sz w:val="18"/>
                <w:szCs w:val="18"/>
              </w:rPr>
            </w:pPr>
            <w:r w:rsidDel="00000000" w:rsidR="00000000" w:rsidRPr="00000000">
              <w:rPr>
                <w:rtl w:val="0"/>
              </w:rPr>
            </w:r>
          </w:p>
        </w:tc>
        <w:tc>
          <w:tcPr>
            <w:tcBorders>
              <w:bottom w:color="000000" w:space="0" w:sz="4" w:val="single"/>
            </w:tcBorders>
            <w:shd w:fill="auto" w:val="clear"/>
            <w:vAlign w:val="center"/>
          </w:tcPr>
          <w:p w:rsidR="00000000" w:rsidDel="00000000" w:rsidP="00000000" w:rsidRDefault="00000000" w:rsidRPr="00000000" w14:paraId="00000692">
            <w:pPr>
              <w:spacing w:after="0" w:line="240" w:lineRule="auto"/>
              <w:jc w:val="right"/>
              <w:rPr>
                <w:rFonts w:ascii="Times New Roman" w:cs="Times New Roman" w:eastAsia="Times New Roman" w:hAnsi="Times New Roman"/>
                <w:sz w:val="18"/>
                <w:szCs w:val="18"/>
              </w:rPr>
            </w:pPr>
            <w:r w:rsidDel="00000000" w:rsidR="00000000" w:rsidRPr="00000000">
              <w:rPr>
                <w:rtl w:val="0"/>
              </w:rPr>
            </w:r>
          </w:p>
        </w:tc>
      </w:tr>
    </w:tbl>
    <w:p w:rsidR="00000000" w:rsidDel="00000000" w:rsidP="00000000" w:rsidRDefault="00000000" w:rsidRPr="00000000" w14:paraId="00000693">
      <w:pPr>
        <w:spacing w:before="240" w:lineRule="auto"/>
        <w:jc w:val="both"/>
        <w:rPr/>
      </w:pPr>
      <w:r w:rsidDel="00000000" w:rsidR="00000000" w:rsidRPr="00000000">
        <w:rPr>
          <w:rtl w:val="0"/>
        </w:rPr>
        <w:t xml:space="preserve">As before, these lineages were present in all sampled regions in England EMA, with the exception of England Southwest (Supp Table 2.4). Five out of 13 occurrences were found at a single site, West Heslerton, in the North of England. While the matches at the sources were found across all sampled countries. These observations remain valid even when the “uncertain” lineages are excluded. </w:t>
      </w:r>
    </w:p>
    <w:p w:rsidR="00000000" w:rsidDel="00000000" w:rsidP="00000000" w:rsidRDefault="00000000" w:rsidRPr="00000000" w14:paraId="00000694">
      <w:pPr>
        <w:spacing w:before="240" w:lineRule="auto"/>
        <w:jc w:val="both"/>
        <w:rPr/>
      </w:pPr>
      <w:r w:rsidDel="00000000" w:rsidR="00000000" w:rsidRPr="00000000">
        <w:rPr>
          <w:rtl w:val="0"/>
        </w:rPr>
        <w:t xml:space="preserve">We detected 17 lineages shared only among the Continental Medieval groups (Supp. Table 2.7) and we labelled six of these (HV+16311, H13a1a1a, K1a*, T2b+152, U4a2a and W1*) as “uncertain.” We found a single occurrence of one of these “uncertain” lineages, T2b+152, in the Ire_MA group.</w:t>
      </w:r>
    </w:p>
    <w:p w:rsidR="00000000" w:rsidDel="00000000" w:rsidP="00000000" w:rsidRDefault="00000000" w:rsidRPr="00000000" w14:paraId="00000695">
      <w:pPr>
        <w:keepNext w:val="1"/>
        <w:spacing w:after="200" w:line="240" w:lineRule="auto"/>
        <w:jc w:val="both"/>
        <w:rPr>
          <w:i w:val="1"/>
          <w:sz w:val="18"/>
          <w:szCs w:val="18"/>
        </w:rPr>
      </w:pPr>
      <w:r w:rsidDel="00000000" w:rsidR="00000000" w:rsidRPr="00000000">
        <w:rPr>
          <w:i w:val="1"/>
          <w:sz w:val="18"/>
          <w:szCs w:val="18"/>
          <w:rtl w:val="0"/>
        </w:rPr>
        <w:t xml:space="preserve">Supp. Table 2.7. Mitochondrial lineages shared between the two Continental Medieval groups (North Sea region &amp; Scandinavian Peninsula). Lineages in italics are labelled as “uncertain” as they are either too nodal, or not supported by the sharing pattern of other sister lineages. The numbers represent the number of individuals carrying each lineage.</w:t>
      </w:r>
    </w:p>
    <w:tbl>
      <w:tblPr>
        <w:tblStyle w:val="Table6"/>
        <w:tblW w:w="9675.0" w:type="dxa"/>
        <w:jc w:val="center"/>
        <w:tblBorders>
          <w:top w:color="000000" w:space="0" w:sz="4" w:val="single"/>
          <w:left w:color="000000" w:space="0" w:sz="4" w:val="single"/>
          <w:bottom w:color="000000" w:space="0" w:sz="4" w:val="single"/>
          <w:right w:color="000000" w:space="0" w:sz="4" w:val="single"/>
          <w:insideV w:color="000000" w:space="0" w:sz="4" w:val="single"/>
        </w:tblBorders>
        <w:tblLayout w:type="fixed"/>
        <w:tblLook w:val="0400"/>
      </w:tblPr>
      <w:tblGrid>
        <w:gridCol w:w="1125"/>
        <w:gridCol w:w="1035"/>
        <w:gridCol w:w="1140"/>
        <w:gridCol w:w="1335"/>
        <w:gridCol w:w="1080"/>
        <w:gridCol w:w="1545"/>
        <w:gridCol w:w="1200"/>
        <w:gridCol w:w="1215"/>
        <w:tblGridChange w:id="0">
          <w:tblGrid>
            <w:gridCol w:w="1125"/>
            <w:gridCol w:w="1035"/>
            <w:gridCol w:w="1140"/>
            <w:gridCol w:w="1335"/>
            <w:gridCol w:w="1080"/>
            <w:gridCol w:w="1545"/>
            <w:gridCol w:w="1200"/>
            <w:gridCol w:w="1215"/>
          </w:tblGrid>
        </w:tblGridChange>
      </w:tblGrid>
      <w:tr>
        <w:trPr>
          <w:cantSplit w:val="1"/>
          <w:trHeight w:val="2341" w:hRule="atLeast"/>
          <w:tblHeader w:val="0"/>
        </w:trPr>
        <w:tc>
          <w:tcPr>
            <w:tcBorders>
              <w:top w:color="000000" w:space="0" w:sz="0" w:val="nil"/>
              <w:left w:color="000000" w:space="0" w:sz="0" w:val="nil"/>
              <w:bottom w:color="000000" w:space="0" w:sz="4" w:val="single"/>
            </w:tcBorders>
            <w:shd w:fill="auto" w:val="clear"/>
            <w:vAlign w:val="bottom"/>
          </w:tcPr>
          <w:p w:rsidR="00000000" w:rsidDel="00000000" w:rsidP="00000000" w:rsidRDefault="00000000" w:rsidRPr="00000000" w14:paraId="00000696">
            <w:pPr>
              <w:spacing w:after="0" w:line="240" w:lineRule="auto"/>
              <w:rPr>
                <w:b w:val="1"/>
                <w:sz w:val="20"/>
                <w:szCs w:val="20"/>
              </w:rPr>
            </w:pPr>
            <w:r w:rsidDel="00000000" w:rsidR="00000000" w:rsidRPr="00000000">
              <w:rPr>
                <w:b w:val="1"/>
                <w:sz w:val="20"/>
                <w:szCs w:val="20"/>
                <w:rtl w:val="0"/>
              </w:rPr>
              <w:t xml:space="preserve">Lineages</w:t>
            </w:r>
          </w:p>
        </w:tc>
        <w:tc>
          <w:tcPr>
            <w:tcBorders>
              <w:top w:color="000000" w:space="0" w:sz="4" w:val="single"/>
              <w:bottom w:color="000000" w:space="0" w:sz="4" w:val="single"/>
            </w:tcBorders>
            <w:shd w:fill="auto" w:val="clear"/>
            <w:vAlign w:val="center"/>
          </w:tcPr>
          <w:p w:rsidR="00000000" w:rsidDel="00000000" w:rsidP="00000000" w:rsidRDefault="00000000" w:rsidRPr="00000000" w14:paraId="00000697">
            <w:pPr>
              <w:spacing w:after="0" w:line="240" w:lineRule="auto"/>
              <w:ind w:right="-22"/>
              <w:rPr>
                <w:b w:val="1"/>
                <w:color w:val="ed7d31"/>
                <w:sz w:val="20"/>
                <w:szCs w:val="20"/>
              </w:rPr>
            </w:pPr>
            <w:r w:rsidDel="00000000" w:rsidR="00000000" w:rsidRPr="00000000">
              <w:rPr>
                <w:b w:val="1"/>
                <w:color w:val="ed7d31"/>
                <w:sz w:val="20"/>
                <w:szCs w:val="20"/>
                <w:rtl w:val="0"/>
              </w:rPr>
              <w:t xml:space="preserve">Eng_EMA (</w:t>
            </w:r>
            <w:r w:rsidDel="00000000" w:rsidR="00000000" w:rsidRPr="00000000">
              <w:rPr>
                <w:b w:val="1"/>
                <w:i w:val="1"/>
                <w:color w:val="ed7d31"/>
                <w:sz w:val="20"/>
                <w:szCs w:val="20"/>
                <w:rtl w:val="0"/>
              </w:rPr>
              <w:t xml:space="preserve">n</w:t>
            </w:r>
            <w:r w:rsidDel="00000000" w:rsidR="00000000" w:rsidRPr="00000000">
              <w:rPr>
                <w:b w:val="1"/>
                <w:color w:val="ed7d31"/>
                <w:sz w:val="20"/>
                <w:szCs w:val="20"/>
                <w:rtl w:val="0"/>
              </w:rPr>
              <w:t xml:space="preserve">=249)</w:t>
            </w:r>
          </w:p>
        </w:tc>
        <w:tc>
          <w:tcPr>
            <w:tcBorders>
              <w:top w:color="000000" w:space="0" w:sz="4" w:val="single"/>
              <w:bottom w:color="000000" w:space="0" w:sz="4" w:val="single"/>
            </w:tcBorders>
            <w:shd w:fill="f2f2f2" w:val="clear"/>
            <w:vAlign w:val="center"/>
          </w:tcPr>
          <w:p w:rsidR="00000000" w:rsidDel="00000000" w:rsidP="00000000" w:rsidRDefault="00000000" w:rsidRPr="00000000" w14:paraId="00000698">
            <w:pPr>
              <w:spacing w:after="0" w:line="240" w:lineRule="auto"/>
              <w:ind w:right="-34"/>
              <w:rPr>
                <w:color w:val="375623"/>
                <w:sz w:val="20"/>
                <w:szCs w:val="20"/>
              </w:rPr>
            </w:pPr>
            <w:r w:rsidDel="00000000" w:rsidR="00000000" w:rsidRPr="00000000">
              <w:rPr>
                <w:color w:val="375623"/>
                <w:sz w:val="20"/>
                <w:szCs w:val="20"/>
                <w:rtl w:val="0"/>
              </w:rPr>
              <w:t xml:space="preserve">NorthSea_BA_IA_EMA (</w:t>
            </w:r>
            <w:r w:rsidDel="00000000" w:rsidR="00000000" w:rsidRPr="00000000">
              <w:rPr>
                <w:i w:val="1"/>
                <w:color w:val="375623"/>
                <w:sz w:val="20"/>
                <w:szCs w:val="20"/>
                <w:rtl w:val="0"/>
              </w:rPr>
              <w:t xml:space="preserve">n</w:t>
            </w:r>
            <w:r w:rsidDel="00000000" w:rsidR="00000000" w:rsidRPr="00000000">
              <w:rPr>
                <w:color w:val="375623"/>
                <w:sz w:val="20"/>
                <w:szCs w:val="20"/>
                <w:rtl w:val="0"/>
              </w:rPr>
              <w:t xml:space="preserve">=199)</w:t>
            </w:r>
          </w:p>
        </w:tc>
        <w:tc>
          <w:tcPr>
            <w:tcBorders>
              <w:top w:color="000000" w:space="0" w:sz="4" w:val="single"/>
              <w:bottom w:color="000000" w:space="0" w:sz="4" w:val="single"/>
            </w:tcBorders>
            <w:shd w:fill="f2f2f2" w:val="clear"/>
            <w:vAlign w:val="center"/>
          </w:tcPr>
          <w:p w:rsidR="00000000" w:rsidDel="00000000" w:rsidP="00000000" w:rsidRDefault="00000000" w:rsidRPr="00000000" w14:paraId="00000699">
            <w:pPr>
              <w:spacing w:after="0" w:line="240" w:lineRule="auto"/>
              <w:ind w:right="-22"/>
              <w:rPr>
                <w:color w:val="548235"/>
                <w:sz w:val="20"/>
                <w:szCs w:val="20"/>
              </w:rPr>
            </w:pPr>
            <w:r w:rsidDel="00000000" w:rsidR="00000000" w:rsidRPr="00000000">
              <w:rPr>
                <w:color w:val="548235"/>
                <w:sz w:val="20"/>
                <w:szCs w:val="20"/>
                <w:rtl w:val="0"/>
              </w:rPr>
              <w:t xml:space="preserve">VK_NorthSea (</w:t>
            </w:r>
            <w:r w:rsidDel="00000000" w:rsidR="00000000" w:rsidRPr="00000000">
              <w:rPr>
                <w:i w:val="1"/>
                <w:color w:val="548235"/>
                <w:sz w:val="20"/>
                <w:szCs w:val="20"/>
                <w:rtl w:val="0"/>
              </w:rPr>
              <w:t xml:space="preserve">n</w:t>
            </w:r>
            <w:r w:rsidDel="00000000" w:rsidR="00000000" w:rsidRPr="00000000">
              <w:rPr>
                <w:color w:val="548235"/>
                <w:sz w:val="20"/>
                <w:szCs w:val="20"/>
                <w:rtl w:val="0"/>
              </w:rPr>
              <w:t xml:space="preserve">=83)</w:t>
            </w:r>
          </w:p>
        </w:tc>
        <w:tc>
          <w:tcPr>
            <w:tcBorders>
              <w:top w:color="000000" w:space="0" w:sz="4" w:val="single"/>
              <w:bottom w:color="000000" w:space="0" w:sz="4" w:val="single"/>
            </w:tcBorders>
            <w:shd w:fill="f2f2f2" w:val="clear"/>
            <w:vAlign w:val="center"/>
          </w:tcPr>
          <w:p w:rsidR="00000000" w:rsidDel="00000000" w:rsidP="00000000" w:rsidRDefault="00000000" w:rsidRPr="00000000" w14:paraId="0000069A">
            <w:pPr>
              <w:spacing w:after="0" w:line="240" w:lineRule="auto"/>
              <w:ind w:right="-22"/>
              <w:rPr>
                <w:color w:val="0000ff"/>
                <w:sz w:val="20"/>
                <w:szCs w:val="20"/>
              </w:rPr>
            </w:pPr>
            <w:r w:rsidDel="00000000" w:rsidR="00000000" w:rsidRPr="00000000">
              <w:rPr>
                <w:color w:val="0000ff"/>
                <w:sz w:val="20"/>
                <w:szCs w:val="20"/>
                <w:rtl w:val="0"/>
              </w:rPr>
              <w:t xml:space="preserve">VK_Scand (</w:t>
            </w:r>
            <w:r w:rsidDel="00000000" w:rsidR="00000000" w:rsidRPr="00000000">
              <w:rPr>
                <w:i w:val="1"/>
                <w:color w:val="0000ff"/>
                <w:sz w:val="20"/>
                <w:szCs w:val="20"/>
                <w:rtl w:val="0"/>
              </w:rPr>
              <w:t xml:space="preserve">n</w:t>
            </w:r>
            <w:r w:rsidDel="00000000" w:rsidR="00000000" w:rsidRPr="00000000">
              <w:rPr>
                <w:color w:val="0000ff"/>
                <w:sz w:val="20"/>
                <w:szCs w:val="20"/>
                <w:rtl w:val="0"/>
              </w:rPr>
              <w:t xml:space="preserve">=170)</w:t>
            </w:r>
          </w:p>
        </w:tc>
        <w:tc>
          <w:tcPr>
            <w:tcBorders>
              <w:top w:color="000000" w:space="0" w:sz="4" w:val="single"/>
              <w:bottom w:color="000000" w:space="0" w:sz="4" w:val="single"/>
            </w:tcBorders>
            <w:shd w:fill="f2f2f2" w:val="clear"/>
            <w:vAlign w:val="center"/>
          </w:tcPr>
          <w:p w:rsidR="00000000" w:rsidDel="00000000" w:rsidP="00000000" w:rsidRDefault="00000000" w:rsidRPr="00000000" w14:paraId="0000069B">
            <w:pPr>
              <w:spacing w:after="0" w:line="240" w:lineRule="auto"/>
              <w:ind w:right="-22"/>
              <w:rPr>
                <w:color w:val="0000ff"/>
                <w:sz w:val="20"/>
                <w:szCs w:val="20"/>
              </w:rPr>
            </w:pPr>
            <w:r w:rsidDel="00000000" w:rsidR="00000000" w:rsidRPr="00000000">
              <w:rPr>
                <w:color w:val="2e75b5"/>
                <w:sz w:val="20"/>
                <w:szCs w:val="20"/>
                <w:rtl w:val="0"/>
              </w:rPr>
              <w:t xml:space="preserve">Scand_IA_EMA (</w:t>
            </w:r>
            <w:r w:rsidDel="00000000" w:rsidR="00000000" w:rsidRPr="00000000">
              <w:rPr>
                <w:i w:val="1"/>
                <w:color w:val="2e75b5"/>
                <w:sz w:val="20"/>
                <w:szCs w:val="20"/>
                <w:rtl w:val="0"/>
              </w:rPr>
              <w:t xml:space="preserve">n</w:t>
            </w:r>
            <w:r w:rsidDel="00000000" w:rsidR="00000000" w:rsidRPr="00000000">
              <w:rPr>
                <w:color w:val="2e75b5"/>
                <w:sz w:val="20"/>
                <w:szCs w:val="20"/>
                <w:rtl w:val="0"/>
              </w:rPr>
              <w:t xml:space="preserve">=14)</w:t>
            </w:r>
            <w:r w:rsidDel="00000000" w:rsidR="00000000" w:rsidRPr="00000000">
              <w:rPr>
                <w:rtl w:val="0"/>
              </w:rPr>
            </w:r>
          </w:p>
        </w:tc>
        <w:tc>
          <w:tcPr>
            <w:tcBorders>
              <w:top w:color="000000" w:space="0" w:sz="4" w:val="single"/>
              <w:bottom w:color="000000" w:space="0" w:sz="4" w:val="single"/>
            </w:tcBorders>
            <w:shd w:fill="f2f2f2" w:val="clear"/>
            <w:vAlign w:val="center"/>
          </w:tcPr>
          <w:p w:rsidR="00000000" w:rsidDel="00000000" w:rsidP="00000000" w:rsidRDefault="00000000" w:rsidRPr="00000000" w14:paraId="0000069C">
            <w:pPr>
              <w:spacing w:after="0" w:line="240" w:lineRule="auto"/>
              <w:ind w:right="-34"/>
              <w:rPr>
                <w:color w:val="cc0099"/>
                <w:sz w:val="20"/>
                <w:szCs w:val="20"/>
              </w:rPr>
            </w:pPr>
            <w:r w:rsidDel="00000000" w:rsidR="00000000" w:rsidRPr="00000000">
              <w:rPr>
                <w:color w:val="7030a0"/>
                <w:sz w:val="20"/>
                <w:szCs w:val="20"/>
                <w:rtl w:val="0"/>
              </w:rPr>
              <w:t xml:space="preserve">VK_Brit&amp;Ire</w:t>
            </w:r>
            <w:r w:rsidDel="00000000" w:rsidR="00000000" w:rsidRPr="00000000">
              <w:rPr>
                <w:rtl w:val="0"/>
              </w:rPr>
              <w:t xml:space="preserve"> </w:t>
            </w:r>
            <w:r w:rsidDel="00000000" w:rsidR="00000000" w:rsidRPr="00000000">
              <w:rPr>
                <w:color w:val="7030a0"/>
                <w:sz w:val="20"/>
                <w:szCs w:val="20"/>
                <w:rtl w:val="0"/>
              </w:rPr>
              <w:t xml:space="preserve">(</w:t>
            </w:r>
            <w:r w:rsidDel="00000000" w:rsidR="00000000" w:rsidRPr="00000000">
              <w:rPr>
                <w:i w:val="1"/>
                <w:color w:val="7030a0"/>
                <w:sz w:val="20"/>
                <w:szCs w:val="20"/>
                <w:rtl w:val="0"/>
              </w:rPr>
              <w:t xml:space="preserve">n</w:t>
            </w:r>
            <w:r w:rsidDel="00000000" w:rsidR="00000000" w:rsidRPr="00000000">
              <w:rPr>
                <w:color w:val="7030a0"/>
                <w:sz w:val="20"/>
                <w:szCs w:val="20"/>
                <w:rtl w:val="0"/>
              </w:rPr>
              <w:t xml:space="preserve">=44)</w:t>
            </w:r>
            <w:r w:rsidDel="00000000" w:rsidR="00000000" w:rsidRPr="00000000">
              <w:rPr>
                <w:rtl w:val="0"/>
              </w:rPr>
            </w:r>
          </w:p>
        </w:tc>
        <w:tc>
          <w:tcPr>
            <w:tcBorders>
              <w:top w:color="000000" w:space="0" w:sz="4" w:val="single"/>
              <w:bottom w:color="000000" w:space="0" w:sz="4" w:val="single"/>
            </w:tcBorders>
            <w:shd w:fill="f2f2f2" w:val="clear"/>
            <w:vAlign w:val="center"/>
          </w:tcPr>
          <w:p w:rsidR="00000000" w:rsidDel="00000000" w:rsidP="00000000" w:rsidRDefault="00000000" w:rsidRPr="00000000" w14:paraId="0000069D">
            <w:pPr>
              <w:spacing w:after="0" w:line="240" w:lineRule="auto"/>
              <w:ind w:right="-22"/>
              <w:rPr>
                <w:color w:val="cc0099"/>
                <w:sz w:val="20"/>
                <w:szCs w:val="20"/>
              </w:rPr>
            </w:pPr>
            <w:r w:rsidDel="00000000" w:rsidR="00000000" w:rsidRPr="00000000">
              <w:rPr>
                <w:color w:val="cc0099"/>
                <w:sz w:val="20"/>
                <w:szCs w:val="20"/>
                <w:rtl w:val="0"/>
              </w:rPr>
              <w:t xml:space="preserve">Ire_MA (</w:t>
            </w:r>
            <w:r w:rsidDel="00000000" w:rsidR="00000000" w:rsidRPr="00000000">
              <w:rPr>
                <w:i w:val="1"/>
                <w:color w:val="cc0099"/>
                <w:sz w:val="20"/>
                <w:szCs w:val="20"/>
                <w:rtl w:val="0"/>
              </w:rPr>
              <w:t xml:space="preserve">n</w:t>
            </w:r>
            <w:r w:rsidDel="00000000" w:rsidR="00000000" w:rsidRPr="00000000">
              <w:rPr>
                <w:color w:val="cc0099"/>
                <w:sz w:val="20"/>
                <w:szCs w:val="20"/>
                <w:rtl w:val="0"/>
              </w:rPr>
              <w:t xml:space="preserve">=38)</w:t>
            </w:r>
          </w:p>
        </w:tc>
      </w:tr>
      <w:tr>
        <w:trPr>
          <w:cantSplit w:val="0"/>
          <w:trHeight w:val="300" w:hRule="atLeast"/>
          <w:tblHeader w:val="0"/>
        </w:trPr>
        <w:tc>
          <w:tcPr>
            <w:tcBorders>
              <w:top w:color="000000" w:space="0" w:sz="4" w:val="single"/>
              <w:left w:color="000000" w:space="0" w:sz="0" w:val="nil"/>
            </w:tcBorders>
            <w:shd w:fill="auto" w:val="clear"/>
            <w:vAlign w:val="center"/>
          </w:tcPr>
          <w:p w:rsidR="00000000" w:rsidDel="00000000" w:rsidP="00000000" w:rsidRDefault="00000000" w:rsidRPr="00000000" w14:paraId="0000069E">
            <w:pPr>
              <w:spacing w:after="0" w:line="240" w:lineRule="auto"/>
              <w:rPr>
                <w:sz w:val="20"/>
                <w:szCs w:val="20"/>
              </w:rPr>
            </w:pPr>
            <w:r w:rsidDel="00000000" w:rsidR="00000000" w:rsidRPr="00000000">
              <w:rPr>
                <w:i w:val="1"/>
                <w:sz w:val="20"/>
                <w:szCs w:val="20"/>
                <w:rtl w:val="0"/>
              </w:rPr>
              <w:t xml:space="preserve">HV+16311</w:t>
            </w:r>
            <w:r w:rsidDel="00000000" w:rsidR="00000000" w:rsidRPr="00000000">
              <w:rPr>
                <w:rtl w:val="0"/>
              </w:rPr>
            </w:r>
          </w:p>
        </w:tc>
        <w:tc>
          <w:tcPr>
            <w:tcBorders>
              <w:top w:color="000000" w:space="0" w:sz="4" w:val="single"/>
            </w:tcBorders>
            <w:shd w:fill="auto" w:val="clear"/>
            <w:vAlign w:val="center"/>
          </w:tcPr>
          <w:p w:rsidR="00000000" w:rsidDel="00000000" w:rsidP="00000000" w:rsidRDefault="00000000" w:rsidRPr="00000000" w14:paraId="0000069F">
            <w:pPr>
              <w:spacing w:after="0" w:line="240" w:lineRule="auto"/>
              <w:jc w:val="right"/>
              <w:rPr>
                <w:rFonts w:ascii="Times New Roman" w:cs="Times New Roman" w:eastAsia="Times New Roman" w:hAnsi="Times New Roman"/>
                <w:sz w:val="18"/>
                <w:szCs w:val="18"/>
              </w:rPr>
            </w:pPr>
            <w:r w:rsidDel="00000000" w:rsidR="00000000" w:rsidRPr="00000000">
              <w:rPr>
                <w:rtl w:val="0"/>
              </w:rPr>
            </w:r>
          </w:p>
        </w:tc>
        <w:tc>
          <w:tcPr>
            <w:tcBorders>
              <w:top w:color="000000" w:space="0" w:sz="4" w:val="single"/>
            </w:tcBorders>
            <w:shd w:fill="fde8db" w:val="clear"/>
            <w:vAlign w:val="center"/>
          </w:tcPr>
          <w:p w:rsidR="00000000" w:rsidDel="00000000" w:rsidP="00000000" w:rsidRDefault="00000000" w:rsidRPr="00000000" w14:paraId="000006A0">
            <w:pPr>
              <w:spacing w:after="0" w:line="240" w:lineRule="auto"/>
              <w:jc w:val="right"/>
              <w:rPr>
                <w:sz w:val="20"/>
                <w:szCs w:val="20"/>
              </w:rPr>
            </w:pPr>
            <w:r w:rsidDel="00000000" w:rsidR="00000000" w:rsidRPr="00000000">
              <w:rPr>
                <w:sz w:val="20"/>
                <w:szCs w:val="20"/>
                <w:rtl w:val="0"/>
              </w:rPr>
              <w:t xml:space="preserve">2</w:t>
            </w:r>
          </w:p>
        </w:tc>
        <w:tc>
          <w:tcPr>
            <w:tcBorders>
              <w:top w:color="000000" w:space="0" w:sz="4" w:val="single"/>
            </w:tcBorders>
            <w:shd w:fill="auto" w:val="clear"/>
            <w:vAlign w:val="center"/>
          </w:tcPr>
          <w:p w:rsidR="00000000" w:rsidDel="00000000" w:rsidP="00000000" w:rsidRDefault="00000000" w:rsidRPr="00000000" w14:paraId="000006A1">
            <w:pPr>
              <w:spacing w:after="0" w:line="240" w:lineRule="auto"/>
              <w:jc w:val="right"/>
              <w:rPr>
                <w:sz w:val="20"/>
                <w:szCs w:val="20"/>
              </w:rPr>
            </w:pPr>
            <w:r w:rsidDel="00000000" w:rsidR="00000000" w:rsidRPr="00000000">
              <w:rPr>
                <w:rtl w:val="0"/>
              </w:rPr>
            </w:r>
          </w:p>
        </w:tc>
        <w:tc>
          <w:tcPr>
            <w:tcBorders>
              <w:top w:color="000000" w:space="0" w:sz="4" w:val="single"/>
            </w:tcBorders>
            <w:shd w:fill="fde8db" w:val="clear"/>
            <w:vAlign w:val="center"/>
          </w:tcPr>
          <w:p w:rsidR="00000000" w:rsidDel="00000000" w:rsidP="00000000" w:rsidRDefault="00000000" w:rsidRPr="00000000" w14:paraId="000006A2">
            <w:pPr>
              <w:spacing w:after="0" w:line="240" w:lineRule="auto"/>
              <w:jc w:val="right"/>
              <w:rPr>
                <w:sz w:val="20"/>
                <w:szCs w:val="20"/>
              </w:rPr>
            </w:pPr>
            <w:r w:rsidDel="00000000" w:rsidR="00000000" w:rsidRPr="00000000">
              <w:rPr>
                <w:sz w:val="20"/>
                <w:szCs w:val="20"/>
                <w:rtl w:val="0"/>
              </w:rPr>
              <w:t xml:space="preserve">1</w:t>
            </w:r>
          </w:p>
        </w:tc>
        <w:tc>
          <w:tcPr>
            <w:tcBorders>
              <w:top w:color="000000" w:space="0" w:sz="4" w:val="single"/>
            </w:tcBorders>
            <w:shd w:fill="auto" w:val="clear"/>
            <w:vAlign w:val="center"/>
          </w:tcPr>
          <w:p w:rsidR="00000000" w:rsidDel="00000000" w:rsidP="00000000" w:rsidRDefault="00000000" w:rsidRPr="00000000" w14:paraId="000006A3">
            <w:pPr>
              <w:spacing w:after="0" w:line="240" w:lineRule="auto"/>
              <w:jc w:val="right"/>
              <w:rPr>
                <w:sz w:val="20"/>
                <w:szCs w:val="20"/>
              </w:rPr>
            </w:pPr>
            <w:r w:rsidDel="00000000" w:rsidR="00000000" w:rsidRPr="00000000">
              <w:rPr>
                <w:rtl w:val="0"/>
              </w:rPr>
            </w:r>
          </w:p>
        </w:tc>
        <w:tc>
          <w:tcPr>
            <w:tcBorders>
              <w:top w:color="000000" w:space="0" w:sz="4" w:val="single"/>
            </w:tcBorders>
            <w:shd w:fill="auto" w:val="clear"/>
            <w:vAlign w:val="center"/>
          </w:tcPr>
          <w:p w:rsidR="00000000" w:rsidDel="00000000" w:rsidP="00000000" w:rsidRDefault="00000000" w:rsidRPr="00000000" w14:paraId="000006A4">
            <w:pPr>
              <w:spacing w:after="0" w:line="240" w:lineRule="auto"/>
              <w:jc w:val="right"/>
              <w:rPr>
                <w:rFonts w:ascii="Times New Roman" w:cs="Times New Roman" w:eastAsia="Times New Roman" w:hAnsi="Times New Roman"/>
                <w:sz w:val="18"/>
                <w:szCs w:val="18"/>
              </w:rPr>
            </w:pPr>
            <w:r w:rsidDel="00000000" w:rsidR="00000000" w:rsidRPr="00000000">
              <w:rPr>
                <w:rtl w:val="0"/>
              </w:rPr>
            </w:r>
          </w:p>
        </w:tc>
        <w:tc>
          <w:tcPr>
            <w:tcBorders>
              <w:top w:color="000000" w:space="0" w:sz="4" w:val="single"/>
            </w:tcBorders>
            <w:shd w:fill="auto" w:val="clear"/>
            <w:vAlign w:val="center"/>
          </w:tcPr>
          <w:p w:rsidR="00000000" w:rsidDel="00000000" w:rsidP="00000000" w:rsidRDefault="00000000" w:rsidRPr="00000000" w14:paraId="000006A5">
            <w:pPr>
              <w:spacing w:after="0" w:line="240" w:lineRule="auto"/>
              <w:jc w:val="right"/>
              <w:rPr>
                <w:rFonts w:ascii="Times New Roman" w:cs="Times New Roman" w:eastAsia="Times New Roman" w:hAnsi="Times New Roman"/>
                <w:sz w:val="18"/>
                <w:szCs w:val="18"/>
              </w:rPr>
            </w:pPr>
            <w:r w:rsidDel="00000000" w:rsidR="00000000" w:rsidRPr="00000000">
              <w:rPr>
                <w:rtl w:val="0"/>
              </w:rPr>
            </w:r>
          </w:p>
        </w:tc>
      </w:tr>
      <w:tr>
        <w:trPr>
          <w:cantSplit w:val="0"/>
          <w:trHeight w:val="300" w:hRule="atLeast"/>
          <w:tblHeader w:val="0"/>
        </w:trPr>
        <w:tc>
          <w:tcPr>
            <w:tcBorders>
              <w:left w:color="000000" w:space="0" w:sz="0" w:val="nil"/>
            </w:tcBorders>
            <w:shd w:fill="auto" w:val="clear"/>
            <w:vAlign w:val="center"/>
          </w:tcPr>
          <w:p w:rsidR="00000000" w:rsidDel="00000000" w:rsidP="00000000" w:rsidRDefault="00000000" w:rsidRPr="00000000" w14:paraId="000006A6">
            <w:pPr>
              <w:spacing w:after="0" w:line="240" w:lineRule="auto"/>
              <w:rPr>
                <w:sz w:val="20"/>
                <w:szCs w:val="20"/>
              </w:rPr>
            </w:pPr>
            <w:r w:rsidDel="00000000" w:rsidR="00000000" w:rsidRPr="00000000">
              <w:rPr>
                <w:sz w:val="20"/>
                <w:szCs w:val="20"/>
                <w:rtl w:val="0"/>
              </w:rPr>
              <w:t xml:space="preserve">H2a2b</w:t>
            </w:r>
          </w:p>
        </w:tc>
        <w:tc>
          <w:tcPr>
            <w:shd w:fill="auto" w:val="clear"/>
            <w:vAlign w:val="center"/>
          </w:tcPr>
          <w:p w:rsidR="00000000" w:rsidDel="00000000" w:rsidP="00000000" w:rsidRDefault="00000000" w:rsidRPr="00000000" w14:paraId="000006A7">
            <w:pPr>
              <w:spacing w:after="0" w:line="240" w:lineRule="auto"/>
              <w:jc w:val="right"/>
              <w:rPr>
                <w:rFonts w:ascii="Times New Roman" w:cs="Times New Roman" w:eastAsia="Times New Roman" w:hAnsi="Times New Roman"/>
                <w:sz w:val="18"/>
                <w:szCs w:val="18"/>
              </w:rPr>
            </w:pPr>
            <w:r w:rsidDel="00000000" w:rsidR="00000000" w:rsidRPr="00000000">
              <w:rPr>
                <w:rtl w:val="0"/>
              </w:rPr>
            </w:r>
          </w:p>
        </w:tc>
        <w:tc>
          <w:tcPr>
            <w:shd w:fill="fde8db" w:val="clear"/>
            <w:vAlign w:val="center"/>
          </w:tcPr>
          <w:p w:rsidR="00000000" w:rsidDel="00000000" w:rsidP="00000000" w:rsidRDefault="00000000" w:rsidRPr="00000000" w14:paraId="000006A8">
            <w:pPr>
              <w:spacing w:after="0" w:line="240" w:lineRule="auto"/>
              <w:jc w:val="right"/>
              <w:rPr>
                <w:sz w:val="20"/>
                <w:szCs w:val="20"/>
              </w:rPr>
            </w:pPr>
            <w:r w:rsidDel="00000000" w:rsidR="00000000" w:rsidRPr="00000000">
              <w:rPr>
                <w:sz w:val="20"/>
                <w:szCs w:val="20"/>
                <w:rtl w:val="0"/>
              </w:rPr>
              <w:t xml:space="preserve">1</w:t>
            </w:r>
          </w:p>
        </w:tc>
        <w:tc>
          <w:tcPr>
            <w:shd w:fill="auto" w:val="clear"/>
            <w:vAlign w:val="center"/>
          </w:tcPr>
          <w:p w:rsidR="00000000" w:rsidDel="00000000" w:rsidP="00000000" w:rsidRDefault="00000000" w:rsidRPr="00000000" w14:paraId="000006A9">
            <w:pPr>
              <w:spacing w:after="0" w:line="240" w:lineRule="auto"/>
              <w:jc w:val="right"/>
              <w:rPr>
                <w:sz w:val="20"/>
                <w:szCs w:val="20"/>
              </w:rPr>
            </w:pPr>
            <w:r w:rsidDel="00000000" w:rsidR="00000000" w:rsidRPr="00000000">
              <w:rPr>
                <w:rtl w:val="0"/>
              </w:rPr>
            </w:r>
          </w:p>
        </w:tc>
        <w:tc>
          <w:tcPr>
            <w:shd w:fill="fde8db" w:val="clear"/>
            <w:vAlign w:val="center"/>
          </w:tcPr>
          <w:p w:rsidR="00000000" w:rsidDel="00000000" w:rsidP="00000000" w:rsidRDefault="00000000" w:rsidRPr="00000000" w14:paraId="000006AA">
            <w:pPr>
              <w:spacing w:after="0" w:line="240" w:lineRule="auto"/>
              <w:jc w:val="right"/>
              <w:rPr>
                <w:sz w:val="20"/>
                <w:szCs w:val="20"/>
              </w:rPr>
            </w:pPr>
            <w:r w:rsidDel="00000000" w:rsidR="00000000" w:rsidRPr="00000000">
              <w:rPr>
                <w:sz w:val="20"/>
                <w:szCs w:val="20"/>
                <w:rtl w:val="0"/>
              </w:rPr>
              <w:t xml:space="preserve">2</w:t>
            </w:r>
          </w:p>
        </w:tc>
        <w:tc>
          <w:tcPr>
            <w:shd w:fill="auto" w:val="clear"/>
            <w:vAlign w:val="center"/>
          </w:tcPr>
          <w:p w:rsidR="00000000" w:rsidDel="00000000" w:rsidP="00000000" w:rsidRDefault="00000000" w:rsidRPr="00000000" w14:paraId="000006AB">
            <w:pPr>
              <w:spacing w:after="0" w:line="240" w:lineRule="auto"/>
              <w:jc w:val="right"/>
              <w:rPr>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6AC">
            <w:pPr>
              <w:spacing w:after="0" w:line="240" w:lineRule="auto"/>
              <w:jc w:val="right"/>
              <w:rPr>
                <w:rFonts w:ascii="Times New Roman" w:cs="Times New Roman" w:eastAsia="Times New Roman" w:hAnsi="Times New Roman"/>
                <w:sz w:val="18"/>
                <w:szCs w:val="18"/>
              </w:rPr>
            </w:pPr>
            <w:r w:rsidDel="00000000" w:rsidR="00000000" w:rsidRPr="00000000">
              <w:rPr>
                <w:rtl w:val="0"/>
              </w:rPr>
            </w:r>
          </w:p>
        </w:tc>
        <w:tc>
          <w:tcPr>
            <w:shd w:fill="auto" w:val="clear"/>
            <w:vAlign w:val="center"/>
          </w:tcPr>
          <w:p w:rsidR="00000000" w:rsidDel="00000000" w:rsidP="00000000" w:rsidRDefault="00000000" w:rsidRPr="00000000" w14:paraId="000006AD">
            <w:pPr>
              <w:spacing w:after="0" w:line="240" w:lineRule="auto"/>
              <w:jc w:val="right"/>
              <w:rPr>
                <w:rFonts w:ascii="Times New Roman" w:cs="Times New Roman" w:eastAsia="Times New Roman" w:hAnsi="Times New Roman"/>
                <w:sz w:val="18"/>
                <w:szCs w:val="18"/>
              </w:rPr>
            </w:pPr>
            <w:r w:rsidDel="00000000" w:rsidR="00000000" w:rsidRPr="00000000">
              <w:rPr>
                <w:rtl w:val="0"/>
              </w:rPr>
            </w:r>
          </w:p>
        </w:tc>
      </w:tr>
      <w:tr>
        <w:trPr>
          <w:cantSplit w:val="0"/>
          <w:trHeight w:val="300" w:hRule="atLeast"/>
          <w:tblHeader w:val="0"/>
        </w:trPr>
        <w:tc>
          <w:tcPr>
            <w:tcBorders>
              <w:left w:color="000000" w:space="0" w:sz="0" w:val="nil"/>
            </w:tcBorders>
            <w:shd w:fill="auto" w:val="clear"/>
            <w:vAlign w:val="center"/>
          </w:tcPr>
          <w:p w:rsidR="00000000" w:rsidDel="00000000" w:rsidP="00000000" w:rsidRDefault="00000000" w:rsidRPr="00000000" w14:paraId="000006AE">
            <w:pPr>
              <w:spacing w:after="0" w:line="240" w:lineRule="auto"/>
              <w:rPr>
                <w:sz w:val="20"/>
                <w:szCs w:val="20"/>
              </w:rPr>
            </w:pPr>
            <w:r w:rsidDel="00000000" w:rsidR="00000000" w:rsidRPr="00000000">
              <w:rPr>
                <w:sz w:val="20"/>
                <w:szCs w:val="20"/>
                <w:rtl w:val="0"/>
              </w:rPr>
              <w:t xml:space="preserve">H3h</w:t>
            </w:r>
          </w:p>
        </w:tc>
        <w:tc>
          <w:tcPr>
            <w:shd w:fill="auto" w:val="clear"/>
            <w:vAlign w:val="center"/>
          </w:tcPr>
          <w:p w:rsidR="00000000" w:rsidDel="00000000" w:rsidP="00000000" w:rsidRDefault="00000000" w:rsidRPr="00000000" w14:paraId="000006AF">
            <w:pPr>
              <w:spacing w:after="0" w:line="240" w:lineRule="auto"/>
              <w:jc w:val="right"/>
              <w:rPr>
                <w:rFonts w:ascii="Times New Roman" w:cs="Times New Roman" w:eastAsia="Times New Roman" w:hAnsi="Times New Roman"/>
                <w:sz w:val="18"/>
                <w:szCs w:val="18"/>
              </w:rPr>
            </w:pPr>
            <w:r w:rsidDel="00000000" w:rsidR="00000000" w:rsidRPr="00000000">
              <w:rPr>
                <w:rtl w:val="0"/>
              </w:rPr>
            </w:r>
          </w:p>
        </w:tc>
        <w:tc>
          <w:tcPr>
            <w:shd w:fill="fde8db" w:val="clear"/>
            <w:vAlign w:val="center"/>
          </w:tcPr>
          <w:p w:rsidR="00000000" w:rsidDel="00000000" w:rsidP="00000000" w:rsidRDefault="00000000" w:rsidRPr="00000000" w14:paraId="000006B0">
            <w:pPr>
              <w:spacing w:after="0" w:line="240" w:lineRule="auto"/>
              <w:jc w:val="right"/>
              <w:rPr>
                <w:sz w:val="20"/>
                <w:szCs w:val="20"/>
              </w:rPr>
            </w:pPr>
            <w:r w:rsidDel="00000000" w:rsidR="00000000" w:rsidRPr="00000000">
              <w:rPr>
                <w:sz w:val="20"/>
                <w:szCs w:val="20"/>
                <w:rtl w:val="0"/>
              </w:rPr>
              <w:t xml:space="preserve">1</w:t>
            </w:r>
          </w:p>
        </w:tc>
        <w:tc>
          <w:tcPr>
            <w:shd w:fill="auto" w:val="clear"/>
            <w:vAlign w:val="center"/>
          </w:tcPr>
          <w:p w:rsidR="00000000" w:rsidDel="00000000" w:rsidP="00000000" w:rsidRDefault="00000000" w:rsidRPr="00000000" w14:paraId="000006B1">
            <w:pPr>
              <w:spacing w:after="0" w:line="240" w:lineRule="auto"/>
              <w:jc w:val="right"/>
              <w:rPr>
                <w:sz w:val="20"/>
                <w:szCs w:val="20"/>
              </w:rPr>
            </w:pPr>
            <w:r w:rsidDel="00000000" w:rsidR="00000000" w:rsidRPr="00000000">
              <w:rPr>
                <w:rtl w:val="0"/>
              </w:rPr>
            </w:r>
          </w:p>
        </w:tc>
        <w:tc>
          <w:tcPr>
            <w:shd w:fill="fde8db" w:val="clear"/>
            <w:vAlign w:val="center"/>
          </w:tcPr>
          <w:p w:rsidR="00000000" w:rsidDel="00000000" w:rsidP="00000000" w:rsidRDefault="00000000" w:rsidRPr="00000000" w14:paraId="000006B2">
            <w:pPr>
              <w:spacing w:after="0" w:line="240" w:lineRule="auto"/>
              <w:jc w:val="right"/>
              <w:rPr>
                <w:sz w:val="20"/>
                <w:szCs w:val="20"/>
              </w:rPr>
            </w:pPr>
            <w:r w:rsidDel="00000000" w:rsidR="00000000" w:rsidRPr="00000000">
              <w:rPr>
                <w:sz w:val="20"/>
                <w:szCs w:val="20"/>
                <w:rtl w:val="0"/>
              </w:rPr>
              <w:t xml:space="preserve">1</w:t>
            </w:r>
          </w:p>
        </w:tc>
        <w:tc>
          <w:tcPr>
            <w:shd w:fill="auto" w:val="clear"/>
            <w:vAlign w:val="center"/>
          </w:tcPr>
          <w:p w:rsidR="00000000" w:rsidDel="00000000" w:rsidP="00000000" w:rsidRDefault="00000000" w:rsidRPr="00000000" w14:paraId="000006B3">
            <w:pPr>
              <w:spacing w:after="0" w:line="240" w:lineRule="auto"/>
              <w:jc w:val="right"/>
              <w:rPr>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6B4">
            <w:pPr>
              <w:spacing w:after="0" w:line="240" w:lineRule="auto"/>
              <w:jc w:val="right"/>
              <w:rPr>
                <w:rFonts w:ascii="Times New Roman" w:cs="Times New Roman" w:eastAsia="Times New Roman" w:hAnsi="Times New Roman"/>
                <w:sz w:val="18"/>
                <w:szCs w:val="18"/>
              </w:rPr>
            </w:pPr>
            <w:r w:rsidDel="00000000" w:rsidR="00000000" w:rsidRPr="00000000">
              <w:rPr>
                <w:rtl w:val="0"/>
              </w:rPr>
            </w:r>
          </w:p>
        </w:tc>
        <w:tc>
          <w:tcPr>
            <w:shd w:fill="auto" w:val="clear"/>
            <w:vAlign w:val="center"/>
          </w:tcPr>
          <w:p w:rsidR="00000000" w:rsidDel="00000000" w:rsidP="00000000" w:rsidRDefault="00000000" w:rsidRPr="00000000" w14:paraId="000006B5">
            <w:pPr>
              <w:spacing w:after="0" w:line="240" w:lineRule="auto"/>
              <w:jc w:val="right"/>
              <w:rPr>
                <w:rFonts w:ascii="Times New Roman" w:cs="Times New Roman" w:eastAsia="Times New Roman" w:hAnsi="Times New Roman"/>
                <w:sz w:val="18"/>
                <w:szCs w:val="18"/>
              </w:rPr>
            </w:pPr>
            <w:r w:rsidDel="00000000" w:rsidR="00000000" w:rsidRPr="00000000">
              <w:rPr>
                <w:rtl w:val="0"/>
              </w:rPr>
            </w:r>
          </w:p>
        </w:tc>
      </w:tr>
      <w:tr>
        <w:trPr>
          <w:cantSplit w:val="0"/>
          <w:trHeight w:val="300" w:hRule="atLeast"/>
          <w:tblHeader w:val="0"/>
        </w:trPr>
        <w:tc>
          <w:tcPr>
            <w:tcBorders>
              <w:left w:color="000000" w:space="0" w:sz="0" w:val="nil"/>
            </w:tcBorders>
            <w:shd w:fill="auto" w:val="clear"/>
            <w:vAlign w:val="center"/>
          </w:tcPr>
          <w:p w:rsidR="00000000" w:rsidDel="00000000" w:rsidP="00000000" w:rsidRDefault="00000000" w:rsidRPr="00000000" w14:paraId="000006B6">
            <w:pPr>
              <w:spacing w:after="0" w:line="240" w:lineRule="auto"/>
              <w:rPr>
                <w:i w:val="1"/>
                <w:sz w:val="20"/>
                <w:szCs w:val="20"/>
              </w:rPr>
            </w:pPr>
            <w:r w:rsidDel="00000000" w:rsidR="00000000" w:rsidRPr="00000000">
              <w:rPr>
                <w:sz w:val="20"/>
                <w:szCs w:val="20"/>
                <w:rtl w:val="0"/>
              </w:rPr>
              <w:t xml:space="preserve">H8c</w:t>
            </w:r>
            <w:r w:rsidDel="00000000" w:rsidR="00000000" w:rsidRPr="00000000">
              <w:rPr>
                <w:rtl w:val="0"/>
              </w:rPr>
            </w:r>
          </w:p>
        </w:tc>
        <w:tc>
          <w:tcPr>
            <w:shd w:fill="auto" w:val="clear"/>
            <w:vAlign w:val="center"/>
          </w:tcPr>
          <w:p w:rsidR="00000000" w:rsidDel="00000000" w:rsidP="00000000" w:rsidRDefault="00000000" w:rsidRPr="00000000" w14:paraId="000006B7">
            <w:pPr>
              <w:spacing w:after="0" w:line="240" w:lineRule="auto"/>
              <w:jc w:val="right"/>
              <w:rPr>
                <w:rFonts w:ascii="Times New Roman" w:cs="Times New Roman" w:eastAsia="Times New Roman" w:hAnsi="Times New Roman"/>
                <w:sz w:val="18"/>
                <w:szCs w:val="18"/>
              </w:rPr>
            </w:pPr>
            <w:r w:rsidDel="00000000" w:rsidR="00000000" w:rsidRPr="00000000">
              <w:rPr>
                <w:rtl w:val="0"/>
              </w:rPr>
            </w:r>
          </w:p>
        </w:tc>
        <w:tc>
          <w:tcPr>
            <w:shd w:fill="fde8db" w:val="clear"/>
            <w:vAlign w:val="center"/>
          </w:tcPr>
          <w:p w:rsidR="00000000" w:rsidDel="00000000" w:rsidP="00000000" w:rsidRDefault="00000000" w:rsidRPr="00000000" w14:paraId="000006B8">
            <w:pPr>
              <w:spacing w:after="0" w:line="240" w:lineRule="auto"/>
              <w:jc w:val="right"/>
              <w:rPr>
                <w:rFonts w:ascii="Times New Roman" w:cs="Times New Roman" w:eastAsia="Times New Roman" w:hAnsi="Times New Roman"/>
                <w:sz w:val="18"/>
                <w:szCs w:val="18"/>
              </w:rPr>
            </w:pPr>
            <w:r w:rsidDel="00000000" w:rsidR="00000000" w:rsidRPr="00000000">
              <w:rPr>
                <w:sz w:val="20"/>
                <w:szCs w:val="20"/>
                <w:rtl w:val="0"/>
              </w:rPr>
              <w:t xml:space="preserve">1</w:t>
            </w:r>
            <w:r w:rsidDel="00000000" w:rsidR="00000000" w:rsidRPr="00000000">
              <w:rPr>
                <w:rtl w:val="0"/>
              </w:rPr>
            </w:r>
          </w:p>
        </w:tc>
        <w:tc>
          <w:tcPr>
            <w:shd w:fill="auto" w:val="clear"/>
            <w:vAlign w:val="center"/>
          </w:tcPr>
          <w:p w:rsidR="00000000" w:rsidDel="00000000" w:rsidP="00000000" w:rsidRDefault="00000000" w:rsidRPr="00000000" w14:paraId="000006B9">
            <w:pPr>
              <w:spacing w:after="0" w:line="240" w:lineRule="auto"/>
              <w:jc w:val="right"/>
              <w:rPr>
                <w:sz w:val="20"/>
                <w:szCs w:val="20"/>
              </w:rPr>
            </w:pPr>
            <w:r w:rsidDel="00000000" w:rsidR="00000000" w:rsidRPr="00000000">
              <w:rPr>
                <w:rtl w:val="0"/>
              </w:rPr>
            </w:r>
          </w:p>
        </w:tc>
        <w:tc>
          <w:tcPr>
            <w:shd w:fill="fde8db" w:val="clear"/>
            <w:vAlign w:val="center"/>
          </w:tcPr>
          <w:p w:rsidR="00000000" w:rsidDel="00000000" w:rsidP="00000000" w:rsidRDefault="00000000" w:rsidRPr="00000000" w14:paraId="000006BA">
            <w:pPr>
              <w:spacing w:after="0" w:line="240" w:lineRule="auto"/>
              <w:jc w:val="right"/>
              <w:rPr>
                <w:sz w:val="20"/>
                <w:szCs w:val="20"/>
              </w:rPr>
            </w:pPr>
            <w:r w:rsidDel="00000000" w:rsidR="00000000" w:rsidRPr="00000000">
              <w:rPr>
                <w:sz w:val="20"/>
                <w:szCs w:val="20"/>
                <w:rtl w:val="0"/>
              </w:rPr>
              <w:t xml:space="preserve">1</w:t>
            </w:r>
          </w:p>
        </w:tc>
        <w:tc>
          <w:tcPr>
            <w:shd w:fill="auto" w:val="clear"/>
            <w:vAlign w:val="center"/>
          </w:tcPr>
          <w:p w:rsidR="00000000" w:rsidDel="00000000" w:rsidP="00000000" w:rsidRDefault="00000000" w:rsidRPr="00000000" w14:paraId="000006BB">
            <w:pPr>
              <w:spacing w:after="0" w:line="240" w:lineRule="auto"/>
              <w:jc w:val="right"/>
              <w:rPr>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6BC">
            <w:pPr>
              <w:spacing w:after="0" w:line="240" w:lineRule="auto"/>
              <w:jc w:val="right"/>
              <w:rPr>
                <w:rFonts w:ascii="Times New Roman" w:cs="Times New Roman" w:eastAsia="Times New Roman" w:hAnsi="Times New Roman"/>
                <w:sz w:val="18"/>
                <w:szCs w:val="18"/>
              </w:rPr>
            </w:pPr>
            <w:r w:rsidDel="00000000" w:rsidR="00000000" w:rsidRPr="00000000">
              <w:rPr>
                <w:rtl w:val="0"/>
              </w:rPr>
            </w:r>
          </w:p>
        </w:tc>
        <w:tc>
          <w:tcPr>
            <w:shd w:fill="auto" w:val="clear"/>
            <w:vAlign w:val="center"/>
          </w:tcPr>
          <w:p w:rsidR="00000000" w:rsidDel="00000000" w:rsidP="00000000" w:rsidRDefault="00000000" w:rsidRPr="00000000" w14:paraId="000006BD">
            <w:pPr>
              <w:spacing w:after="0" w:line="240" w:lineRule="auto"/>
              <w:jc w:val="right"/>
              <w:rPr>
                <w:rFonts w:ascii="Times New Roman" w:cs="Times New Roman" w:eastAsia="Times New Roman" w:hAnsi="Times New Roman"/>
                <w:sz w:val="18"/>
                <w:szCs w:val="18"/>
              </w:rPr>
            </w:pPr>
            <w:r w:rsidDel="00000000" w:rsidR="00000000" w:rsidRPr="00000000">
              <w:rPr>
                <w:rtl w:val="0"/>
              </w:rPr>
            </w:r>
          </w:p>
        </w:tc>
      </w:tr>
      <w:tr>
        <w:trPr>
          <w:cantSplit w:val="0"/>
          <w:trHeight w:val="300" w:hRule="atLeast"/>
          <w:tblHeader w:val="0"/>
        </w:trPr>
        <w:tc>
          <w:tcPr>
            <w:tcBorders>
              <w:left w:color="000000" w:space="0" w:sz="0" w:val="nil"/>
            </w:tcBorders>
            <w:shd w:fill="auto" w:val="clear"/>
            <w:vAlign w:val="center"/>
          </w:tcPr>
          <w:p w:rsidR="00000000" w:rsidDel="00000000" w:rsidP="00000000" w:rsidRDefault="00000000" w:rsidRPr="00000000" w14:paraId="000006BE">
            <w:pPr>
              <w:spacing w:after="0" w:line="240" w:lineRule="auto"/>
              <w:rPr>
                <w:sz w:val="20"/>
                <w:szCs w:val="20"/>
              </w:rPr>
            </w:pPr>
            <w:r w:rsidDel="00000000" w:rsidR="00000000" w:rsidRPr="00000000">
              <w:rPr>
                <w:i w:val="1"/>
                <w:sz w:val="20"/>
                <w:szCs w:val="20"/>
                <w:rtl w:val="0"/>
              </w:rPr>
              <w:t xml:space="preserve">H13a1a1a</w:t>
            </w:r>
            <w:r w:rsidDel="00000000" w:rsidR="00000000" w:rsidRPr="00000000">
              <w:rPr>
                <w:rtl w:val="0"/>
              </w:rPr>
            </w:r>
          </w:p>
        </w:tc>
        <w:tc>
          <w:tcPr>
            <w:shd w:fill="auto" w:val="clear"/>
            <w:vAlign w:val="center"/>
          </w:tcPr>
          <w:p w:rsidR="00000000" w:rsidDel="00000000" w:rsidP="00000000" w:rsidRDefault="00000000" w:rsidRPr="00000000" w14:paraId="000006BF">
            <w:pPr>
              <w:spacing w:after="0" w:line="240" w:lineRule="auto"/>
              <w:jc w:val="right"/>
              <w:rPr>
                <w:rFonts w:ascii="Times New Roman" w:cs="Times New Roman" w:eastAsia="Times New Roman" w:hAnsi="Times New Roman"/>
                <w:sz w:val="18"/>
                <w:szCs w:val="18"/>
              </w:rPr>
            </w:pPr>
            <w:r w:rsidDel="00000000" w:rsidR="00000000" w:rsidRPr="00000000">
              <w:rPr>
                <w:rtl w:val="0"/>
              </w:rPr>
            </w:r>
          </w:p>
        </w:tc>
        <w:tc>
          <w:tcPr>
            <w:shd w:fill="auto" w:val="clear"/>
            <w:vAlign w:val="center"/>
          </w:tcPr>
          <w:p w:rsidR="00000000" w:rsidDel="00000000" w:rsidP="00000000" w:rsidRDefault="00000000" w:rsidRPr="00000000" w14:paraId="000006C0">
            <w:pPr>
              <w:spacing w:after="0" w:line="240" w:lineRule="auto"/>
              <w:jc w:val="right"/>
              <w:rPr>
                <w:sz w:val="20"/>
                <w:szCs w:val="20"/>
              </w:rPr>
            </w:pPr>
            <w:r w:rsidDel="00000000" w:rsidR="00000000" w:rsidRPr="00000000">
              <w:rPr>
                <w:sz w:val="20"/>
                <w:szCs w:val="20"/>
                <w:rtl w:val="0"/>
              </w:rPr>
              <w:t xml:space="preserve"> </w:t>
            </w:r>
          </w:p>
        </w:tc>
        <w:tc>
          <w:tcPr>
            <w:shd w:fill="fde8db" w:val="clear"/>
            <w:vAlign w:val="center"/>
          </w:tcPr>
          <w:p w:rsidR="00000000" w:rsidDel="00000000" w:rsidP="00000000" w:rsidRDefault="00000000" w:rsidRPr="00000000" w14:paraId="000006C1">
            <w:pPr>
              <w:spacing w:after="0" w:line="240" w:lineRule="auto"/>
              <w:jc w:val="right"/>
              <w:rPr>
                <w:sz w:val="20"/>
                <w:szCs w:val="20"/>
              </w:rPr>
            </w:pPr>
            <w:r w:rsidDel="00000000" w:rsidR="00000000" w:rsidRPr="00000000">
              <w:rPr>
                <w:sz w:val="20"/>
                <w:szCs w:val="20"/>
                <w:rtl w:val="0"/>
              </w:rPr>
              <w:t xml:space="preserve">1</w:t>
            </w:r>
          </w:p>
        </w:tc>
        <w:tc>
          <w:tcPr>
            <w:shd w:fill="fde8db" w:val="clear"/>
            <w:vAlign w:val="center"/>
          </w:tcPr>
          <w:p w:rsidR="00000000" w:rsidDel="00000000" w:rsidP="00000000" w:rsidRDefault="00000000" w:rsidRPr="00000000" w14:paraId="000006C2">
            <w:pPr>
              <w:spacing w:after="0" w:line="240" w:lineRule="auto"/>
              <w:jc w:val="right"/>
              <w:rPr>
                <w:sz w:val="20"/>
                <w:szCs w:val="20"/>
              </w:rPr>
            </w:pPr>
            <w:r w:rsidDel="00000000" w:rsidR="00000000" w:rsidRPr="00000000">
              <w:rPr>
                <w:sz w:val="20"/>
                <w:szCs w:val="20"/>
                <w:rtl w:val="0"/>
              </w:rPr>
              <w:t xml:space="preserve">1</w:t>
            </w:r>
          </w:p>
        </w:tc>
        <w:tc>
          <w:tcPr>
            <w:shd w:fill="auto" w:val="clear"/>
            <w:vAlign w:val="center"/>
          </w:tcPr>
          <w:p w:rsidR="00000000" w:rsidDel="00000000" w:rsidP="00000000" w:rsidRDefault="00000000" w:rsidRPr="00000000" w14:paraId="000006C3">
            <w:pPr>
              <w:spacing w:after="0" w:line="240" w:lineRule="auto"/>
              <w:jc w:val="right"/>
              <w:rPr>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6C4">
            <w:pPr>
              <w:spacing w:after="0" w:line="240" w:lineRule="auto"/>
              <w:jc w:val="right"/>
              <w:rPr>
                <w:rFonts w:ascii="Times New Roman" w:cs="Times New Roman" w:eastAsia="Times New Roman" w:hAnsi="Times New Roman"/>
                <w:sz w:val="18"/>
                <w:szCs w:val="18"/>
              </w:rPr>
            </w:pPr>
            <w:r w:rsidDel="00000000" w:rsidR="00000000" w:rsidRPr="00000000">
              <w:rPr>
                <w:rtl w:val="0"/>
              </w:rPr>
            </w:r>
          </w:p>
        </w:tc>
        <w:tc>
          <w:tcPr>
            <w:shd w:fill="auto" w:val="clear"/>
            <w:vAlign w:val="center"/>
          </w:tcPr>
          <w:p w:rsidR="00000000" w:rsidDel="00000000" w:rsidP="00000000" w:rsidRDefault="00000000" w:rsidRPr="00000000" w14:paraId="000006C5">
            <w:pPr>
              <w:spacing w:after="0" w:line="240" w:lineRule="auto"/>
              <w:jc w:val="right"/>
              <w:rPr>
                <w:rFonts w:ascii="Times New Roman" w:cs="Times New Roman" w:eastAsia="Times New Roman" w:hAnsi="Times New Roman"/>
                <w:sz w:val="18"/>
                <w:szCs w:val="18"/>
              </w:rPr>
            </w:pPr>
            <w:r w:rsidDel="00000000" w:rsidR="00000000" w:rsidRPr="00000000">
              <w:rPr>
                <w:rtl w:val="0"/>
              </w:rPr>
            </w:r>
          </w:p>
        </w:tc>
      </w:tr>
      <w:tr>
        <w:trPr>
          <w:cantSplit w:val="0"/>
          <w:trHeight w:val="300" w:hRule="atLeast"/>
          <w:tblHeader w:val="0"/>
        </w:trPr>
        <w:tc>
          <w:tcPr>
            <w:tcBorders>
              <w:left w:color="000000" w:space="0" w:sz="0" w:val="nil"/>
            </w:tcBorders>
            <w:shd w:fill="auto" w:val="clear"/>
            <w:vAlign w:val="center"/>
          </w:tcPr>
          <w:p w:rsidR="00000000" w:rsidDel="00000000" w:rsidP="00000000" w:rsidRDefault="00000000" w:rsidRPr="00000000" w14:paraId="000006C6">
            <w:pPr>
              <w:spacing w:after="0" w:line="240" w:lineRule="auto"/>
              <w:rPr>
                <w:sz w:val="20"/>
                <w:szCs w:val="20"/>
              </w:rPr>
            </w:pPr>
            <w:r w:rsidDel="00000000" w:rsidR="00000000" w:rsidRPr="00000000">
              <w:rPr>
                <w:sz w:val="20"/>
                <w:szCs w:val="20"/>
                <w:rtl w:val="0"/>
              </w:rPr>
              <w:t xml:space="preserve">H27</w:t>
            </w:r>
          </w:p>
        </w:tc>
        <w:tc>
          <w:tcPr>
            <w:shd w:fill="auto" w:val="clear"/>
            <w:vAlign w:val="center"/>
          </w:tcPr>
          <w:p w:rsidR="00000000" w:rsidDel="00000000" w:rsidP="00000000" w:rsidRDefault="00000000" w:rsidRPr="00000000" w14:paraId="000006C7">
            <w:pPr>
              <w:spacing w:after="0" w:line="240" w:lineRule="auto"/>
              <w:jc w:val="right"/>
              <w:rPr>
                <w:rFonts w:ascii="Times New Roman" w:cs="Times New Roman" w:eastAsia="Times New Roman" w:hAnsi="Times New Roman"/>
                <w:sz w:val="18"/>
                <w:szCs w:val="18"/>
              </w:rPr>
            </w:pPr>
            <w:r w:rsidDel="00000000" w:rsidR="00000000" w:rsidRPr="00000000">
              <w:rPr>
                <w:rtl w:val="0"/>
              </w:rPr>
            </w:r>
          </w:p>
        </w:tc>
        <w:tc>
          <w:tcPr>
            <w:shd w:fill="fde8db" w:val="clear"/>
            <w:vAlign w:val="center"/>
          </w:tcPr>
          <w:p w:rsidR="00000000" w:rsidDel="00000000" w:rsidP="00000000" w:rsidRDefault="00000000" w:rsidRPr="00000000" w14:paraId="000006C8">
            <w:pPr>
              <w:spacing w:after="0" w:line="240" w:lineRule="auto"/>
              <w:jc w:val="right"/>
              <w:rPr>
                <w:sz w:val="20"/>
                <w:szCs w:val="20"/>
              </w:rPr>
            </w:pPr>
            <w:r w:rsidDel="00000000" w:rsidR="00000000" w:rsidRPr="00000000">
              <w:rPr>
                <w:sz w:val="20"/>
                <w:szCs w:val="20"/>
                <w:rtl w:val="0"/>
              </w:rPr>
              <w:t xml:space="preserve">1</w:t>
            </w:r>
          </w:p>
        </w:tc>
        <w:tc>
          <w:tcPr>
            <w:shd w:fill="auto" w:val="clear"/>
            <w:vAlign w:val="center"/>
          </w:tcPr>
          <w:p w:rsidR="00000000" w:rsidDel="00000000" w:rsidP="00000000" w:rsidRDefault="00000000" w:rsidRPr="00000000" w14:paraId="000006C9">
            <w:pPr>
              <w:spacing w:after="0" w:line="240" w:lineRule="auto"/>
              <w:jc w:val="right"/>
              <w:rPr>
                <w:sz w:val="20"/>
                <w:szCs w:val="20"/>
              </w:rPr>
            </w:pPr>
            <w:r w:rsidDel="00000000" w:rsidR="00000000" w:rsidRPr="00000000">
              <w:rPr>
                <w:rtl w:val="0"/>
              </w:rPr>
            </w:r>
          </w:p>
        </w:tc>
        <w:tc>
          <w:tcPr>
            <w:shd w:fill="fde8db" w:val="clear"/>
            <w:vAlign w:val="center"/>
          </w:tcPr>
          <w:p w:rsidR="00000000" w:rsidDel="00000000" w:rsidP="00000000" w:rsidRDefault="00000000" w:rsidRPr="00000000" w14:paraId="000006CA">
            <w:pPr>
              <w:spacing w:after="0" w:line="240" w:lineRule="auto"/>
              <w:jc w:val="right"/>
              <w:rPr>
                <w:sz w:val="20"/>
                <w:szCs w:val="20"/>
              </w:rPr>
            </w:pPr>
            <w:r w:rsidDel="00000000" w:rsidR="00000000" w:rsidRPr="00000000">
              <w:rPr>
                <w:sz w:val="20"/>
                <w:szCs w:val="20"/>
                <w:rtl w:val="0"/>
              </w:rPr>
              <w:t xml:space="preserve">1</w:t>
            </w:r>
          </w:p>
        </w:tc>
        <w:tc>
          <w:tcPr>
            <w:shd w:fill="auto" w:val="clear"/>
            <w:vAlign w:val="center"/>
          </w:tcPr>
          <w:p w:rsidR="00000000" w:rsidDel="00000000" w:rsidP="00000000" w:rsidRDefault="00000000" w:rsidRPr="00000000" w14:paraId="000006CB">
            <w:pPr>
              <w:spacing w:after="0" w:line="240" w:lineRule="auto"/>
              <w:jc w:val="right"/>
              <w:rPr>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6CC">
            <w:pPr>
              <w:spacing w:after="0" w:line="240" w:lineRule="auto"/>
              <w:jc w:val="right"/>
              <w:rPr>
                <w:rFonts w:ascii="Times New Roman" w:cs="Times New Roman" w:eastAsia="Times New Roman" w:hAnsi="Times New Roman"/>
                <w:sz w:val="18"/>
                <w:szCs w:val="18"/>
              </w:rPr>
            </w:pPr>
            <w:r w:rsidDel="00000000" w:rsidR="00000000" w:rsidRPr="00000000">
              <w:rPr>
                <w:rtl w:val="0"/>
              </w:rPr>
            </w:r>
          </w:p>
        </w:tc>
        <w:tc>
          <w:tcPr>
            <w:shd w:fill="auto" w:val="clear"/>
            <w:vAlign w:val="center"/>
          </w:tcPr>
          <w:p w:rsidR="00000000" w:rsidDel="00000000" w:rsidP="00000000" w:rsidRDefault="00000000" w:rsidRPr="00000000" w14:paraId="000006CD">
            <w:pPr>
              <w:spacing w:after="0" w:line="240" w:lineRule="auto"/>
              <w:jc w:val="right"/>
              <w:rPr>
                <w:rFonts w:ascii="Times New Roman" w:cs="Times New Roman" w:eastAsia="Times New Roman" w:hAnsi="Times New Roman"/>
                <w:sz w:val="18"/>
                <w:szCs w:val="18"/>
              </w:rPr>
            </w:pPr>
            <w:r w:rsidDel="00000000" w:rsidR="00000000" w:rsidRPr="00000000">
              <w:rPr>
                <w:rtl w:val="0"/>
              </w:rPr>
            </w:r>
          </w:p>
        </w:tc>
      </w:tr>
      <w:tr>
        <w:trPr>
          <w:cantSplit w:val="0"/>
          <w:trHeight w:val="300" w:hRule="atLeast"/>
          <w:tblHeader w:val="0"/>
        </w:trPr>
        <w:tc>
          <w:tcPr>
            <w:tcBorders>
              <w:left w:color="000000" w:space="0" w:sz="0" w:val="nil"/>
            </w:tcBorders>
            <w:shd w:fill="auto" w:val="clear"/>
            <w:vAlign w:val="center"/>
          </w:tcPr>
          <w:p w:rsidR="00000000" w:rsidDel="00000000" w:rsidP="00000000" w:rsidRDefault="00000000" w:rsidRPr="00000000" w14:paraId="000006CE">
            <w:pPr>
              <w:spacing w:after="0" w:line="240" w:lineRule="auto"/>
              <w:rPr>
                <w:i w:val="1"/>
                <w:sz w:val="20"/>
                <w:szCs w:val="20"/>
              </w:rPr>
            </w:pPr>
            <w:r w:rsidDel="00000000" w:rsidR="00000000" w:rsidRPr="00000000">
              <w:rPr>
                <w:sz w:val="20"/>
                <w:szCs w:val="20"/>
                <w:rtl w:val="0"/>
              </w:rPr>
              <w:t xml:space="preserve">H56</w:t>
            </w:r>
            <w:r w:rsidDel="00000000" w:rsidR="00000000" w:rsidRPr="00000000">
              <w:rPr>
                <w:rtl w:val="0"/>
              </w:rPr>
            </w:r>
          </w:p>
        </w:tc>
        <w:tc>
          <w:tcPr>
            <w:shd w:fill="auto" w:val="clear"/>
            <w:vAlign w:val="center"/>
          </w:tcPr>
          <w:p w:rsidR="00000000" w:rsidDel="00000000" w:rsidP="00000000" w:rsidRDefault="00000000" w:rsidRPr="00000000" w14:paraId="000006CF">
            <w:pPr>
              <w:spacing w:after="0" w:line="240" w:lineRule="auto"/>
              <w:jc w:val="right"/>
              <w:rPr>
                <w:rFonts w:ascii="Times New Roman" w:cs="Times New Roman" w:eastAsia="Times New Roman" w:hAnsi="Times New Roman"/>
                <w:sz w:val="18"/>
                <w:szCs w:val="18"/>
              </w:rPr>
            </w:pPr>
            <w:r w:rsidDel="00000000" w:rsidR="00000000" w:rsidRPr="00000000">
              <w:rPr>
                <w:rtl w:val="0"/>
              </w:rPr>
            </w:r>
          </w:p>
        </w:tc>
        <w:tc>
          <w:tcPr>
            <w:shd w:fill="fde8db" w:val="clear"/>
            <w:vAlign w:val="center"/>
          </w:tcPr>
          <w:p w:rsidR="00000000" w:rsidDel="00000000" w:rsidP="00000000" w:rsidRDefault="00000000" w:rsidRPr="00000000" w14:paraId="000006D0">
            <w:pPr>
              <w:spacing w:after="0" w:line="240" w:lineRule="auto"/>
              <w:jc w:val="right"/>
              <w:rPr>
                <w:sz w:val="20"/>
                <w:szCs w:val="20"/>
              </w:rPr>
            </w:pPr>
            <w:r w:rsidDel="00000000" w:rsidR="00000000" w:rsidRPr="00000000">
              <w:rPr>
                <w:sz w:val="20"/>
                <w:szCs w:val="20"/>
                <w:rtl w:val="0"/>
              </w:rPr>
              <w:t xml:space="preserve">1</w:t>
            </w:r>
          </w:p>
        </w:tc>
        <w:tc>
          <w:tcPr>
            <w:shd w:fill="auto" w:val="clear"/>
            <w:vAlign w:val="center"/>
          </w:tcPr>
          <w:p w:rsidR="00000000" w:rsidDel="00000000" w:rsidP="00000000" w:rsidRDefault="00000000" w:rsidRPr="00000000" w14:paraId="000006D1">
            <w:pPr>
              <w:spacing w:after="0" w:line="240" w:lineRule="auto"/>
              <w:jc w:val="right"/>
              <w:rPr>
                <w:sz w:val="20"/>
                <w:szCs w:val="20"/>
              </w:rPr>
            </w:pPr>
            <w:r w:rsidDel="00000000" w:rsidR="00000000" w:rsidRPr="00000000">
              <w:rPr>
                <w:rtl w:val="0"/>
              </w:rPr>
            </w:r>
          </w:p>
        </w:tc>
        <w:tc>
          <w:tcPr>
            <w:shd w:fill="fde8db" w:val="clear"/>
            <w:vAlign w:val="center"/>
          </w:tcPr>
          <w:p w:rsidR="00000000" w:rsidDel="00000000" w:rsidP="00000000" w:rsidRDefault="00000000" w:rsidRPr="00000000" w14:paraId="000006D2">
            <w:pPr>
              <w:spacing w:after="0" w:line="240" w:lineRule="auto"/>
              <w:jc w:val="right"/>
              <w:rPr>
                <w:sz w:val="20"/>
                <w:szCs w:val="20"/>
              </w:rPr>
            </w:pPr>
            <w:r w:rsidDel="00000000" w:rsidR="00000000" w:rsidRPr="00000000">
              <w:rPr>
                <w:sz w:val="20"/>
                <w:szCs w:val="20"/>
                <w:rtl w:val="0"/>
              </w:rPr>
              <w:t xml:space="preserve">1</w:t>
            </w:r>
          </w:p>
        </w:tc>
        <w:tc>
          <w:tcPr>
            <w:shd w:fill="auto" w:val="clear"/>
            <w:vAlign w:val="center"/>
          </w:tcPr>
          <w:p w:rsidR="00000000" w:rsidDel="00000000" w:rsidP="00000000" w:rsidRDefault="00000000" w:rsidRPr="00000000" w14:paraId="000006D3">
            <w:pPr>
              <w:spacing w:after="0" w:line="240" w:lineRule="auto"/>
              <w:jc w:val="right"/>
              <w:rPr>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6D4">
            <w:pPr>
              <w:spacing w:after="0" w:line="240" w:lineRule="auto"/>
              <w:jc w:val="right"/>
              <w:rPr>
                <w:rFonts w:ascii="Times New Roman" w:cs="Times New Roman" w:eastAsia="Times New Roman" w:hAnsi="Times New Roman"/>
                <w:sz w:val="18"/>
                <w:szCs w:val="18"/>
              </w:rPr>
            </w:pPr>
            <w:r w:rsidDel="00000000" w:rsidR="00000000" w:rsidRPr="00000000">
              <w:rPr>
                <w:rtl w:val="0"/>
              </w:rPr>
            </w:r>
          </w:p>
        </w:tc>
        <w:tc>
          <w:tcPr>
            <w:shd w:fill="auto" w:val="clear"/>
            <w:vAlign w:val="center"/>
          </w:tcPr>
          <w:p w:rsidR="00000000" w:rsidDel="00000000" w:rsidP="00000000" w:rsidRDefault="00000000" w:rsidRPr="00000000" w14:paraId="000006D5">
            <w:pPr>
              <w:spacing w:after="0" w:line="240" w:lineRule="auto"/>
              <w:jc w:val="right"/>
              <w:rPr>
                <w:rFonts w:ascii="Times New Roman" w:cs="Times New Roman" w:eastAsia="Times New Roman" w:hAnsi="Times New Roman"/>
                <w:sz w:val="18"/>
                <w:szCs w:val="18"/>
              </w:rPr>
            </w:pPr>
            <w:r w:rsidDel="00000000" w:rsidR="00000000" w:rsidRPr="00000000">
              <w:rPr>
                <w:rtl w:val="0"/>
              </w:rPr>
            </w:r>
          </w:p>
        </w:tc>
      </w:tr>
      <w:tr>
        <w:trPr>
          <w:cantSplit w:val="0"/>
          <w:trHeight w:val="300" w:hRule="atLeast"/>
          <w:tblHeader w:val="0"/>
        </w:trPr>
        <w:tc>
          <w:tcPr>
            <w:tcBorders>
              <w:left w:color="000000" w:space="0" w:sz="0" w:val="nil"/>
            </w:tcBorders>
            <w:shd w:fill="auto" w:val="clear"/>
            <w:vAlign w:val="center"/>
          </w:tcPr>
          <w:p w:rsidR="00000000" w:rsidDel="00000000" w:rsidP="00000000" w:rsidRDefault="00000000" w:rsidRPr="00000000" w14:paraId="000006D6">
            <w:pPr>
              <w:spacing w:after="0" w:line="240" w:lineRule="auto"/>
              <w:rPr>
                <w:sz w:val="20"/>
                <w:szCs w:val="20"/>
              </w:rPr>
            </w:pPr>
            <w:r w:rsidDel="00000000" w:rsidR="00000000" w:rsidRPr="00000000">
              <w:rPr>
                <w:sz w:val="20"/>
                <w:szCs w:val="20"/>
                <w:rtl w:val="0"/>
              </w:rPr>
              <w:t xml:space="preserve">J1c2c1</w:t>
            </w:r>
          </w:p>
        </w:tc>
        <w:tc>
          <w:tcPr>
            <w:shd w:fill="auto" w:val="clear"/>
            <w:vAlign w:val="center"/>
          </w:tcPr>
          <w:p w:rsidR="00000000" w:rsidDel="00000000" w:rsidP="00000000" w:rsidRDefault="00000000" w:rsidRPr="00000000" w14:paraId="000006D7">
            <w:pPr>
              <w:spacing w:after="0" w:line="240" w:lineRule="auto"/>
              <w:jc w:val="right"/>
              <w:rPr>
                <w:rFonts w:ascii="Times New Roman" w:cs="Times New Roman" w:eastAsia="Times New Roman" w:hAnsi="Times New Roman"/>
                <w:sz w:val="18"/>
                <w:szCs w:val="18"/>
              </w:rPr>
            </w:pPr>
            <w:r w:rsidDel="00000000" w:rsidR="00000000" w:rsidRPr="00000000">
              <w:rPr>
                <w:rtl w:val="0"/>
              </w:rPr>
            </w:r>
          </w:p>
        </w:tc>
        <w:tc>
          <w:tcPr>
            <w:shd w:fill="auto" w:val="clear"/>
            <w:vAlign w:val="center"/>
          </w:tcPr>
          <w:p w:rsidR="00000000" w:rsidDel="00000000" w:rsidP="00000000" w:rsidRDefault="00000000" w:rsidRPr="00000000" w14:paraId="000006D8">
            <w:pPr>
              <w:spacing w:after="0" w:line="240" w:lineRule="auto"/>
              <w:jc w:val="right"/>
              <w:rPr>
                <w:rFonts w:ascii="Times New Roman" w:cs="Times New Roman" w:eastAsia="Times New Roman" w:hAnsi="Times New Roman"/>
                <w:sz w:val="18"/>
                <w:szCs w:val="18"/>
              </w:rPr>
            </w:pPr>
            <w:r w:rsidDel="00000000" w:rsidR="00000000" w:rsidRPr="00000000">
              <w:rPr>
                <w:sz w:val="20"/>
                <w:szCs w:val="20"/>
                <w:rtl w:val="0"/>
              </w:rPr>
              <w:t xml:space="preserve"> </w:t>
            </w:r>
            <w:r w:rsidDel="00000000" w:rsidR="00000000" w:rsidRPr="00000000">
              <w:rPr>
                <w:rtl w:val="0"/>
              </w:rPr>
            </w:r>
          </w:p>
        </w:tc>
        <w:tc>
          <w:tcPr>
            <w:shd w:fill="fde8db" w:val="clear"/>
            <w:vAlign w:val="center"/>
          </w:tcPr>
          <w:p w:rsidR="00000000" w:rsidDel="00000000" w:rsidP="00000000" w:rsidRDefault="00000000" w:rsidRPr="00000000" w14:paraId="000006D9">
            <w:pPr>
              <w:spacing w:after="0" w:line="240" w:lineRule="auto"/>
              <w:jc w:val="right"/>
              <w:rPr>
                <w:sz w:val="20"/>
                <w:szCs w:val="20"/>
              </w:rPr>
            </w:pPr>
            <w:r w:rsidDel="00000000" w:rsidR="00000000" w:rsidRPr="00000000">
              <w:rPr>
                <w:sz w:val="20"/>
                <w:szCs w:val="20"/>
                <w:rtl w:val="0"/>
              </w:rPr>
              <w:t xml:space="preserve">1</w:t>
            </w:r>
          </w:p>
        </w:tc>
        <w:tc>
          <w:tcPr>
            <w:shd w:fill="auto" w:val="clear"/>
            <w:vAlign w:val="center"/>
          </w:tcPr>
          <w:p w:rsidR="00000000" w:rsidDel="00000000" w:rsidP="00000000" w:rsidRDefault="00000000" w:rsidRPr="00000000" w14:paraId="000006DA">
            <w:pPr>
              <w:spacing w:after="0" w:line="240" w:lineRule="auto"/>
              <w:jc w:val="right"/>
              <w:rPr>
                <w:sz w:val="20"/>
                <w:szCs w:val="20"/>
              </w:rPr>
            </w:pPr>
            <w:r w:rsidDel="00000000" w:rsidR="00000000" w:rsidRPr="00000000">
              <w:rPr>
                <w:rtl w:val="0"/>
              </w:rPr>
            </w:r>
          </w:p>
        </w:tc>
        <w:tc>
          <w:tcPr>
            <w:shd w:fill="fde8db" w:val="clear"/>
            <w:vAlign w:val="center"/>
          </w:tcPr>
          <w:p w:rsidR="00000000" w:rsidDel="00000000" w:rsidP="00000000" w:rsidRDefault="00000000" w:rsidRPr="00000000" w14:paraId="000006DB">
            <w:pPr>
              <w:spacing w:after="0" w:line="240" w:lineRule="auto"/>
              <w:jc w:val="right"/>
              <w:rPr>
                <w:sz w:val="20"/>
                <w:szCs w:val="20"/>
              </w:rPr>
            </w:pPr>
            <w:r w:rsidDel="00000000" w:rsidR="00000000" w:rsidRPr="00000000">
              <w:rPr>
                <w:sz w:val="20"/>
                <w:szCs w:val="20"/>
                <w:rtl w:val="0"/>
              </w:rPr>
              <w:t xml:space="preserve">1</w:t>
            </w:r>
          </w:p>
        </w:tc>
        <w:tc>
          <w:tcPr>
            <w:shd w:fill="auto" w:val="clear"/>
            <w:vAlign w:val="center"/>
          </w:tcPr>
          <w:p w:rsidR="00000000" w:rsidDel="00000000" w:rsidP="00000000" w:rsidRDefault="00000000" w:rsidRPr="00000000" w14:paraId="000006DC">
            <w:pPr>
              <w:spacing w:after="0" w:line="240" w:lineRule="auto"/>
              <w:jc w:val="right"/>
              <w:rPr>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6DD">
            <w:pPr>
              <w:spacing w:after="0" w:line="240" w:lineRule="auto"/>
              <w:jc w:val="right"/>
              <w:rPr>
                <w:sz w:val="20"/>
                <w:szCs w:val="20"/>
              </w:rPr>
            </w:pPr>
            <w:r w:rsidDel="00000000" w:rsidR="00000000" w:rsidRPr="00000000">
              <w:rPr>
                <w:rtl w:val="0"/>
              </w:rPr>
            </w:r>
          </w:p>
        </w:tc>
      </w:tr>
      <w:tr>
        <w:trPr>
          <w:cantSplit w:val="0"/>
          <w:trHeight w:val="300" w:hRule="atLeast"/>
          <w:tblHeader w:val="0"/>
        </w:trPr>
        <w:tc>
          <w:tcPr>
            <w:tcBorders>
              <w:left w:color="000000" w:space="0" w:sz="0" w:val="nil"/>
            </w:tcBorders>
            <w:shd w:fill="auto" w:val="clear"/>
            <w:vAlign w:val="center"/>
          </w:tcPr>
          <w:p w:rsidR="00000000" w:rsidDel="00000000" w:rsidP="00000000" w:rsidRDefault="00000000" w:rsidRPr="00000000" w14:paraId="000006DE">
            <w:pPr>
              <w:spacing w:after="0" w:line="240" w:lineRule="auto"/>
              <w:rPr>
                <w:sz w:val="20"/>
                <w:szCs w:val="20"/>
              </w:rPr>
            </w:pPr>
            <w:r w:rsidDel="00000000" w:rsidR="00000000" w:rsidRPr="00000000">
              <w:rPr>
                <w:sz w:val="20"/>
                <w:szCs w:val="20"/>
                <w:rtl w:val="0"/>
              </w:rPr>
              <w:t xml:space="preserve">J1c2k</w:t>
            </w:r>
          </w:p>
        </w:tc>
        <w:tc>
          <w:tcPr>
            <w:shd w:fill="auto" w:val="clear"/>
            <w:vAlign w:val="center"/>
          </w:tcPr>
          <w:p w:rsidR="00000000" w:rsidDel="00000000" w:rsidP="00000000" w:rsidRDefault="00000000" w:rsidRPr="00000000" w14:paraId="000006DF">
            <w:pPr>
              <w:spacing w:after="0" w:line="240" w:lineRule="auto"/>
              <w:jc w:val="right"/>
              <w:rPr>
                <w:rFonts w:ascii="Times New Roman" w:cs="Times New Roman" w:eastAsia="Times New Roman" w:hAnsi="Times New Roman"/>
                <w:sz w:val="18"/>
                <w:szCs w:val="18"/>
              </w:rPr>
            </w:pPr>
            <w:r w:rsidDel="00000000" w:rsidR="00000000" w:rsidRPr="00000000">
              <w:rPr>
                <w:rtl w:val="0"/>
              </w:rPr>
            </w:r>
          </w:p>
        </w:tc>
        <w:tc>
          <w:tcPr>
            <w:shd w:fill="auto" w:val="clear"/>
            <w:vAlign w:val="center"/>
          </w:tcPr>
          <w:p w:rsidR="00000000" w:rsidDel="00000000" w:rsidP="00000000" w:rsidRDefault="00000000" w:rsidRPr="00000000" w14:paraId="000006E0">
            <w:pPr>
              <w:spacing w:after="0" w:line="240" w:lineRule="auto"/>
              <w:jc w:val="right"/>
              <w:rPr>
                <w:rFonts w:ascii="Times New Roman" w:cs="Times New Roman" w:eastAsia="Times New Roman" w:hAnsi="Times New Roman"/>
                <w:sz w:val="18"/>
                <w:szCs w:val="18"/>
              </w:rPr>
            </w:pPr>
            <w:r w:rsidDel="00000000" w:rsidR="00000000" w:rsidRPr="00000000">
              <w:rPr>
                <w:sz w:val="20"/>
                <w:szCs w:val="20"/>
                <w:rtl w:val="0"/>
              </w:rPr>
              <w:t xml:space="preserve"> </w:t>
            </w:r>
            <w:r w:rsidDel="00000000" w:rsidR="00000000" w:rsidRPr="00000000">
              <w:rPr>
                <w:rtl w:val="0"/>
              </w:rPr>
            </w:r>
          </w:p>
        </w:tc>
        <w:tc>
          <w:tcPr>
            <w:shd w:fill="fde8db" w:val="clear"/>
            <w:vAlign w:val="center"/>
          </w:tcPr>
          <w:p w:rsidR="00000000" w:rsidDel="00000000" w:rsidP="00000000" w:rsidRDefault="00000000" w:rsidRPr="00000000" w14:paraId="000006E1">
            <w:pPr>
              <w:spacing w:after="0" w:line="240" w:lineRule="auto"/>
              <w:jc w:val="right"/>
              <w:rPr>
                <w:sz w:val="20"/>
                <w:szCs w:val="20"/>
              </w:rPr>
            </w:pPr>
            <w:r w:rsidDel="00000000" w:rsidR="00000000" w:rsidRPr="00000000">
              <w:rPr>
                <w:sz w:val="20"/>
                <w:szCs w:val="20"/>
                <w:rtl w:val="0"/>
              </w:rPr>
              <w:t xml:space="preserve">1</w:t>
            </w:r>
          </w:p>
        </w:tc>
        <w:tc>
          <w:tcPr>
            <w:shd w:fill="fde8db" w:val="clear"/>
            <w:vAlign w:val="center"/>
          </w:tcPr>
          <w:p w:rsidR="00000000" w:rsidDel="00000000" w:rsidP="00000000" w:rsidRDefault="00000000" w:rsidRPr="00000000" w14:paraId="000006E2">
            <w:pPr>
              <w:spacing w:after="0" w:line="240" w:lineRule="auto"/>
              <w:jc w:val="right"/>
              <w:rPr>
                <w:sz w:val="20"/>
                <w:szCs w:val="20"/>
              </w:rPr>
            </w:pPr>
            <w:r w:rsidDel="00000000" w:rsidR="00000000" w:rsidRPr="00000000">
              <w:rPr>
                <w:sz w:val="20"/>
                <w:szCs w:val="20"/>
                <w:rtl w:val="0"/>
              </w:rPr>
              <w:t xml:space="preserve">1</w:t>
            </w:r>
          </w:p>
        </w:tc>
        <w:tc>
          <w:tcPr>
            <w:shd w:fill="auto" w:val="clear"/>
            <w:vAlign w:val="center"/>
          </w:tcPr>
          <w:p w:rsidR="00000000" w:rsidDel="00000000" w:rsidP="00000000" w:rsidRDefault="00000000" w:rsidRPr="00000000" w14:paraId="000006E3">
            <w:pPr>
              <w:spacing w:after="0" w:line="240" w:lineRule="auto"/>
              <w:jc w:val="right"/>
              <w:rPr>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6E4">
            <w:pPr>
              <w:spacing w:after="0" w:line="240" w:lineRule="auto"/>
              <w:jc w:val="right"/>
              <w:rPr>
                <w:rFonts w:ascii="Times New Roman" w:cs="Times New Roman" w:eastAsia="Times New Roman" w:hAnsi="Times New Roman"/>
                <w:sz w:val="18"/>
                <w:szCs w:val="18"/>
              </w:rPr>
            </w:pPr>
            <w:r w:rsidDel="00000000" w:rsidR="00000000" w:rsidRPr="00000000">
              <w:rPr>
                <w:rtl w:val="0"/>
              </w:rPr>
            </w:r>
          </w:p>
        </w:tc>
        <w:tc>
          <w:tcPr>
            <w:shd w:fill="auto" w:val="clear"/>
            <w:vAlign w:val="center"/>
          </w:tcPr>
          <w:p w:rsidR="00000000" w:rsidDel="00000000" w:rsidP="00000000" w:rsidRDefault="00000000" w:rsidRPr="00000000" w14:paraId="000006E5">
            <w:pPr>
              <w:spacing w:after="0" w:line="240" w:lineRule="auto"/>
              <w:jc w:val="right"/>
              <w:rPr>
                <w:rFonts w:ascii="Times New Roman" w:cs="Times New Roman" w:eastAsia="Times New Roman" w:hAnsi="Times New Roman"/>
                <w:sz w:val="18"/>
                <w:szCs w:val="18"/>
              </w:rPr>
            </w:pPr>
            <w:r w:rsidDel="00000000" w:rsidR="00000000" w:rsidRPr="00000000">
              <w:rPr>
                <w:rtl w:val="0"/>
              </w:rPr>
            </w:r>
          </w:p>
        </w:tc>
      </w:tr>
      <w:tr>
        <w:trPr>
          <w:cantSplit w:val="0"/>
          <w:trHeight w:val="300" w:hRule="atLeast"/>
          <w:tblHeader w:val="0"/>
        </w:trPr>
        <w:tc>
          <w:tcPr>
            <w:tcBorders>
              <w:left w:color="000000" w:space="0" w:sz="0" w:val="nil"/>
            </w:tcBorders>
            <w:shd w:fill="auto" w:val="clear"/>
            <w:vAlign w:val="center"/>
          </w:tcPr>
          <w:p w:rsidR="00000000" w:rsidDel="00000000" w:rsidP="00000000" w:rsidRDefault="00000000" w:rsidRPr="00000000" w14:paraId="000006E6">
            <w:pPr>
              <w:spacing w:after="0" w:line="240" w:lineRule="auto"/>
              <w:rPr>
                <w:sz w:val="20"/>
                <w:szCs w:val="20"/>
              </w:rPr>
            </w:pPr>
            <w:r w:rsidDel="00000000" w:rsidR="00000000" w:rsidRPr="00000000">
              <w:rPr>
                <w:sz w:val="20"/>
                <w:szCs w:val="20"/>
                <w:rtl w:val="0"/>
              </w:rPr>
              <w:t xml:space="preserve">J2b1a3</w:t>
            </w:r>
          </w:p>
        </w:tc>
        <w:tc>
          <w:tcPr>
            <w:shd w:fill="auto" w:val="clear"/>
            <w:vAlign w:val="center"/>
          </w:tcPr>
          <w:p w:rsidR="00000000" w:rsidDel="00000000" w:rsidP="00000000" w:rsidRDefault="00000000" w:rsidRPr="00000000" w14:paraId="000006E7">
            <w:pPr>
              <w:spacing w:after="0" w:line="240" w:lineRule="auto"/>
              <w:jc w:val="right"/>
              <w:rPr>
                <w:rFonts w:ascii="Times New Roman" w:cs="Times New Roman" w:eastAsia="Times New Roman" w:hAnsi="Times New Roman"/>
                <w:sz w:val="18"/>
                <w:szCs w:val="18"/>
              </w:rPr>
            </w:pPr>
            <w:r w:rsidDel="00000000" w:rsidR="00000000" w:rsidRPr="00000000">
              <w:rPr>
                <w:rtl w:val="0"/>
              </w:rPr>
            </w:r>
          </w:p>
        </w:tc>
        <w:tc>
          <w:tcPr>
            <w:shd w:fill="fde8db" w:val="clear"/>
            <w:vAlign w:val="center"/>
          </w:tcPr>
          <w:p w:rsidR="00000000" w:rsidDel="00000000" w:rsidP="00000000" w:rsidRDefault="00000000" w:rsidRPr="00000000" w14:paraId="000006E8">
            <w:pPr>
              <w:spacing w:after="0" w:line="240" w:lineRule="auto"/>
              <w:jc w:val="right"/>
              <w:rPr>
                <w:sz w:val="20"/>
                <w:szCs w:val="20"/>
              </w:rPr>
            </w:pPr>
            <w:r w:rsidDel="00000000" w:rsidR="00000000" w:rsidRPr="00000000">
              <w:rPr>
                <w:sz w:val="20"/>
                <w:szCs w:val="20"/>
                <w:rtl w:val="0"/>
              </w:rPr>
              <w:t xml:space="preserve">2</w:t>
            </w:r>
          </w:p>
        </w:tc>
        <w:tc>
          <w:tcPr>
            <w:shd w:fill="auto" w:val="clear"/>
            <w:vAlign w:val="center"/>
          </w:tcPr>
          <w:p w:rsidR="00000000" w:rsidDel="00000000" w:rsidP="00000000" w:rsidRDefault="00000000" w:rsidRPr="00000000" w14:paraId="000006E9">
            <w:pPr>
              <w:spacing w:after="0" w:line="240" w:lineRule="auto"/>
              <w:jc w:val="right"/>
              <w:rPr>
                <w:sz w:val="20"/>
                <w:szCs w:val="20"/>
              </w:rPr>
            </w:pPr>
            <w:r w:rsidDel="00000000" w:rsidR="00000000" w:rsidRPr="00000000">
              <w:rPr>
                <w:rtl w:val="0"/>
              </w:rPr>
            </w:r>
          </w:p>
        </w:tc>
        <w:tc>
          <w:tcPr>
            <w:shd w:fill="fde8db" w:val="clear"/>
            <w:vAlign w:val="center"/>
          </w:tcPr>
          <w:p w:rsidR="00000000" w:rsidDel="00000000" w:rsidP="00000000" w:rsidRDefault="00000000" w:rsidRPr="00000000" w14:paraId="000006EA">
            <w:pPr>
              <w:spacing w:after="0" w:line="240" w:lineRule="auto"/>
              <w:jc w:val="right"/>
              <w:rPr>
                <w:sz w:val="20"/>
                <w:szCs w:val="20"/>
              </w:rPr>
            </w:pPr>
            <w:r w:rsidDel="00000000" w:rsidR="00000000" w:rsidRPr="00000000">
              <w:rPr>
                <w:sz w:val="20"/>
                <w:szCs w:val="20"/>
                <w:rtl w:val="0"/>
              </w:rPr>
              <w:t xml:space="preserve">1</w:t>
            </w:r>
          </w:p>
        </w:tc>
        <w:tc>
          <w:tcPr>
            <w:shd w:fill="auto" w:val="clear"/>
            <w:vAlign w:val="center"/>
          </w:tcPr>
          <w:p w:rsidR="00000000" w:rsidDel="00000000" w:rsidP="00000000" w:rsidRDefault="00000000" w:rsidRPr="00000000" w14:paraId="000006EB">
            <w:pPr>
              <w:spacing w:after="0" w:line="240" w:lineRule="auto"/>
              <w:jc w:val="right"/>
              <w:rPr>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6EC">
            <w:pPr>
              <w:spacing w:after="0" w:line="240" w:lineRule="auto"/>
              <w:jc w:val="right"/>
              <w:rPr>
                <w:rFonts w:ascii="Times New Roman" w:cs="Times New Roman" w:eastAsia="Times New Roman" w:hAnsi="Times New Roman"/>
                <w:sz w:val="18"/>
                <w:szCs w:val="18"/>
              </w:rPr>
            </w:pPr>
            <w:r w:rsidDel="00000000" w:rsidR="00000000" w:rsidRPr="00000000">
              <w:rPr>
                <w:rtl w:val="0"/>
              </w:rPr>
            </w:r>
          </w:p>
        </w:tc>
        <w:tc>
          <w:tcPr>
            <w:shd w:fill="auto" w:val="clear"/>
            <w:vAlign w:val="center"/>
          </w:tcPr>
          <w:p w:rsidR="00000000" w:rsidDel="00000000" w:rsidP="00000000" w:rsidRDefault="00000000" w:rsidRPr="00000000" w14:paraId="000006ED">
            <w:pPr>
              <w:spacing w:after="0" w:line="240" w:lineRule="auto"/>
              <w:jc w:val="right"/>
              <w:rPr>
                <w:rFonts w:ascii="Times New Roman" w:cs="Times New Roman" w:eastAsia="Times New Roman" w:hAnsi="Times New Roman"/>
                <w:sz w:val="18"/>
                <w:szCs w:val="18"/>
              </w:rPr>
            </w:pPr>
            <w:r w:rsidDel="00000000" w:rsidR="00000000" w:rsidRPr="00000000">
              <w:rPr>
                <w:rtl w:val="0"/>
              </w:rPr>
            </w:r>
          </w:p>
        </w:tc>
      </w:tr>
      <w:tr>
        <w:trPr>
          <w:cantSplit w:val="0"/>
          <w:trHeight w:val="300" w:hRule="atLeast"/>
          <w:tblHeader w:val="0"/>
        </w:trPr>
        <w:tc>
          <w:tcPr>
            <w:tcBorders>
              <w:left w:color="000000" w:space="0" w:sz="0" w:val="nil"/>
            </w:tcBorders>
            <w:shd w:fill="auto" w:val="clear"/>
            <w:vAlign w:val="center"/>
          </w:tcPr>
          <w:p w:rsidR="00000000" w:rsidDel="00000000" w:rsidP="00000000" w:rsidRDefault="00000000" w:rsidRPr="00000000" w14:paraId="000006EE">
            <w:pPr>
              <w:spacing w:after="0" w:line="240" w:lineRule="auto"/>
              <w:rPr>
                <w:i w:val="1"/>
                <w:sz w:val="20"/>
                <w:szCs w:val="20"/>
              </w:rPr>
            </w:pPr>
            <w:r w:rsidDel="00000000" w:rsidR="00000000" w:rsidRPr="00000000">
              <w:rPr>
                <w:sz w:val="20"/>
                <w:szCs w:val="20"/>
                <w:rtl w:val="0"/>
              </w:rPr>
              <w:t xml:space="preserve">T1a1b</w:t>
            </w:r>
            <w:r w:rsidDel="00000000" w:rsidR="00000000" w:rsidRPr="00000000">
              <w:rPr>
                <w:rtl w:val="0"/>
              </w:rPr>
            </w:r>
          </w:p>
        </w:tc>
        <w:tc>
          <w:tcPr>
            <w:shd w:fill="auto" w:val="clear"/>
            <w:vAlign w:val="center"/>
          </w:tcPr>
          <w:p w:rsidR="00000000" w:rsidDel="00000000" w:rsidP="00000000" w:rsidRDefault="00000000" w:rsidRPr="00000000" w14:paraId="000006EF">
            <w:pPr>
              <w:spacing w:after="0" w:line="240" w:lineRule="auto"/>
              <w:jc w:val="right"/>
              <w:rPr>
                <w:rFonts w:ascii="Times New Roman" w:cs="Times New Roman" w:eastAsia="Times New Roman" w:hAnsi="Times New Roman"/>
                <w:sz w:val="18"/>
                <w:szCs w:val="18"/>
              </w:rPr>
            </w:pPr>
            <w:r w:rsidDel="00000000" w:rsidR="00000000" w:rsidRPr="00000000">
              <w:rPr>
                <w:rtl w:val="0"/>
              </w:rPr>
            </w:r>
          </w:p>
        </w:tc>
        <w:tc>
          <w:tcPr>
            <w:shd w:fill="fde8db" w:val="clear"/>
            <w:vAlign w:val="center"/>
          </w:tcPr>
          <w:p w:rsidR="00000000" w:rsidDel="00000000" w:rsidP="00000000" w:rsidRDefault="00000000" w:rsidRPr="00000000" w14:paraId="000006F0">
            <w:pPr>
              <w:spacing w:after="0" w:line="240" w:lineRule="auto"/>
              <w:jc w:val="right"/>
              <w:rPr>
                <w:sz w:val="20"/>
                <w:szCs w:val="20"/>
              </w:rPr>
            </w:pPr>
            <w:r w:rsidDel="00000000" w:rsidR="00000000" w:rsidRPr="00000000">
              <w:rPr>
                <w:sz w:val="20"/>
                <w:szCs w:val="20"/>
                <w:rtl w:val="0"/>
              </w:rPr>
              <w:t xml:space="preserve">1</w:t>
            </w:r>
          </w:p>
        </w:tc>
        <w:tc>
          <w:tcPr>
            <w:shd w:fill="fde8db" w:val="clear"/>
            <w:vAlign w:val="center"/>
          </w:tcPr>
          <w:p w:rsidR="00000000" w:rsidDel="00000000" w:rsidP="00000000" w:rsidRDefault="00000000" w:rsidRPr="00000000" w14:paraId="000006F1">
            <w:pPr>
              <w:spacing w:after="0" w:line="240" w:lineRule="auto"/>
              <w:jc w:val="right"/>
              <w:rPr>
                <w:sz w:val="20"/>
                <w:szCs w:val="20"/>
              </w:rPr>
            </w:pPr>
            <w:r w:rsidDel="00000000" w:rsidR="00000000" w:rsidRPr="00000000">
              <w:rPr>
                <w:sz w:val="20"/>
                <w:szCs w:val="20"/>
                <w:rtl w:val="0"/>
              </w:rPr>
              <w:t xml:space="preserve">1</w:t>
            </w:r>
          </w:p>
        </w:tc>
        <w:tc>
          <w:tcPr>
            <w:shd w:fill="fde8db" w:val="clear"/>
            <w:vAlign w:val="center"/>
          </w:tcPr>
          <w:p w:rsidR="00000000" w:rsidDel="00000000" w:rsidP="00000000" w:rsidRDefault="00000000" w:rsidRPr="00000000" w14:paraId="000006F2">
            <w:pPr>
              <w:spacing w:after="0" w:line="240" w:lineRule="auto"/>
              <w:jc w:val="right"/>
              <w:rPr>
                <w:sz w:val="20"/>
                <w:szCs w:val="20"/>
              </w:rPr>
            </w:pPr>
            <w:r w:rsidDel="00000000" w:rsidR="00000000" w:rsidRPr="00000000">
              <w:rPr>
                <w:sz w:val="20"/>
                <w:szCs w:val="20"/>
                <w:rtl w:val="0"/>
              </w:rPr>
              <w:t xml:space="preserve">1</w:t>
            </w:r>
          </w:p>
        </w:tc>
        <w:tc>
          <w:tcPr>
            <w:shd w:fill="auto" w:val="clear"/>
            <w:vAlign w:val="center"/>
          </w:tcPr>
          <w:p w:rsidR="00000000" w:rsidDel="00000000" w:rsidP="00000000" w:rsidRDefault="00000000" w:rsidRPr="00000000" w14:paraId="000006F3">
            <w:pPr>
              <w:spacing w:after="0" w:line="240" w:lineRule="auto"/>
              <w:jc w:val="right"/>
              <w:rPr>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6F4">
            <w:pPr>
              <w:spacing w:after="0" w:line="240" w:lineRule="auto"/>
              <w:jc w:val="right"/>
              <w:rPr>
                <w:rFonts w:ascii="Times New Roman" w:cs="Times New Roman" w:eastAsia="Times New Roman" w:hAnsi="Times New Roman"/>
                <w:sz w:val="18"/>
                <w:szCs w:val="18"/>
              </w:rPr>
            </w:pPr>
            <w:r w:rsidDel="00000000" w:rsidR="00000000" w:rsidRPr="00000000">
              <w:rPr>
                <w:rtl w:val="0"/>
              </w:rPr>
            </w:r>
          </w:p>
        </w:tc>
        <w:tc>
          <w:tcPr>
            <w:shd w:fill="auto" w:val="clear"/>
            <w:vAlign w:val="center"/>
          </w:tcPr>
          <w:p w:rsidR="00000000" w:rsidDel="00000000" w:rsidP="00000000" w:rsidRDefault="00000000" w:rsidRPr="00000000" w14:paraId="000006F5">
            <w:pPr>
              <w:spacing w:after="0" w:line="240" w:lineRule="auto"/>
              <w:jc w:val="right"/>
              <w:rPr>
                <w:rFonts w:ascii="Times New Roman" w:cs="Times New Roman" w:eastAsia="Times New Roman" w:hAnsi="Times New Roman"/>
                <w:sz w:val="18"/>
                <w:szCs w:val="18"/>
              </w:rPr>
            </w:pPr>
            <w:r w:rsidDel="00000000" w:rsidR="00000000" w:rsidRPr="00000000">
              <w:rPr>
                <w:rtl w:val="0"/>
              </w:rPr>
            </w:r>
          </w:p>
        </w:tc>
      </w:tr>
      <w:tr>
        <w:trPr>
          <w:cantSplit w:val="0"/>
          <w:trHeight w:val="300" w:hRule="atLeast"/>
          <w:tblHeader w:val="0"/>
        </w:trPr>
        <w:tc>
          <w:tcPr>
            <w:tcBorders>
              <w:left w:color="000000" w:space="0" w:sz="0" w:val="nil"/>
            </w:tcBorders>
            <w:shd w:fill="auto" w:val="clear"/>
            <w:vAlign w:val="center"/>
          </w:tcPr>
          <w:p w:rsidR="00000000" w:rsidDel="00000000" w:rsidP="00000000" w:rsidRDefault="00000000" w:rsidRPr="00000000" w14:paraId="000006F6">
            <w:pPr>
              <w:spacing w:after="0" w:line="240" w:lineRule="auto"/>
              <w:rPr>
                <w:i w:val="1"/>
                <w:sz w:val="20"/>
                <w:szCs w:val="20"/>
              </w:rPr>
            </w:pPr>
            <w:r w:rsidDel="00000000" w:rsidR="00000000" w:rsidRPr="00000000">
              <w:rPr>
                <w:i w:val="1"/>
                <w:sz w:val="20"/>
                <w:szCs w:val="20"/>
                <w:rtl w:val="0"/>
              </w:rPr>
              <w:t xml:space="preserve">T2b+152</w:t>
            </w:r>
          </w:p>
        </w:tc>
        <w:tc>
          <w:tcPr>
            <w:shd w:fill="auto" w:val="clear"/>
            <w:vAlign w:val="center"/>
          </w:tcPr>
          <w:p w:rsidR="00000000" w:rsidDel="00000000" w:rsidP="00000000" w:rsidRDefault="00000000" w:rsidRPr="00000000" w14:paraId="000006F7">
            <w:pPr>
              <w:spacing w:after="0" w:line="240" w:lineRule="auto"/>
              <w:jc w:val="right"/>
              <w:rPr>
                <w:rFonts w:ascii="Times New Roman" w:cs="Times New Roman" w:eastAsia="Times New Roman" w:hAnsi="Times New Roman"/>
                <w:sz w:val="18"/>
                <w:szCs w:val="18"/>
              </w:rPr>
            </w:pPr>
            <w:r w:rsidDel="00000000" w:rsidR="00000000" w:rsidRPr="00000000">
              <w:rPr>
                <w:rtl w:val="0"/>
              </w:rPr>
            </w:r>
          </w:p>
        </w:tc>
        <w:tc>
          <w:tcPr>
            <w:shd w:fill="auto" w:val="clear"/>
            <w:vAlign w:val="center"/>
          </w:tcPr>
          <w:p w:rsidR="00000000" w:rsidDel="00000000" w:rsidP="00000000" w:rsidRDefault="00000000" w:rsidRPr="00000000" w14:paraId="000006F8">
            <w:pPr>
              <w:spacing w:after="0" w:line="240" w:lineRule="auto"/>
              <w:jc w:val="right"/>
              <w:rPr>
                <w:sz w:val="20"/>
                <w:szCs w:val="20"/>
              </w:rPr>
            </w:pPr>
            <w:r w:rsidDel="00000000" w:rsidR="00000000" w:rsidRPr="00000000">
              <w:rPr>
                <w:sz w:val="20"/>
                <w:szCs w:val="20"/>
                <w:rtl w:val="0"/>
              </w:rPr>
              <w:t xml:space="preserve"> </w:t>
            </w:r>
          </w:p>
        </w:tc>
        <w:tc>
          <w:tcPr>
            <w:shd w:fill="fde8db" w:val="clear"/>
            <w:vAlign w:val="center"/>
          </w:tcPr>
          <w:p w:rsidR="00000000" w:rsidDel="00000000" w:rsidP="00000000" w:rsidRDefault="00000000" w:rsidRPr="00000000" w14:paraId="000006F9">
            <w:pPr>
              <w:spacing w:after="0" w:line="240" w:lineRule="auto"/>
              <w:jc w:val="right"/>
              <w:rPr>
                <w:sz w:val="20"/>
                <w:szCs w:val="20"/>
              </w:rPr>
            </w:pPr>
            <w:r w:rsidDel="00000000" w:rsidR="00000000" w:rsidRPr="00000000">
              <w:rPr>
                <w:sz w:val="20"/>
                <w:szCs w:val="20"/>
                <w:rtl w:val="0"/>
              </w:rPr>
              <w:t xml:space="preserve">1</w:t>
            </w:r>
          </w:p>
        </w:tc>
        <w:tc>
          <w:tcPr>
            <w:shd w:fill="fde8db" w:val="clear"/>
            <w:vAlign w:val="center"/>
          </w:tcPr>
          <w:p w:rsidR="00000000" w:rsidDel="00000000" w:rsidP="00000000" w:rsidRDefault="00000000" w:rsidRPr="00000000" w14:paraId="000006FA">
            <w:pPr>
              <w:spacing w:after="0" w:line="240" w:lineRule="auto"/>
              <w:jc w:val="right"/>
              <w:rPr>
                <w:sz w:val="20"/>
                <w:szCs w:val="20"/>
              </w:rPr>
            </w:pPr>
            <w:r w:rsidDel="00000000" w:rsidR="00000000" w:rsidRPr="00000000">
              <w:rPr>
                <w:sz w:val="20"/>
                <w:szCs w:val="20"/>
                <w:rtl w:val="0"/>
              </w:rPr>
              <w:t xml:space="preserve">1</w:t>
            </w:r>
          </w:p>
        </w:tc>
        <w:tc>
          <w:tcPr>
            <w:shd w:fill="auto" w:val="clear"/>
            <w:vAlign w:val="center"/>
          </w:tcPr>
          <w:p w:rsidR="00000000" w:rsidDel="00000000" w:rsidP="00000000" w:rsidRDefault="00000000" w:rsidRPr="00000000" w14:paraId="000006FB">
            <w:pPr>
              <w:spacing w:after="0" w:line="240" w:lineRule="auto"/>
              <w:jc w:val="right"/>
              <w:rPr>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6FC">
            <w:pPr>
              <w:spacing w:after="0" w:line="240" w:lineRule="auto"/>
              <w:jc w:val="right"/>
              <w:rPr>
                <w:rFonts w:ascii="Times New Roman" w:cs="Times New Roman" w:eastAsia="Times New Roman" w:hAnsi="Times New Roman"/>
                <w:sz w:val="18"/>
                <w:szCs w:val="18"/>
              </w:rPr>
            </w:pPr>
            <w:r w:rsidDel="00000000" w:rsidR="00000000" w:rsidRPr="00000000">
              <w:rPr>
                <w:rtl w:val="0"/>
              </w:rPr>
            </w:r>
          </w:p>
        </w:tc>
        <w:tc>
          <w:tcPr>
            <w:shd w:fill="fde8db" w:val="clear"/>
            <w:vAlign w:val="center"/>
          </w:tcPr>
          <w:p w:rsidR="00000000" w:rsidDel="00000000" w:rsidP="00000000" w:rsidRDefault="00000000" w:rsidRPr="00000000" w14:paraId="000006FD">
            <w:pPr>
              <w:spacing w:after="0" w:line="240" w:lineRule="auto"/>
              <w:jc w:val="right"/>
              <w:rPr>
                <w:rFonts w:ascii="Times New Roman" w:cs="Times New Roman" w:eastAsia="Times New Roman" w:hAnsi="Times New Roman"/>
                <w:sz w:val="18"/>
                <w:szCs w:val="18"/>
              </w:rPr>
            </w:pPr>
            <w:r w:rsidDel="00000000" w:rsidR="00000000" w:rsidRPr="00000000">
              <w:rPr>
                <w:sz w:val="20"/>
                <w:szCs w:val="20"/>
                <w:rtl w:val="0"/>
              </w:rPr>
              <w:t xml:space="preserve">1</w:t>
            </w:r>
            <w:r w:rsidDel="00000000" w:rsidR="00000000" w:rsidRPr="00000000">
              <w:rPr>
                <w:rtl w:val="0"/>
              </w:rPr>
            </w:r>
          </w:p>
        </w:tc>
      </w:tr>
      <w:tr>
        <w:trPr>
          <w:cantSplit w:val="0"/>
          <w:trHeight w:val="300" w:hRule="atLeast"/>
          <w:tblHeader w:val="0"/>
        </w:trPr>
        <w:tc>
          <w:tcPr>
            <w:tcBorders>
              <w:left w:color="000000" w:space="0" w:sz="0" w:val="nil"/>
            </w:tcBorders>
            <w:shd w:fill="auto" w:val="clear"/>
            <w:vAlign w:val="center"/>
          </w:tcPr>
          <w:p w:rsidR="00000000" w:rsidDel="00000000" w:rsidP="00000000" w:rsidRDefault="00000000" w:rsidRPr="00000000" w14:paraId="000006FE">
            <w:pPr>
              <w:spacing w:after="0" w:line="240" w:lineRule="auto"/>
              <w:rPr>
                <w:i w:val="1"/>
                <w:sz w:val="20"/>
                <w:szCs w:val="20"/>
              </w:rPr>
            </w:pPr>
            <w:r w:rsidDel="00000000" w:rsidR="00000000" w:rsidRPr="00000000">
              <w:rPr>
                <w:i w:val="1"/>
                <w:sz w:val="20"/>
                <w:szCs w:val="20"/>
                <w:rtl w:val="0"/>
              </w:rPr>
              <w:t xml:space="preserve">U4a2a</w:t>
            </w:r>
          </w:p>
        </w:tc>
        <w:tc>
          <w:tcPr>
            <w:shd w:fill="auto" w:val="clear"/>
            <w:vAlign w:val="center"/>
          </w:tcPr>
          <w:p w:rsidR="00000000" w:rsidDel="00000000" w:rsidP="00000000" w:rsidRDefault="00000000" w:rsidRPr="00000000" w14:paraId="000006FF">
            <w:pPr>
              <w:spacing w:after="0" w:line="240" w:lineRule="auto"/>
              <w:jc w:val="right"/>
              <w:rPr>
                <w:rFonts w:ascii="Times New Roman" w:cs="Times New Roman" w:eastAsia="Times New Roman" w:hAnsi="Times New Roman"/>
                <w:sz w:val="18"/>
                <w:szCs w:val="18"/>
              </w:rPr>
            </w:pPr>
            <w:r w:rsidDel="00000000" w:rsidR="00000000" w:rsidRPr="00000000">
              <w:rPr>
                <w:rtl w:val="0"/>
              </w:rPr>
            </w:r>
          </w:p>
        </w:tc>
        <w:tc>
          <w:tcPr>
            <w:shd w:fill="fde8db" w:val="clear"/>
            <w:vAlign w:val="center"/>
          </w:tcPr>
          <w:p w:rsidR="00000000" w:rsidDel="00000000" w:rsidP="00000000" w:rsidRDefault="00000000" w:rsidRPr="00000000" w14:paraId="00000700">
            <w:pPr>
              <w:spacing w:after="0" w:line="240" w:lineRule="auto"/>
              <w:jc w:val="right"/>
              <w:rPr>
                <w:rFonts w:ascii="Times New Roman" w:cs="Times New Roman" w:eastAsia="Times New Roman" w:hAnsi="Times New Roman"/>
                <w:sz w:val="18"/>
                <w:szCs w:val="18"/>
              </w:rPr>
            </w:pPr>
            <w:r w:rsidDel="00000000" w:rsidR="00000000" w:rsidRPr="00000000">
              <w:rPr>
                <w:sz w:val="20"/>
                <w:szCs w:val="20"/>
                <w:rtl w:val="0"/>
              </w:rPr>
              <w:t xml:space="preserve">1</w:t>
            </w:r>
            <w:r w:rsidDel="00000000" w:rsidR="00000000" w:rsidRPr="00000000">
              <w:rPr>
                <w:rtl w:val="0"/>
              </w:rPr>
            </w:r>
          </w:p>
        </w:tc>
        <w:tc>
          <w:tcPr>
            <w:shd w:fill="auto" w:val="clear"/>
            <w:vAlign w:val="center"/>
          </w:tcPr>
          <w:p w:rsidR="00000000" w:rsidDel="00000000" w:rsidP="00000000" w:rsidRDefault="00000000" w:rsidRPr="00000000" w14:paraId="00000701">
            <w:pPr>
              <w:spacing w:after="0" w:line="240" w:lineRule="auto"/>
              <w:jc w:val="right"/>
              <w:rPr>
                <w:sz w:val="20"/>
                <w:szCs w:val="20"/>
              </w:rPr>
            </w:pPr>
            <w:r w:rsidDel="00000000" w:rsidR="00000000" w:rsidRPr="00000000">
              <w:rPr>
                <w:rtl w:val="0"/>
              </w:rPr>
            </w:r>
          </w:p>
        </w:tc>
        <w:tc>
          <w:tcPr>
            <w:shd w:fill="fde8db" w:val="clear"/>
            <w:vAlign w:val="center"/>
          </w:tcPr>
          <w:p w:rsidR="00000000" w:rsidDel="00000000" w:rsidP="00000000" w:rsidRDefault="00000000" w:rsidRPr="00000000" w14:paraId="00000702">
            <w:pPr>
              <w:spacing w:after="0" w:line="240" w:lineRule="auto"/>
              <w:jc w:val="right"/>
              <w:rPr>
                <w:sz w:val="20"/>
                <w:szCs w:val="20"/>
              </w:rPr>
            </w:pPr>
            <w:r w:rsidDel="00000000" w:rsidR="00000000" w:rsidRPr="00000000">
              <w:rPr>
                <w:sz w:val="20"/>
                <w:szCs w:val="20"/>
                <w:rtl w:val="0"/>
              </w:rPr>
              <w:t xml:space="preserve">1</w:t>
            </w:r>
          </w:p>
        </w:tc>
        <w:tc>
          <w:tcPr>
            <w:shd w:fill="auto" w:val="clear"/>
            <w:vAlign w:val="center"/>
          </w:tcPr>
          <w:p w:rsidR="00000000" w:rsidDel="00000000" w:rsidP="00000000" w:rsidRDefault="00000000" w:rsidRPr="00000000" w14:paraId="00000703">
            <w:pPr>
              <w:spacing w:after="0" w:line="240" w:lineRule="auto"/>
              <w:jc w:val="right"/>
              <w:rPr>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704">
            <w:pPr>
              <w:spacing w:after="0" w:line="240" w:lineRule="auto"/>
              <w:jc w:val="right"/>
              <w:rPr>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705">
            <w:pPr>
              <w:spacing w:after="0" w:line="240" w:lineRule="auto"/>
              <w:jc w:val="right"/>
              <w:rPr>
                <w:sz w:val="20"/>
                <w:szCs w:val="20"/>
              </w:rPr>
            </w:pPr>
            <w:r w:rsidDel="00000000" w:rsidR="00000000" w:rsidRPr="00000000">
              <w:rPr>
                <w:rtl w:val="0"/>
              </w:rPr>
            </w:r>
          </w:p>
        </w:tc>
      </w:tr>
      <w:tr>
        <w:trPr>
          <w:cantSplit w:val="0"/>
          <w:trHeight w:val="300" w:hRule="atLeast"/>
          <w:tblHeader w:val="0"/>
        </w:trPr>
        <w:tc>
          <w:tcPr>
            <w:tcBorders>
              <w:left w:color="000000" w:space="0" w:sz="0" w:val="nil"/>
            </w:tcBorders>
            <w:shd w:fill="auto" w:val="clear"/>
            <w:vAlign w:val="center"/>
          </w:tcPr>
          <w:p w:rsidR="00000000" w:rsidDel="00000000" w:rsidP="00000000" w:rsidRDefault="00000000" w:rsidRPr="00000000" w14:paraId="00000706">
            <w:pPr>
              <w:spacing w:after="0" w:line="240" w:lineRule="auto"/>
              <w:rPr>
                <w:i w:val="1"/>
                <w:sz w:val="20"/>
                <w:szCs w:val="20"/>
              </w:rPr>
            </w:pPr>
            <w:r w:rsidDel="00000000" w:rsidR="00000000" w:rsidRPr="00000000">
              <w:rPr>
                <w:sz w:val="20"/>
                <w:szCs w:val="20"/>
                <w:rtl w:val="0"/>
              </w:rPr>
              <w:t xml:space="preserve">U5b2a1a2</w:t>
            </w:r>
            <w:r w:rsidDel="00000000" w:rsidR="00000000" w:rsidRPr="00000000">
              <w:rPr>
                <w:rtl w:val="0"/>
              </w:rPr>
            </w:r>
          </w:p>
        </w:tc>
        <w:tc>
          <w:tcPr>
            <w:shd w:fill="auto" w:val="clear"/>
            <w:vAlign w:val="center"/>
          </w:tcPr>
          <w:p w:rsidR="00000000" w:rsidDel="00000000" w:rsidP="00000000" w:rsidRDefault="00000000" w:rsidRPr="00000000" w14:paraId="00000707">
            <w:pPr>
              <w:spacing w:after="0" w:line="240" w:lineRule="auto"/>
              <w:jc w:val="right"/>
              <w:rPr>
                <w:rFonts w:ascii="Times New Roman" w:cs="Times New Roman" w:eastAsia="Times New Roman" w:hAnsi="Times New Roman"/>
                <w:sz w:val="18"/>
                <w:szCs w:val="18"/>
              </w:rPr>
            </w:pPr>
            <w:r w:rsidDel="00000000" w:rsidR="00000000" w:rsidRPr="00000000">
              <w:rPr>
                <w:rtl w:val="0"/>
              </w:rPr>
            </w:r>
          </w:p>
        </w:tc>
        <w:tc>
          <w:tcPr>
            <w:shd w:fill="fde8db" w:val="clear"/>
            <w:vAlign w:val="center"/>
          </w:tcPr>
          <w:p w:rsidR="00000000" w:rsidDel="00000000" w:rsidP="00000000" w:rsidRDefault="00000000" w:rsidRPr="00000000" w14:paraId="00000708">
            <w:pPr>
              <w:spacing w:after="0" w:line="240" w:lineRule="auto"/>
              <w:jc w:val="right"/>
              <w:rPr>
                <w:sz w:val="20"/>
                <w:szCs w:val="20"/>
              </w:rPr>
            </w:pPr>
            <w:r w:rsidDel="00000000" w:rsidR="00000000" w:rsidRPr="00000000">
              <w:rPr>
                <w:sz w:val="20"/>
                <w:szCs w:val="20"/>
                <w:rtl w:val="0"/>
              </w:rPr>
              <w:t xml:space="preserve">1</w:t>
            </w:r>
          </w:p>
        </w:tc>
        <w:tc>
          <w:tcPr>
            <w:shd w:fill="auto" w:val="clear"/>
            <w:vAlign w:val="center"/>
          </w:tcPr>
          <w:p w:rsidR="00000000" w:rsidDel="00000000" w:rsidP="00000000" w:rsidRDefault="00000000" w:rsidRPr="00000000" w14:paraId="00000709">
            <w:pPr>
              <w:spacing w:after="0" w:line="240" w:lineRule="auto"/>
              <w:jc w:val="right"/>
              <w:rPr>
                <w:sz w:val="20"/>
                <w:szCs w:val="20"/>
              </w:rPr>
            </w:pPr>
            <w:r w:rsidDel="00000000" w:rsidR="00000000" w:rsidRPr="00000000">
              <w:rPr>
                <w:rtl w:val="0"/>
              </w:rPr>
            </w:r>
          </w:p>
        </w:tc>
        <w:tc>
          <w:tcPr>
            <w:shd w:fill="fde8db" w:val="clear"/>
            <w:vAlign w:val="center"/>
          </w:tcPr>
          <w:p w:rsidR="00000000" w:rsidDel="00000000" w:rsidP="00000000" w:rsidRDefault="00000000" w:rsidRPr="00000000" w14:paraId="0000070A">
            <w:pPr>
              <w:spacing w:after="0" w:line="240" w:lineRule="auto"/>
              <w:jc w:val="right"/>
              <w:rPr>
                <w:sz w:val="20"/>
                <w:szCs w:val="20"/>
              </w:rPr>
            </w:pPr>
            <w:r w:rsidDel="00000000" w:rsidR="00000000" w:rsidRPr="00000000">
              <w:rPr>
                <w:sz w:val="20"/>
                <w:szCs w:val="20"/>
                <w:rtl w:val="0"/>
              </w:rPr>
              <w:t xml:space="preserve">1</w:t>
            </w:r>
          </w:p>
        </w:tc>
        <w:tc>
          <w:tcPr>
            <w:shd w:fill="auto" w:val="clear"/>
            <w:vAlign w:val="center"/>
          </w:tcPr>
          <w:p w:rsidR="00000000" w:rsidDel="00000000" w:rsidP="00000000" w:rsidRDefault="00000000" w:rsidRPr="00000000" w14:paraId="0000070B">
            <w:pPr>
              <w:spacing w:after="0" w:line="240" w:lineRule="auto"/>
              <w:jc w:val="right"/>
              <w:rPr>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70C">
            <w:pPr>
              <w:spacing w:after="0" w:line="240" w:lineRule="auto"/>
              <w:jc w:val="right"/>
              <w:rPr>
                <w:rFonts w:ascii="Times New Roman" w:cs="Times New Roman" w:eastAsia="Times New Roman" w:hAnsi="Times New Roman"/>
                <w:sz w:val="18"/>
                <w:szCs w:val="18"/>
              </w:rPr>
            </w:pPr>
            <w:r w:rsidDel="00000000" w:rsidR="00000000" w:rsidRPr="00000000">
              <w:rPr>
                <w:rtl w:val="0"/>
              </w:rPr>
            </w:r>
          </w:p>
        </w:tc>
        <w:tc>
          <w:tcPr>
            <w:shd w:fill="auto" w:val="clear"/>
            <w:vAlign w:val="center"/>
          </w:tcPr>
          <w:p w:rsidR="00000000" w:rsidDel="00000000" w:rsidP="00000000" w:rsidRDefault="00000000" w:rsidRPr="00000000" w14:paraId="0000070D">
            <w:pPr>
              <w:spacing w:after="0" w:line="240" w:lineRule="auto"/>
              <w:jc w:val="right"/>
              <w:rPr>
                <w:rFonts w:ascii="Times New Roman" w:cs="Times New Roman" w:eastAsia="Times New Roman" w:hAnsi="Times New Roman"/>
                <w:sz w:val="18"/>
                <w:szCs w:val="18"/>
              </w:rPr>
            </w:pPr>
            <w:r w:rsidDel="00000000" w:rsidR="00000000" w:rsidRPr="00000000">
              <w:rPr>
                <w:rtl w:val="0"/>
              </w:rPr>
            </w:r>
          </w:p>
        </w:tc>
      </w:tr>
      <w:tr>
        <w:trPr>
          <w:cantSplit w:val="0"/>
          <w:trHeight w:val="300" w:hRule="atLeast"/>
          <w:tblHeader w:val="0"/>
        </w:trPr>
        <w:tc>
          <w:tcPr>
            <w:tcBorders>
              <w:left w:color="000000" w:space="0" w:sz="0" w:val="nil"/>
            </w:tcBorders>
            <w:shd w:fill="auto" w:val="clear"/>
            <w:vAlign w:val="center"/>
          </w:tcPr>
          <w:p w:rsidR="00000000" w:rsidDel="00000000" w:rsidP="00000000" w:rsidRDefault="00000000" w:rsidRPr="00000000" w14:paraId="0000070E">
            <w:pPr>
              <w:spacing w:after="0" w:line="240" w:lineRule="auto"/>
              <w:rPr>
                <w:sz w:val="20"/>
                <w:szCs w:val="20"/>
              </w:rPr>
            </w:pPr>
            <w:r w:rsidDel="00000000" w:rsidR="00000000" w:rsidRPr="00000000">
              <w:rPr>
                <w:i w:val="1"/>
                <w:sz w:val="20"/>
                <w:szCs w:val="20"/>
                <w:rtl w:val="0"/>
              </w:rPr>
              <w:t xml:space="preserve">K1a*</w:t>
            </w:r>
            <w:r w:rsidDel="00000000" w:rsidR="00000000" w:rsidRPr="00000000">
              <w:rPr>
                <w:rtl w:val="0"/>
              </w:rPr>
            </w:r>
          </w:p>
        </w:tc>
        <w:tc>
          <w:tcPr>
            <w:shd w:fill="auto" w:val="clear"/>
            <w:vAlign w:val="center"/>
          </w:tcPr>
          <w:p w:rsidR="00000000" w:rsidDel="00000000" w:rsidP="00000000" w:rsidRDefault="00000000" w:rsidRPr="00000000" w14:paraId="0000070F">
            <w:pPr>
              <w:spacing w:after="0" w:line="240" w:lineRule="auto"/>
              <w:jc w:val="right"/>
              <w:rPr>
                <w:rFonts w:ascii="Times New Roman" w:cs="Times New Roman" w:eastAsia="Times New Roman" w:hAnsi="Times New Roman"/>
                <w:sz w:val="18"/>
                <w:szCs w:val="18"/>
              </w:rPr>
            </w:pPr>
            <w:r w:rsidDel="00000000" w:rsidR="00000000" w:rsidRPr="00000000">
              <w:rPr>
                <w:rtl w:val="0"/>
              </w:rPr>
            </w:r>
          </w:p>
        </w:tc>
        <w:tc>
          <w:tcPr>
            <w:shd w:fill="fde8db" w:val="clear"/>
            <w:vAlign w:val="center"/>
          </w:tcPr>
          <w:p w:rsidR="00000000" w:rsidDel="00000000" w:rsidP="00000000" w:rsidRDefault="00000000" w:rsidRPr="00000000" w14:paraId="00000710">
            <w:pPr>
              <w:spacing w:after="0" w:line="240" w:lineRule="auto"/>
              <w:jc w:val="right"/>
              <w:rPr>
                <w:sz w:val="20"/>
                <w:szCs w:val="20"/>
              </w:rPr>
            </w:pPr>
            <w:r w:rsidDel="00000000" w:rsidR="00000000" w:rsidRPr="00000000">
              <w:rPr>
                <w:sz w:val="20"/>
                <w:szCs w:val="20"/>
                <w:rtl w:val="0"/>
              </w:rPr>
              <w:t xml:space="preserve">3</w:t>
            </w:r>
          </w:p>
        </w:tc>
        <w:tc>
          <w:tcPr>
            <w:shd w:fill="auto" w:val="clear"/>
            <w:vAlign w:val="center"/>
          </w:tcPr>
          <w:p w:rsidR="00000000" w:rsidDel="00000000" w:rsidP="00000000" w:rsidRDefault="00000000" w:rsidRPr="00000000" w14:paraId="00000711">
            <w:pPr>
              <w:spacing w:after="0" w:line="240" w:lineRule="auto"/>
              <w:jc w:val="right"/>
              <w:rPr>
                <w:sz w:val="20"/>
                <w:szCs w:val="20"/>
              </w:rPr>
            </w:pPr>
            <w:r w:rsidDel="00000000" w:rsidR="00000000" w:rsidRPr="00000000">
              <w:rPr>
                <w:rtl w:val="0"/>
              </w:rPr>
            </w:r>
          </w:p>
        </w:tc>
        <w:tc>
          <w:tcPr>
            <w:shd w:fill="fde8db" w:val="clear"/>
            <w:vAlign w:val="center"/>
          </w:tcPr>
          <w:p w:rsidR="00000000" w:rsidDel="00000000" w:rsidP="00000000" w:rsidRDefault="00000000" w:rsidRPr="00000000" w14:paraId="00000712">
            <w:pPr>
              <w:spacing w:after="0" w:line="240" w:lineRule="auto"/>
              <w:jc w:val="right"/>
              <w:rPr>
                <w:sz w:val="20"/>
                <w:szCs w:val="20"/>
              </w:rPr>
            </w:pPr>
            <w:r w:rsidDel="00000000" w:rsidR="00000000" w:rsidRPr="00000000">
              <w:rPr>
                <w:sz w:val="20"/>
                <w:szCs w:val="20"/>
                <w:rtl w:val="0"/>
              </w:rPr>
              <w:t xml:space="preserve">1</w:t>
            </w:r>
          </w:p>
        </w:tc>
        <w:tc>
          <w:tcPr>
            <w:shd w:fill="auto" w:val="clear"/>
            <w:vAlign w:val="center"/>
          </w:tcPr>
          <w:p w:rsidR="00000000" w:rsidDel="00000000" w:rsidP="00000000" w:rsidRDefault="00000000" w:rsidRPr="00000000" w14:paraId="00000713">
            <w:pPr>
              <w:spacing w:after="0" w:line="240" w:lineRule="auto"/>
              <w:jc w:val="right"/>
              <w:rPr>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714">
            <w:pPr>
              <w:spacing w:after="0" w:line="240" w:lineRule="auto"/>
              <w:jc w:val="right"/>
              <w:rPr>
                <w:rFonts w:ascii="Times New Roman" w:cs="Times New Roman" w:eastAsia="Times New Roman" w:hAnsi="Times New Roman"/>
                <w:sz w:val="18"/>
                <w:szCs w:val="18"/>
              </w:rPr>
            </w:pPr>
            <w:r w:rsidDel="00000000" w:rsidR="00000000" w:rsidRPr="00000000">
              <w:rPr>
                <w:rtl w:val="0"/>
              </w:rPr>
            </w:r>
          </w:p>
        </w:tc>
        <w:tc>
          <w:tcPr>
            <w:shd w:fill="auto" w:val="clear"/>
            <w:vAlign w:val="center"/>
          </w:tcPr>
          <w:p w:rsidR="00000000" w:rsidDel="00000000" w:rsidP="00000000" w:rsidRDefault="00000000" w:rsidRPr="00000000" w14:paraId="00000715">
            <w:pPr>
              <w:spacing w:after="0" w:line="240" w:lineRule="auto"/>
              <w:jc w:val="right"/>
              <w:rPr>
                <w:rFonts w:ascii="Times New Roman" w:cs="Times New Roman" w:eastAsia="Times New Roman" w:hAnsi="Times New Roman"/>
                <w:sz w:val="18"/>
                <w:szCs w:val="18"/>
              </w:rPr>
            </w:pPr>
            <w:r w:rsidDel="00000000" w:rsidR="00000000" w:rsidRPr="00000000">
              <w:rPr>
                <w:rtl w:val="0"/>
              </w:rPr>
            </w:r>
          </w:p>
        </w:tc>
      </w:tr>
      <w:tr>
        <w:trPr>
          <w:cantSplit w:val="0"/>
          <w:trHeight w:val="300" w:hRule="atLeast"/>
          <w:tblHeader w:val="0"/>
        </w:trPr>
        <w:tc>
          <w:tcPr>
            <w:tcBorders>
              <w:left w:color="000000" w:space="0" w:sz="0" w:val="nil"/>
            </w:tcBorders>
            <w:shd w:fill="auto" w:val="clear"/>
            <w:vAlign w:val="center"/>
          </w:tcPr>
          <w:p w:rsidR="00000000" w:rsidDel="00000000" w:rsidP="00000000" w:rsidRDefault="00000000" w:rsidRPr="00000000" w14:paraId="00000716">
            <w:pPr>
              <w:spacing w:after="0" w:line="240" w:lineRule="auto"/>
              <w:rPr>
                <w:i w:val="1"/>
                <w:sz w:val="20"/>
                <w:szCs w:val="20"/>
              </w:rPr>
            </w:pPr>
            <w:r w:rsidDel="00000000" w:rsidR="00000000" w:rsidRPr="00000000">
              <w:rPr>
                <w:i w:val="1"/>
                <w:sz w:val="20"/>
                <w:szCs w:val="20"/>
                <w:rtl w:val="0"/>
              </w:rPr>
              <w:t xml:space="preserve">W1*</w:t>
            </w:r>
          </w:p>
        </w:tc>
        <w:tc>
          <w:tcPr>
            <w:shd w:fill="auto" w:val="clear"/>
            <w:vAlign w:val="center"/>
          </w:tcPr>
          <w:p w:rsidR="00000000" w:rsidDel="00000000" w:rsidP="00000000" w:rsidRDefault="00000000" w:rsidRPr="00000000" w14:paraId="00000717">
            <w:pPr>
              <w:spacing w:after="0" w:line="240" w:lineRule="auto"/>
              <w:jc w:val="right"/>
              <w:rPr>
                <w:rFonts w:ascii="Times New Roman" w:cs="Times New Roman" w:eastAsia="Times New Roman" w:hAnsi="Times New Roman"/>
                <w:sz w:val="18"/>
                <w:szCs w:val="18"/>
              </w:rPr>
            </w:pPr>
            <w:r w:rsidDel="00000000" w:rsidR="00000000" w:rsidRPr="00000000">
              <w:rPr>
                <w:rtl w:val="0"/>
              </w:rPr>
            </w:r>
          </w:p>
        </w:tc>
        <w:tc>
          <w:tcPr>
            <w:shd w:fill="fde8db" w:val="clear"/>
            <w:vAlign w:val="center"/>
          </w:tcPr>
          <w:p w:rsidR="00000000" w:rsidDel="00000000" w:rsidP="00000000" w:rsidRDefault="00000000" w:rsidRPr="00000000" w14:paraId="00000718">
            <w:pPr>
              <w:spacing w:after="0" w:line="240" w:lineRule="auto"/>
              <w:jc w:val="right"/>
              <w:rPr>
                <w:sz w:val="20"/>
                <w:szCs w:val="20"/>
              </w:rPr>
            </w:pPr>
            <w:r w:rsidDel="00000000" w:rsidR="00000000" w:rsidRPr="00000000">
              <w:rPr>
                <w:sz w:val="20"/>
                <w:szCs w:val="20"/>
                <w:rtl w:val="0"/>
              </w:rPr>
              <w:t xml:space="preserve">1</w:t>
            </w:r>
          </w:p>
        </w:tc>
        <w:tc>
          <w:tcPr>
            <w:shd w:fill="auto" w:val="clear"/>
            <w:vAlign w:val="center"/>
          </w:tcPr>
          <w:p w:rsidR="00000000" w:rsidDel="00000000" w:rsidP="00000000" w:rsidRDefault="00000000" w:rsidRPr="00000000" w14:paraId="00000719">
            <w:pPr>
              <w:spacing w:after="0" w:line="240" w:lineRule="auto"/>
              <w:jc w:val="right"/>
              <w:rPr>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71A">
            <w:pPr>
              <w:spacing w:after="0" w:line="240" w:lineRule="auto"/>
              <w:jc w:val="right"/>
              <w:rPr>
                <w:rFonts w:ascii="Times New Roman" w:cs="Times New Roman" w:eastAsia="Times New Roman" w:hAnsi="Times New Roman"/>
                <w:sz w:val="18"/>
                <w:szCs w:val="18"/>
              </w:rPr>
            </w:pPr>
            <w:r w:rsidDel="00000000" w:rsidR="00000000" w:rsidRPr="00000000">
              <w:rPr>
                <w:rtl w:val="0"/>
              </w:rPr>
            </w:r>
          </w:p>
        </w:tc>
        <w:tc>
          <w:tcPr>
            <w:shd w:fill="fde8db" w:val="clear"/>
            <w:vAlign w:val="center"/>
          </w:tcPr>
          <w:p w:rsidR="00000000" w:rsidDel="00000000" w:rsidP="00000000" w:rsidRDefault="00000000" w:rsidRPr="00000000" w14:paraId="0000071B">
            <w:pPr>
              <w:spacing w:after="0" w:line="240" w:lineRule="auto"/>
              <w:jc w:val="right"/>
              <w:rPr>
                <w:sz w:val="20"/>
                <w:szCs w:val="20"/>
              </w:rPr>
            </w:pPr>
            <w:r w:rsidDel="00000000" w:rsidR="00000000" w:rsidRPr="00000000">
              <w:rPr>
                <w:sz w:val="20"/>
                <w:szCs w:val="20"/>
                <w:rtl w:val="0"/>
              </w:rPr>
              <w:t xml:space="preserve">1</w:t>
            </w:r>
          </w:p>
        </w:tc>
        <w:tc>
          <w:tcPr>
            <w:shd w:fill="auto" w:val="clear"/>
            <w:vAlign w:val="center"/>
          </w:tcPr>
          <w:p w:rsidR="00000000" w:rsidDel="00000000" w:rsidP="00000000" w:rsidRDefault="00000000" w:rsidRPr="00000000" w14:paraId="0000071C">
            <w:pPr>
              <w:spacing w:after="0" w:line="240" w:lineRule="auto"/>
              <w:jc w:val="right"/>
              <w:rPr>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71D">
            <w:pPr>
              <w:spacing w:after="0" w:line="240" w:lineRule="auto"/>
              <w:jc w:val="right"/>
              <w:rPr>
                <w:sz w:val="20"/>
                <w:szCs w:val="20"/>
              </w:rPr>
            </w:pPr>
            <w:r w:rsidDel="00000000" w:rsidR="00000000" w:rsidRPr="00000000">
              <w:rPr>
                <w:rtl w:val="0"/>
              </w:rPr>
            </w:r>
          </w:p>
        </w:tc>
      </w:tr>
      <w:tr>
        <w:trPr>
          <w:cantSplit w:val="0"/>
          <w:trHeight w:val="300" w:hRule="atLeast"/>
          <w:tblHeader w:val="0"/>
        </w:trPr>
        <w:tc>
          <w:tcPr>
            <w:tcBorders>
              <w:left w:color="000000" w:space="0" w:sz="0" w:val="nil"/>
              <w:bottom w:color="000000" w:space="0" w:sz="4" w:val="single"/>
            </w:tcBorders>
            <w:shd w:fill="auto" w:val="clear"/>
            <w:vAlign w:val="center"/>
          </w:tcPr>
          <w:p w:rsidR="00000000" w:rsidDel="00000000" w:rsidP="00000000" w:rsidRDefault="00000000" w:rsidRPr="00000000" w14:paraId="0000071E">
            <w:pPr>
              <w:spacing w:after="0" w:line="240" w:lineRule="auto"/>
              <w:rPr>
                <w:sz w:val="20"/>
                <w:szCs w:val="20"/>
              </w:rPr>
            </w:pPr>
            <w:r w:rsidDel="00000000" w:rsidR="00000000" w:rsidRPr="00000000">
              <w:rPr>
                <w:sz w:val="20"/>
                <w:szCs w:val="20"/>
                <w:rtl w:val="0"/>
              </w:rPr>
              <w:t xml:space="preserve">W3a1</w:t>
            </w:r>
          </w:p>
        </w:tc>
        <w:tc>
          <w:tcPr>
            <w:tcBorders>
              <w:bottom w:color="000000" w:space="0" w:sz="4" w:val="single"/>
            </w:tcBorders>
            <w:shd w:fill="auto" w:val="clear"/>
            <w:vAlign w:val="center"/>
          </w:tcPr>
          <w:p w:rsidR="00000000" w:rsidDel="00000000" w:rsidP="00000000" w:rsidRDefault="00000000" w:rsidRPr="00000000" w14:paraId="0000071F">
            <w:pPr>
              <w:spacing w:after="0" w:line="240" w:lineRule="auto"/>
              <w:jc w:val="right"/>
              <w:rPr>
                <w:rFonts w:ascii="Times New Roman" w:cs="Times New Roman" w:eastAsia="Times New Roman" w:hAnsi="Times New Roman"/>
                <w:sz w:val="18"/>
                <w:szCs w:val="18"/>
              </w:rPr>
            </w:pPr>
            <w:r w:rsidDel="00000000" w:rsidR="00000000" w:rsidRPr="00000000">
              <w:rPr>
                <w:rtl w:val="0"/>
              </w:rPr>
            </w:r>
          </w:p>
        </w:tc>
        <w:tc>
          <w:tcPr>
            <w:tcBorders>
              <w:bottom w:color="000000" w:space="0" w:sz="4" w:val="single"/>
            </w:tcBorders>
            <w:shd w:fill="auto" w:val="clear"/>
            <w:vAlign w:val="center"/>
          </w:tcPr>
          <w:p w:rsidR="00000000" w:rsidDel="00000000" w:rsidP="00000000" w:rsidRDefault="00000000" w:rsidRPr="00000000" w14:paraId="00000720">
            <w:pPr>
              <w:spacing w:after="0" w:line="240" w:lineRule="auto"/>
              <w:jc w:val="right"/>
              <w:rPr>
                <w:rFonts w:ascii="Times New Roman" w:cs="Times New Roman" w:eastAsia="Times New Roman" w:hAnsi="Times New Roman"/>
                <w:sz w:val="18"/>
                <w:szCs w:val="18"/>
              </w:rPr>
            </w:pPr>
            <w:r w:rsidDel="00000000" w:rsidR="00000000" w:rsidRPr="00000000">
              <w:rPr>
                <w:sz w:val="20"/>
                <w:szCs w:val="20"/>
                <w:rtl w:val="0"/>
              </w:rPr>
              <w:t xml:space="preserve"> </w:t>
            </w:r>
            <w:r w:rsidDel="00000000" w:rsidR="00000000" w:rsidRPr="00000000">
              <w:rPr>
                <w:rtl w:val="0"/>
              </w:rPr>
            </w:r>
          </w:p>
        </w:tc>
        <w:tc>
          <w:tcPr>
            <w:tcBorders>
              <w:bottom w:color="000000" w:space="0" w:sz="4" w:val="single"/>
            </w:tcBorders>
            <w:shd w:fill="fde8db" w:val="clear"/>
            <w:vAlign w:val="center"/>
          </w:tcPr>
          <w:p w:rsidR="00000000" w:rsidDel="00000000" w:rsidP="00000000" w:rsidRDefault="00000000" w:rsidRPr="00000000" w14:paraId="00000721">
            <w:pPr>
              <w:spacing w:after="0" w:line="240" w:lineRule="auto"/>
              <w:jc w:val="right"/>
              <w:rPr>
                <w:sz w:val="20"/>
                <w:szCs w:val="20"/>
              </w:rPr>
            </w:pPr>
            <w:r w:rsidDel="00000000" w:rsidR="00000000" w:rsidRPr="00000000">
              <w:rPr>
                <w:sz w:val="20"/>
                <w:szCs w:val="20"/>
                <w:rtl w:val="0"/>
              </w:rPr>
              <w:t xml:space="preserve">1</w:t>
            </w:r>
          </w:p>
        </w:tc>
        <w:tc>
          <w:tcPr>
            <w:tcBorders>
              <w:bottom w:color="000000" w:space="0" w:sz="4" w:val="single"/>
            </w:tcBorders>
            <w:shd w:fill="fde8db" w:val="clear"/>
            <w:vAlign w:val="center"/>
          </w:tcPr>
          <w:p w:rsidR="00000000" w:rsidDel="00000000" w:rsidP="00000000" w:rsidRDefault="00000000" w:rsidRPr="00000000" w14:paraId="00000722">
            <w:pPr>
              <w:spacing w:after="0" w:line="240" w:lineRule="auto"/>
              <w:jc w:val="right"/>
              <w:rPr>
                <w:sz w:val="20"/>
                <w:szCs w:val="20"/>
              </w:rPr>
            </w:pPr>
            <w:r w:rsidDel="00000000" w:rsidR="00000000" w:rsidRPr="00000000">
              <w:rPr>
                <w:sz w:val="20"/>
                <w:szCs w:val="20"/>
                <w:rtl w:val="0"/>
              </w:rPr>
              <w:t xml:space="preserve">1</w:t>
            </w:r>
          </w:p>
        </w:tc>
        <w:tc>
          <w:tcPr>
            <w:tcBorders>
              <w:bottom w:color="000000" w:space="0" w:sz="4" w:val="single"/>
            </w:tcBorders>
            <w:shd w:fill="auto" w:val="clear"/>
            <w:vAlign w:val="center"/>
          </w:tcPr>
          <w:p w:rsidR="00000000" w:rsidDel="00000000" w:rsidP="00000000" w:rsidRDefault="00000000" w:rsidRPr="00000000" w14:paraId="00000723">
            <w:pPr>
              <w:spacing w:after="0" w:line="240" w:lineRule="auto"/>
              <w:jc w:val="right"/>
              <w:rPr>
                <w:sz w:val="20"/>
                <w:szCs w:val="20"/>
              </w:rPr>
            </w:pPr>
            <w:r w:rsidDel="00000000" w:rsidR="00000000" w:rsidRPr="00000000">
              <w:rPr>
                <w:rtl w:val="0"/>
              </w:rPr>
            </w:r>
          </w:p>
        </w:tc>
        <w:tc>
          <w:tcPr>
            <w:tcBorders>
              <w:bottom w:color="000000" w:space="0" w:sz="4" w:val="single"/>
            </w:tcBorders>
            <w:shd w:fill="auto" w:val="clear"/>
            <w:vAlign w:val="center"/>
          </w:tcPr>
          <w:p w:rsidR="00000000" w:rsidDel="00000000" w:rsidP="00000000" w:rsidRDefault="00000000" w:rsidRPr="00000000" w14:paraId="00000724">
            <w:pPr>
              <w:spacing w:after="0" w:line="240" w:lineRule="auto"/>
              <w:jc w:val="right"/>
              <w:rPr>
                <w:rFonts w:ascii="Times New Roman" w:cs="Times New Roman" w:eastAsia="Times New Roman" w:hAnsi="Times New Roman"/>
                <w:sz w:val="18"/>
                <w:szCs w:val="18"/>
              </w:rPr>
            </w:pPr>
            <w:r w:rsidDel="00000000" w:rsidR="00000000" w:rsidRPr="00000000">
              <w:rPr>
                <w:rtl w:val="0"/>
              </w:rPr>
            </w:r>
          </w:p>
        </w:tc>
        <w:tc>
          <w:tcPr>
            <w:tcBorders>
              <w:bottom w:color="000000" w:space="0" w:sz="4" w:val="single"/>
            </w:tcBorders>
            <w:shd w:fill="auto" w:val="clear"/>
            <w:vAlign w:val="center"/>
          </w:tcPr>
          <w:p w:rsidR="00000000" w:rsidDel="00000000" w:rsidP="00000000" w:rsidRDefault="00000000" w:rsidRPr="00000000" w14:paraId="00000725">
            <w:pPr>
              <w:spacing w:after="0" w:line="240" w:lineRule="auto"/>
              <w:jc w:val="right"/>
              <w:rPr>
                <w:rFonts w:ascii="Times New Roman" w:cs="Times New Roman" w:eastAsia="Times New Roman" w:hAnsi="Times New Roman"/>
                <w:sz w:val="18"/>
                <w:szCs w:val="18"/>
              </w:rPr>
            </w:pPr>
            <w:r w:rsidDel="00000000" w:rsidR="00000000" w:rsidRPr="00000000">
              <w:rPr>
                <w:rtl w:val="0"/>
              </w:rPr>
            </w:r>
          </w:p>
        </w:tc>
      </w:tr>
    </w:tbl>
    <w:p w:rsidR="00000000" w:rsidDel="00000000" w:rsidP="00000000" w:rsidRDefault="00000000" w:rsidRPr="00000000" w14:paraId="00000726">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27">
      <w:pPr>
        <w:jc w:val="both"/>
        <w:rPr/>
      </w:pPr>
      <w:r w:rsidDel="00000000" w:rsidR="00000000" w:rsidRPr="00000000">
        <w:rPr>
          <w:rtl w:val="0"/>
        </w:rPr>
        <w:t xml:space="preserve">In conclusion, our analysis revealed that, albeit with some local exceptions, early medieval English individuals (Eng_EMA) carried similar frequencies of mitochondrial lineages of putative local (BritLoc) and continental medieval origin. We also found that Eng_EMA shared more lineages with the continental North Sea region than with the Scandinavian Peninsula, which is not surprising given that most of the Scandinavian sample is represented by individuals from Viking-era burials, and thus might carry different lineages only partially representative of the earlier Scandinavian mitochondrial gene pool.</w:t>
      </w:r>
    </w:p>
    <w:p w:rsidR="00000000" w:rsidDel="00000000" w:rsidP="00000000" w:rsidRDefault="00000000" w:rsidRPr="00000000" w14:paraId="00000728">
      <w:pPr>
        <w:jc w:val="both"/>
        <w:rPr/>
      </w:pPr>
      <w:r w:rsidDel="00000000" w:rsidR="00000000" w:rsidRPr="00000000">
        <w:rPr>
          <w:rtl w:val="0"/>
        </w:rPr>
        <w:t xml:space="preserve">To assess whether this difference is statistically significant – or, more precisely, whether shared lineages are more strongly associated, and hence occur more frequently, with the North Sea region than with the Scandinavian Peninsula – we performed a Pearson’s chi-squared (</w:t>
      </w:r>
      <w:r w:rsidDel="00000000" w:rsidR="00000000" w:rsidRPr="00000000">
        <w:rPr>
          <w:i w:val="1"/>
          <w:rtl w:val="0"/>
        </w:rPr>
        <w:t xml:space="preserve">X</w:t>
      </w:r>
      <w:r w:rsidDel="00000000" w:rsidR="00000000" w:rsidRPr="00000000">
        <w:rPr>
          <w:i w:val="1"/>
          <w:vertAlign w:val="superscript"/>
          <w:rtl w:val="0"/>
        </w:rPr>
        <w:t xml:space="preserve">2</w:t>
      </w:r>
      <w:r w:rsidDel="00000000" w:rsidR="00000000" w:rsidRPr="00000000">
        <w:rPr>
          <w:i w:val="1"/>
          <w:rtl w:val="0"/>
        </w:rPr>
        <w:t xml:space="preserve">) </w:t>
      </w:r>
      <w:r w:rsidDel="00000000" w:rsidR="00000000" w:rsidRPr="00000000">
        <w:rPr>
          <w:rtl w:val="0"/>
        </w:rPr>
        <w:t xml:space="preserve">test of independence under the null hypothesis that there is no association between shared/non-shared lineages and the two sources North Sea/Scandinavia using an alpha = 0.05.</w:t>
      </w:r>
    </w:p>
    <w:p w:rsidR="00000000" w:rsidDel="00000000" w:rsidP="00000000" w:rsidRDefault="00000000" w:rsidRPr="00000000" w14:paraId="00000729">
      <w:pPr>
        <w:jc w:val="both"/>
        <w:rPr/>
      </w:pPr>
      <w:r w:rsidDel="00000000" w:rsidR="00000000" w:rsidRPr="00000000">
        <w:rPr>
          <w:rtl w:val="0"/>
        </w:rPr>
        <w:t xml:space="preserve">To perform the test, we counted only the Eng_EMA lineages that are uniquely shared with NorthSea (</w:t>
      </w:r>
      <w:r w:rsidDel="00000000" w:rsidR="00000000" w:rsidRPr="00000000">
        <w:rPr>
          <w:i w:val="1"/>
          <w:rtl w:val="0"/>
        </w:rPr>
        <w:t xml:space="preserve">n = </w:t>
      </w:r>
      <w:r w:rsidDel="00000000" w:rsidR="00000000" w:rsidRPr="00000000">
        <w:rPr>
          <w:rtl w:val="0"/>
        </w:rPr>
        <w:t xml:space="preserve">26) and Scand (</w:t>
      </w:r>
      <w:r w:rsidDel="00000000" w:rsidR="00000000" w:rsidRPr="00000000">
        <w:rPr>
          <w:i w:val="1"/>
          <w:rtl w:val="0"/>
        </w:rPr>
        <w:t xml:space="preserve">n = </w:t>
      </w:r>
      <w:r w:rsidDel="00000000" w:rsidR="00000000" w:rsidRPr="00000000">
        <w:rPr>
          <w:rtl w:val="0"/>
        </w:rPr>
        <w:t xml:space="preserve">11), as a proportion of the total number of lineages available between each pair (</w:t>
      </w:r>
      <w:r w:rsidDel="00000000" w:rsidR="00000000" w:rsidRPr="00000000">
        <w:rPr>
          <w:i w:val="1"/>
          <w:rtl w:val="0"/>
        </w:rPr>
        <w:t xml:space="preserve">n</w:t>
      </w:r>
      <w:r w:rsidDel="00000000" w:rsidR="00000000" w:rsidRPr="00000000">
        <w:rPr>
          <w:rtl w:val="0"/>
        </w:rPr>
        <w:t xml:space="preserve"> = 194 and </w:t>
      </w:r>
      <w:r w:rsidDel="00000000" w:rsidR="00000000" w:rsidRPr="00000000">
        <w:rPr>
          <w:i w:val="1"/>
          <w:rtl w:val="0"/>
        </w:rPr>
        <w:t xml:space="preserve">n</w:t>
      </w:r>
      <w:r w:rsidDel="00000000" w:rsidR="00000000" w:rsidRPr="00000000">
        <w:rPr>
          <w:rtl w:val="0"/>
        </w:rPr>
        <w:t xml:space="preserve"> = 119, respectively), and excluded from the count the eight lineages that were detected across the three groups (Supp. Figure 2.6).</w:t>
      </w:r>
      <w:r w:rsidDel="00000000" w:rsidR="00000000" w:rsidRPr="00000000">
        <w:rPr>
          <w:i w:val="1"/>
          <w:color w:val="44546a"/>
          <w:sz w:val="18"/>
          <w:szCs w:val="18"/>
          <w:rtl w:val="0"/>
        </w:rPr>
        <w:t xml:space="preserve"> </w:t>
      </w:r>
      <w:r w:rsidDel="00000000" w:rsidR="00000000" w:rsidRPr="00000000">
        <w:rPr>
          <w:rtl w:val="0"/>
        </w:rPr>
        <w:t xml:space="preserve">We found that there was a significant association between the two variables, </w:t>
      </w:r>
      <w:r w:rsidDel="00000000" w:rsidR="00000000" w:rsidRPr="00000000">
        <w:rPr>
          <w:i w:val="1"/>
          <w:rtl w:val="0"/>
        </w:rPr>
        <w:t xml:space="preserve">X</w:t>
      </w:r>
      <w:r w:rsidDel="00000000" w:rsidR="00000000" w:rsidRPr="00000000">
        <w:rPr>
          <w:i w:val="1"/>
          <w:vertAlign w:val="superscript"/>
          <w:rtl w:val="0"/>
        </w:rPr>
        <w:t xml:space="preserve">2</w:t>
      </w:r>
      <w:r w:rsidDel="00000000" w:rsidR="00000000" w:rsidRPr="00000000">
        <w:rPr>
          <w:rtl w:val="0"/>
        </w:rPr>
        <w:t xml:space="preserve"> (1, </w:t>
      </w:r>
      <w:r w:rsidDel="00000000" w:rsidR="00000000" w:rsidRPr="00000000">
        <w:rPr>
          <w:i w:val="1"/>
          <w:rtl w:val="0"/>
        </w:rPr>
        <w:t xml:space="preserve">n</w:t>
      </w:r>
      <w:r w:rsidDel="00000000" w:rsidR="00000000" w:rsidRPr="00000000">
        <w:rPr>
          <w:rtl w:val="0"/>
        </w:rPr>
        <w:t xml:space="preserve"> = 413) = 4.851, </w:t>
      </w:r>
      <w:r w:rsidDel="00000000" w:rsidR="00000000" w:rsidRPr="00000000">
        <w:rPr>
          <w:i w:val="1"/>
          <w:rtl w:val="0"/>
        </w:rPr>
        <w:t xml:space="preserve">p</w:t>
      </w:r>
      <w:r w:rsidDel="00000000" w:rsidR="00000000" w:rsidRPr="00000000">
        <w:rPr>
          <w:rtl w:val="0"/>
        </w:rPr>
        <w:t xml:space="preserve"> = 0.028. We repeated the same test using a more conservative approach and excluded from the count the shared lineages classed “uncertain” (with </w:t>
      </w:r>
      <w:r w:rsidDel="00000000" w:rsidR="00000000" w:rsidRPr="00000000">
        <w:rPr>
          <w:i w:val="1"/>
          <w:rtl w:val="0"/>
        </w:rPr>
        <w:t xml:space="preserve">n</w:t>
      </w:r>
      <w:r w:rsidDel="00000000" w:rsidR="00000000" w:rsidRPr="00000000">
        <w:rPr>
          <w:rtl w:val="0"/>
        </w:rPr>
        <w:t xml:space="preserve"> = 7 and 21 uniquely shared with the two groups, out of </w:t>
      </w:r>
      <w:r w:rsidDel="00000000" w:rsidR="00000000" w:rsidRPr="00000000">
        <w:rPr>
          <w:i w:val="1"/>
          <w:rtl w:val="0"/>
        </w:rPr>
        <w:t xml:space="preserve">n</w:t>
      </w:r>
      <w:r w:rsidDel="00000000" w:rsidR="00000000" w:rsidRPr="00000000">
        <w:rPr>
          <w:rtl w:val="0"/>
        </w:rPr>
        <w:t xml:space="preserve"> = 190 and 114, respectively). The result was again significant, </w:t>
      </w:r>
      <w:r w:rsidDel="00000000" w:rsidR="00000000" w:rsidRPr="00000000">
        <w:rPr>
          <w:i w:val="1"/>
          <w:rtl w:val="0"/>
        </w:rPr>
        <w:t xml:space="preserve">X</w:t>
      </w:r>
      <w:r w:rsidDel="00000000" w:rsidR="00000000" w:rsidRPr="00000000">
        <w:rPr>
          <w:i w:val="1"/>
          <w:vertAlign w:val="superscript"/>
          <w:rtl w:val="0"/>
        </w:rPr>
        <w:t xml:space="preserve">2</w:t>
      </w:r>
      <w:r w:rsidDel="00000000" w:rsidR="00000000" w:rsidRPr="00000000">
        <w:rPr>
          <w:rtl w:val="0"/>
        </w:rPr>
        <w:t xml:space="preserve"> (1, </w:t>
      </w:r>
      <w:r w:rsidDel="00000000" w:rsidR="00000000" w:rsidRPr="00000000">
        <w:rPr>
          <w:i w:val="1"/>
          <w:rtl w:val="0"/>
        </w:rPr>
        <w:t xml:space="preserve">n</w:t>
      </w:r>
      <w:r w:rsidDel="00000000" w:rsidR="00000000" w:rsidRPr="00000000">
        <w:rPr>
          <w:rtl w:val="0"/>
        </w:rPr>
        <w:t xml:space="preserve"> = 404) = 5.861, </w:t>
      </w:r>
      <w:r w:rsidDel="00000000" w:rsidR="00000000" w:rsidRPr="00000000">
        <w:rPr>
          <w:i w:val="1"/>
          <w:rtl w:val="0"/>
        </w:rPr>
        <w:t xml:space="preserve">p</w:t>
      </w:r>
      <w:r w:rsidDel="00000000" w:rsidR="00000000" w:rsidRPr="00000000">
        <w:rPr>
          <w:rtl w:val="0"/>
        </w:rPr>
        <w:t xml:space="preserve"> = 0.015. Therefore, we can conclude that the observed difference in number of shared lineages between Eng_EMA and the two continental sources is significant, and that the shared lineages are more likely to be associated with the North Sea group than with Scandinavia.</w:t>
      </w:r>
    </w:p>
    <w:p w:rsidR="00000000" w:rsidDel="00000000" w:rsidP="00000000" w:rsidRDefault="00000000" w:rsidRPr="00000000" w14:paraId="0000072A">
      <w:pPr>
        <w:pStyle w:val="Heading2"/>
        <w:rPr>
          <w:color w:val="000000"/>
        </w:rPr>
      </w:pPr>
      <w:bookmarkStart w:colFirst="0" w:colLast="0" w:name="_heading=h.111kx3o" w:id="52"/>
      <w:bookmarkEnd w:id="52"/>
      <w:r w:rsidDel="00000000" w:rsidR="00000000" w:rsidRPr="00000000">
        <w:rPr>
          <w:rtl w:val="0"/>
        </w:rPr>
      </w:r>
    </w:p>
    <w:p w:rsidR="00000000" w:rsidDel="00000000" w:rsidP="00000000" w:rsidRDefault="00000000" w:rsidRPr="00000000" w14:paraId="0000072B">
      <w:pPr>
        <w:pStyle w:val="Heading2"/>
        <w:rPr>
          <w:color w:val="000000"/>
        </w:rPr>
      </w:pPr>
      <w:bookmarkStart w:colFirst="0" w:colLast="0" w:name="_heading=h.3l18frh" w:id="53"/>
      <w:bookmarkEnd w:id="53"/>
      <w:r w:rsidDel="00000000" w:rsidR="00000000" w:rsidRPr="00000000">
        <w:rPr>
          <w:color w:val="000000"/>
          <w:rtl w:val="0"/>
        </w:rPr>
        <w:t xml:space="preserve">Y-chromosome</w:t>
      </w:r>
    </w:p>
    <w:p w:rsidR="00000000" w:rsidDel="00000000" w:rsidP="00000000" w:rsidRDefault="00000000" w:rsidRPr="00000000" w14:paraId="0000072C">
      <w:pPr>
        <w:spacing w:after="240" w:before="240" w:lineRule="auto"/>
        <w:rPr/>
      </w:pPr>
      <w:r w:rsidDel="00000000" w:rsidR="00000000" w:rsidRPr="00000000">
        <w:rPr>
          <w:rtl w:val="0"/>
        </w:rPr>
        <w:t xml:space="preserve">The Y-chromosome haplogroups observed in early medieval males from England show a typical north-west European distribution (Supplementary figure 2.7a, Supp. Table 5). We detect a prevalence of R1b-M343 lineages (57%), which is the most common haplogroup in western Europe, with a peak in the Iberian Peninsula and in the British-Irish Isles and a west-east gradient in central Europe</w:t>
      </w:r>
      <w:hyperlink r:id="rId89">
        <w:r w:rsidDel="00000000" w:rsidR="00000000" w:rsidRPr="00000000">
          <w:rPr>
            <w:color w:val="000000"/>
            <w:vertAlign w:val="superscript"/>
            <w:rtl w:val="0"/>
          </w:rPr>
          <w:t xml:space="preserve">151</w:t>
        </w:r>
      </w:hyperlink>
      <w:r w:rsidDel="00000000" w:rsidR="00000000" w:rsidRPr="00000000">
        <w:rPr>
          <w:rtl w:val="0"/>
        </w:rPr>
        <w:t xml:space="preserve">. In our medieval Irish sample from Kilteasheen, 96% of the typed haplogroups belong to R1b-M343. Sub-haplogroup R1b-P312 has been, since the Bell Beaker period, the most frequent haplogroup in Ireland and western Britain</w:t>
      </w:r>
      <w:hyperlink r:id="rId90">
        <w:r w:rsidDel="00000000" w:rsidR="00000000" w:rsidRPr="00000000">
          <w:rPr>
            <w:color w:val="000000"/>
            <w:vertAlign w:val="superscript"/>
            <w:rtl w:val="0"/>
          </w:rPr>
          <w:t xml:space="preserve">87,130</w:t>
        </w:r>
      </w:hyperlink>
      <w:r w:rsidDel="00000000" w:rsidR="00000000" w:rsidRPr="00000000">
        <w:rPr>
          <w:rtl w:val="0"/>
        </w:rPr>
        <w:t xml:space="preserve"> (80% of all haplogroups during the Bronze and Iron Age), as well as in continental Europe southwest of the Rhine river</w:t>
      </w:r>
      <w:hyperlink r:id="rId91">
        <w:r w:rsidDel="00000000" w:rsidR="00000000" w:rsidRPr="00000000">
          <w:rPr>
            <w:color w:val="000000"/>
            <w:vertAlign w:val="superscript"/>
            <w:rtl w:val="0"/>
          </w:rPr>
          <w:t xml:space="preserve">151</w:t>
        </w:r>
      </w:hyperlink>
      <w:r w:rsidDel="00000000" w:rsidR="00000000" w:rsidRPr="00000000">
        <w:rPr>
          <w:rtl w:val="0"/>
        </w:rPr>
        <w:t xml:space="preserve">. In particular, its </w:t>
      </w:r>
      <w:r w:rsidDel="00000000" w:rsidR="00000000" w:rsidRPr="00000000">
        <w:rPr>
          <w:color w:val="202122"/>
          <w:highlight w:val="white"/>
          <w:rtl w:val="0"/>
        </w:rPr>
        <w:t xml:space="preserve">subclade </w:t>
      </w:r>
      <w:r w:rsidDel="00000000" w:rsidR="00000000" w:rsidRPr="00000000">
        <w:rPr>
          <w:rtl w:val="0"/>
        </w:rPr>
        <w:t xml:space="preserve">R1b-L21 is dominant in northern and western Britain as well as in Ireland (at 94%, it is almost fixed in the west of Ireland</w:t>
      </w:r>
      <w:hyperlink r:id="rId92">
        <w:r w:rsidDel="00000000" w:rsidR="00000000" w:rsidRPr="00000000">
          <w:rPr>
            <w:color w:val="000000"/>
            <w:vertAlign w:val="superscript"/>
            <w:rtl w:val="0"/>
          </w:rPr>
          <w:t xml:space="preserve">152,153</w:t>
        </w:r>
      </w:hyperlink>
      <w:r w:rsidDel="00000000" w:rsidR="00000000" w:rsidRPr="00000000">
        <w:rPr>
          <w:rtl w:val="0"/>
        </w:rPr>
        <w:t xml:space="preserve">) and is found in at least nine of our medieval English samples (45% of all R1b-P312 haplogroups), 16 of our medieval Irish individuals (70% of all R1b-P312 haplogroups), and the majority of the previously published Bronze/Iron Age British and Irish males (76% of all R1b-P312 haplogroups)(Supp. Fig. 2.7b). While in Bronze Age and Iron Age Britain R1b-P312 haplogroups are dominant, during the Early Middle Ages, we measure a substantial increase of haplogroup R1b-U106 (66% of all haplogroups typed past R1b-L151, 53% of all R1b* haplogroups, 30% of all classified haplogroups) (Supp. Fig. 2.7b), especially subclade R1b-L48 which peaks in Friesland and North Holland</w:t>
      </w:r>
      <w:hyperlink r:id="rId93">
        <w:r w:rsidDel="00000000" w:rsidR="00000000" w:rsidRPr="00000000">
          <w:rPr>
            <w:color w:val="000000"/>
            <w:vertAlign w:val="superscript"/>
            <w:rtl w:val="0"/>
          </w:rPr>
          <w:t xml:space="preserve">154</w:t>
        </w:r>
      </w:hyperlink>
      <w:r w:rsidDel="00000000" w:rsidR="00000000" w:rsidRPr="00000000">
        <w:rPr>
          <w:rtl w:val="0"/>
        </w:rPr>
        <w:t xml:space="preserve"> (39% of all R1b-U106 haplogroups). The distribution of the R1b-U106 lineage in present-day Europe is centred along the Rhine River. It is the dominant R1b-M343 sub-haplogroup in Germany, the Netherlands, Denmark, Sweden, and Norway</w:t>
      </w:r>
      <w:hyperlink r:id="rId94">
        <w:r w:rsidDel="00000000" w:rsidR="00000000" w:rsidRPr="00000000">
          <w:rPr>
            <w:color w:val="000000"/>
            <w:vertAlign w:val="superscript"/>
            <w:rtl w:val="0"/>
          </w:rPr>
          <w:t xml:space="preserve">151,153,155</w:t>
        </w:r>
      </w:hyperlink>
      <w:r w:rsidDel="00000000" w:rsidR="00000000" w:rsidRPr="00000000">
        <w:rPr>
          <w:rtl w:val="0"/>
        </w:rPr>
        <w:t xml:space="preserve">. In the Iron Age and medieval samples from the Netherlands, northern Germany (Lower Saxony, Schleswig-Holstein, and Mecklenburg-Vorpommern), and Denmark 25% of all classified haplogroups  belong to the R1b-U106 lineages (50% of all R1b-M343 haplogroups and 65% of all R1b-M343 haplogroups typed past R1b-L151). It peaks in Groningen (75% of R1b-L151, 50% of all haplogroups) and Lower Saxony (69% of R1b-L151, 29% of all haplogroups). While R1b-U106 is completely absent during Bronze Age times in Britain and Ireland</w:t>
      </w:r>
      <w:hyperlink r:id="rId95">
        <w:r w:rsidDel="00000000" w:rsidR="00000000" w:rsidRPr="00000000">
          <w:rPr>
            <w:color w:val="000000"/>
            <w:vertAlign w:val="superscript"/>
            <w:rtl w:val="0"/>
          </w:rPr>
          <w:t xml:space="preserve">130</w:t>
        </w:r>
      </w:hyperlink>
      <w:r w:rsidDel="00000000" w:rsidR="00000000" w:rsidRPr="00000000">
        <w:rPr>
          <w:rtl w:val="0"/>
        </w:rPr>
        <w:t xml:space="preserve">, it is first observed in England in an Early Iron Age individual from Teversham</w:t>
      </w:r>
      <w:hyperlink r:id="rId96">
        <w:r w:rsidDel="00000000" w:rsidR="00000000" w:rsidRPr="00000000">
          <w:rPr>
            <w:color w:val="000000"/>
            <w:vertAlign w:val="superscript"/>
            <w:rtl w:val="0"/>
          </w:rPr>
          <w:t xml:space="preserve">81</w:t>
        </w:r>
      </w:hyperlink>
      <w:r w:rsidDel="00000000" w:rsidR="00000000" w:rsidRPr="00000000">
        <w:rPr>
          <w:rtl w:val="0"/>
        </w:rPr>
        <w:t xml:space="preserve">, Cambridgeshire, as well in two Roman period males from York</w:t>
      </w:r>
      <w:hyperlink r:id="rId97">
        <w:r w:rsidDel="00000000" w:rsidR="00000000" w:rsidRPr="00000000">
          <w:rPr>
            <w:color w:val="000000"/>
            <w:vertAlign w:val="superscript"/>
            <w:rtl w:val="0"/>
          </w:rPr>
          <w:t xml:space="preserve">121</w:t>
        </w:r>
      </w:hyperlink>
      <w:r w:rsidDel="00000000" w:rsidR="00000000" w:rsidRPr="00000000">
        <w:rPr>
          <w:rtl w:val="0"/>
        </w:rPr>
        <w:t xml:space="preserve">. During the Early Middle Ages it is more frequent than the R1b-P312 lineages (15% of all haplogroups, 26% of all R1b-M343 haplogroups, and 32% of R1b-L151) in England.</w:t>
      </w:r>
    </w:p>
    <w:p w:rsidR="00000000" w:rsidDel="00000000" w:rsidP="00000000" w:rsidRDefault="00000000" w:rsidRPr="00000000" w14:paraId="0000072D">
      <w:pPr>
        <w:spacing w:after="240" w:before="240" w:lineRule="auto"/>
        <w:rPr/>
      </w:pPr>
      <w:r w:rsidDel="00000000" w:rsidR="00000000" w:rsidRPr="00000000">
        <w:rPr>
          <w:rtl w:val="0"/>
        </w:rPr>
        <w:t xml:space="preserve">Almost as large a percentage of male lineages belongs to haplogroup I-M170 (39%), both in the I2-M438 (23% of I-M170 haplogroups) and, more abundantly, in I1-M253 sub-haplogroups (77% of I-M170 haplogroups), which were previously associated with migrations to Britain and Ireland during the Early Middle Ages and the Viking period, as suggested by the decreasing east-to-west frequency cline of I-M170 lineages in present-day England</w:t>
      </w:r>
      <w:hyperlink r:id="rId98">
        <w:r w:rsidDel="00000000" w:rsidR="00000000" w:rsidRPr="00000000">
          <w:rPr>
            <w:color w:val="000000"/>
            <w:vertAlign w:val="superscript"/>
            <w:rtl w:val="0"/>
          </w:rPr>
          <w:t xml:space="preserve">156,157</w:t>
        </w:r>
      </w:hyperlink>
      <w:r w:rsidDel="00000000" w:rsidR="00000000" w:rsidRPr="00000000">
        <w:rPr>
          <w:rtl w:val="0"/>
        </w:rPr>
        <w:t xml:space="preserve"> and their absence during Bronze and Iron Age times in Britain and Ireland (only one instance from Iron Age England is known so far</w:t>
      </w:r>
      <w:hyperlink r:id="rId99">
        <w:r w:rsidDel="00000000" w:rsidR="00000000" w:rsidRPr="00000000">
          <w:rPr>
            <w:color w:val="000000"/>
            <w:vertAlign w:val="superscript"/>
            <w:rtl w:val="0"/>
          </w:rPr>
          <w:t xml:space="preserve">81</w:t>
        </w:r>
      </w:hyperlink>
      <w:r w:rsidDel="00000000" w:rsidR="00000000" w:rsidRPr="00000000">
        <w:rPr>
          <w:rtl w:val="0"/>
        </w:rPr>
        <w:t xml:space="preserve">). I1-M253 sub-haplogroups are only found in ancient</w:t>
      </w:r>
      <w:hyperlink r:id="rId100">
        <w:r w:rsidDel="00000000" w:rsidR="00000000" w:rsidRPr="00000000">
          <w:rPr>
            <w:color w:val="000000"/>
            <w:vertAlign w:val="superscript"/>
            <w:rtl w:val="0"/>
          </w:rPr>
          <w:t xml:space="preserve">120</w:t>
        </w:r>
      </w:hyperlink>
      <w:r w:rsidDel="00000000" w:rsidR="00000000" w:rsidRPr="00000000">
        <w:rPr>
          <w:rtl w:val="0"/>
        </w:rPr>
        <w:t xml:space="preserve"> and modern northern Europe in high frequencies, especially in Scandinavia (reaching 52% in Central Sweden)</w:t>
      </w:r>
      <w:hyperlink r:id="rId101">
        <w:r w:rsidDel="00000000" w:rsidR="00000000" w:rsidRPr="00000000">
          <w:rPr>
            <w:color w:val="000000"/>
            <w:vertAlign w:val="superscript"/>
            <w:rtl w:val="0"/>
          </w:rPr>
          <w:t xml:space="preserve">158,159</w:t>
        </w:r>
      </w:hyperlink>
      <w:r w:rsidDel="00000000" w:rsidR="00000000" w:rsidRPr="00000000">
        <w:rPr>
          <w:rtl w:val="0"/>
        </w:rPr>
        <w:t xml:space="preserve">. In our continental sample subclade I1-M253 peaks in Schleswig, Häven, and Drantum, where it represents 31%, 38%, and 60% of all haplogroups respectively, as well as generally in Iron Age and Viking Age Denmark (42%).</w:t>
      </w:r>
    </w:p>
    <w:p w:rsidR="00000000" w:rsidDel="00000000" w:rsidP="00000000" w:rsidRDefault="00000000" w:rsidRPr="00000000" w14:paraId="0000072E">
      <w:pPr>
        <w:spacing w:after="240" w:before="240" w:lineRule="auto"/>
        <w:rPr/>
      </w:pPr>
      <w:r w:rsidDel="00000000" w:rsidR="00000000" w:rsidRPr="00000000">
        <w:rPr>
          <w:rtl w:val="0"/>
        </w:rPr>
        <w:t xml:space="preserve">In our ancient sample (and in the present-day), I2-M438 lineages are found only at low frequencies (7% of all haplogroups in the North Sea sample belong to this lineage). We find them in Anderten, Groningen, Alt-Inden and Iron Age and Viking Age Denmark, exhibiting the highest frequency in Dunum (18% of all Y-chromosome lineages). I2-M438 haplogroups, especially the 12a1b-M436 lineages that comprise the majority of our early medieval English I2-M438 haplogroups, were found across Neolithic Europe (including Germany, France, England, Wales, Scotland, and Ireland</w:t>
      </w:r>
      <w:hyperlink r:id="rId102">
        <w:r w:rsidDel="00000000" w:rsidR="00000000" w:rsidRPr="00000000">
          <w:rPr>
            <w:color w:val="000000"/>
            <w:vertAlign w:val="superscript"/>
            <w:rtl w:val="0"/>
          </w:rPr>
          <w:t xml:space="preserve">85,88,130</w:t>
        </w:r>
      </w:hyperlink>
      <w:r w:rsidDel="00000000" w:rsidR="00000000" w:rsidRPr="00000000">
        <w:rPr>
          <w:rtl w:val="0"/>
        </w:rPr>
        <w:t xml:space="preserve">. However, their frequencies in Britain and Ireland dropped drastically at the beginning of the Bronze Age due to the introduction of R1b-P312 lineages, so that they account for less than ~4% during the Bronze and Iron Age in Britain and Ireland)</w:t>
      </w:r>
      <w:hyperlink r:id="rId103">
        <w:r w:rsidDel="00000000" w:rsidR="00000000" w:rsidRPr="00000000">
          <w:rPr>
            <w:color w:val="000000"/>
            <w:vertAlign w:val="superscript"/>
            <w:rtl w:val="0"/>
          </w:rPr>
          <w:t xml:space="preserve">87,130</w:t>
        </w:r>
      </w:hyperlink>
      <w:r w:rsidDel="00000000" w:rsidR="00000000" w:rsidRPr="00000000">
        <w:rPr>
          <w:rtl w:val="0"/>
        </w:rPr>
        <w:t xml:space="preserve">. Nevertheless, I2a1b1a2b-Z161 in particular is distributed in present-day Denmark, Germany, the Netherlands, and England</w:t>
      </w:r>
      <w:hyperlink r:id="rId104">
        <w:r w:rsidDel="00000000" w:rsidR="00000000" w:rsidRPr="00000000">
          <w:rPr>
            <w:color w:val="000000"/>
            <w:vertAlign w:val="superscript"/>
            <w:rtl w:val="0"/>
          </w:rPr>
          <w:t xml:space="preserve">150</w:t>
        </w:r>
      </w:hyperlink>
      <w:r w:rsidDel="00000000" w:rsidR="00000000" w:rsidRPr="00000000">
        <w:rPr>
          <w:rtl w:val="0"/>
        </w:rPr>
        <w:t xml:space="preserve">, with ancient individuals belonging to this haplogroup in Lakenheath, Sedgeford, West Heslerton, Dover Buckland, as well as Schleswig, Anderten, Alt-Inden, and Groningen on the continent. I2a1a-P37.2 lineages, which were common in Neolithic Atlantic Europe as well</w:t>
      </w:r>
      <w:hyperlink r:id="rId105">
        <w:r w:rsidDel="00000000" w:rsidR="00000000" w:rsidRPr="00000000">
          <w:rPr>
            <w:color w:val="000000"/>
            <w:vertAlign w:val="superscript"/>
            <w:rtl w:val="0"/>
          </w:rPr>
          <w:t xml:space="preserve">160</w:t>
        </w:r>
      </w:hyperlink>
      <w:r w:rsidDel="00000000" w:rsidR="00000000" w:rsidRPr="00000000">
        <w:rPr>
          <w:rtl w:val="0"/>
        </w:rPr>
        <w:t xml:space="preserve">, are also found in Lakenheath, West Heslerton, Groningen, and are reported in Late Iron Age England</w:t>
      </w:r>
      <w:hyperlink r:id="rId106">
        <w:r w:rsidDel="00000000" w:rsidR="00000000" w:rsidRPr="00000000">
          <w:rPr>
            <w:color w:val="000000"/>
            <w:vertAlign w:val="superscript"/>
            <w:rtl w:val="0"/>
          </w:rPr>
          <w:t xml:space="preserve">81</w:t>
        </w:r>
      </w:hyperlink>
      <w:r w:rsidDel="00000000" w:rsidR="00000000" w:rsidRPr="00000000">
        <w:rPr>
          <w:rtl w:val="0"/>
        </w:rPr>
        <w:t xml:space="preserve">. </w:t>
      </w:r>
    </w:p>
    <w:p w:rsidR="00000000" w:rsidDel="00000000" w:rsidP="00000000" w:rsidRDefault="00000000" w:rsidRPr="00000000" w14:paraId="0000072F">
      <w:pPr>
        <w:spacing w:after="240" w:before="240" w:lineRule="auto"/>
        <w:rPr/>
      </w:pPr>
      <w:r w:rsidDel="00000000" w:rsidR="00000000" w:rsidRPr="00000000">
        <w:rPr>
          <w:rtl w:val="0"/>
        </w:rPr>
        <w:t xml:space="preserve">Rarer lineages in early medieval England include R1a-M420 sub-haplogroups (~2% of all haplogroups), which show higher occurrence in eastern Europe but are also present in central and northern Europeans such as Germans and Norwegians</w:t>
      </w:r>
      <w:hyperlink r:id="rId107">
        <w:r w:rsidDel="00000000" w:rsidR="00000000" w:rsidRPr="00000000">
          <w:rPr>
            <w:color w:val="000000"/>
            <w:vertAlign w:val="superscript"/>
            <w:rtl w:val="0"/>
          </w:rPr>
          <w:t xml:space="preserve">148,161</w:t>
        </w:r>
      </w:hyperlink>
      <w:r w:rsidDel="00000000" w:rsidR="00000000" w:rsidRPr="00000000">
        <w:rPr>
          <w:rtl w:val="0"/>
        </w:rPr>
        <w:t xml:space="preserve">. Consistently, we measure a relatively similar frequency of R1a-M420 lineages in our North Sea continental samples (~7% of all haplogroups) and a substantially higher frequency in Iron Age and medieval males from the Scandinavian Peninsula (~23%). The major haplogroup R1a1-M459 especially was previously identified as a marker for “Viking” migrations into England since it shows the highest frequency within northwestern Europe in Norway and Sweden</w:t>
      </w:r>
      <w:hyperlink r:id="rId108">
        <w:r w:rsidDel="00000000" w:rsidR="00000000" w:rsidRPr="00000000">
          <w:rPr>
            <w:color w:val="000000"/>
            <w:vertAlign w:val="superscript"/>
            <w:rtl w:val="0"/>
          </w:rPr>
          <w:t xml:space="preserve">148,162</w:t>
        </w:r>
      </w:hyperlink>
      <w:r w:rsidDel="00000000" w:rsidR="00000000" w:rsidRPr="00000000">
        <w:rPr>
          <w:rtl w:val="0"/>
        </w:rPr>
        <w:t xml:space="preserve">, as well as high percentages in Viking Age Scandinavians</w:t>
      </w:r>
      <w:hyperlink r:id="rId109">
        <w:r w:rsidDel="00000000" w:rsidR="00000000" w:rsidRPr="00000000">
          <w:rPr>
            <w:color w:val="000000"/>
            <w:vertAlign w:val="superscript"/>
            <w:rtl w:val="0"/>
          </w:rPr>
          <w:t xml:space="preserve">120</w:t>
        </w:r>
      </w:hyperlink>
      <w:r w:rsidDel="00000000" w:rsidR="00000000" w:rsidRPr="00000000">
        <w:rPr>
          <w:rtl w:val="0"/>
        </w:rPr>
        <w:t xml:space="preserve">. Our results indicate that at least certain sub-haplogroups of R1a1-M459 had already entered Britain before the establishment of the Danelaw. Four sub-haplotypes found in Copenhagen, Drantum, Polhill, and Sedgeford may belong to haplogroup R1a1a1b1a3-Z289, which is nearly exclusively confined to Scandinavia in the present-day and peaks in Norway (up to 20%)</w:t>
      </w:r>
      <w:hyperlink r:id="rId110">
        <w:r w:rsidDel="00000000" w:rsidR="00000000" w:rsidRPr="00000000">
          <w:rPr>
            <w:color w:val="000000"/>
            <w:vertAlign w:val="superscript"/>
            <w:rtl w:val="0"/>
          </w:rPr>
          <w:t xml:space="preserve">161</w:t>
        </w:r>
      </w:hyperlink>
      <w:r w:rsidDel="00000000" w:rsidR="00000000" w:rsidRPr="00000000">
        <w:rPr>
          <w:rtl w:val="0"/>
        </w:rPr>
        <w:t xml:space="preserve">, while two individuals found in Schortens could potentially carry lineages belonging to R1a1a1a-CTS4385, which is the most frequent R1a-M420 haplogroup in Denmark (43%) and Frisia (57%) and also represents a substantial fraction of the R1a haplotypes in Norway (8%), Sweden (20%) and England (20%)</w:t>
      </w:r>
      <w:hyperlink r:id="rId111">
        <w:r w:rsidDel="00000000" w:rsidR="00000000" w:rsidRPr="00000000">
          <w:rPr>
            <w:color w:val="000000"/>
            <w:vertAlign w:val="superscript"/>
            <w:rtl w:val="0"/>
          </w:rPr>
          <w:t xml:space="preserve">148</w:t>
        </w:r>
      </w:hyperlink>
      <w:r w:rsidDel="00000000" w:rsidR="00000000" w:rsidRPr="00000000">
        <w:rPr>
          <w:rtl w:val="0"/>
        </w:rPr>
        <w:t xml:space="preserve">. Furthermore, one haplotype in West Heslerton may belong to R1a1a1b1a2b-CTS1211, which shows highest frequencies in northeastern and eastern Europe (reaching 33% in Russia and 26% in Poland</w:t>
      </w:r>
      <w:hyperlink r:id="rId112">
        <w:r w:rsidDel="00000000" w:rsidR="00000000" w:rsidRPr="00000000">
          <w:rPr>
            <w:color w:val="000000"/>
            <w:vertAlign w:val="superscript"/>
            <w:rtl w:val="0"/>
          </w:rPr>
          <w:t xml:space="preserve">148,161</w:t>
        </w:r>
      </w:hyperlink>
      <w:r w:rsidDel="00000000" w:rsidR="00000000" w:rsidRPr="00000000">
        <w:rPr>
          <w:rtl w:val="0"/>
        </w:rPr>
        <w:t xml:space="preserve">).</w:t>
      </w:r>
    </w:p>
    <w:p w:rsidR="00000000" w:rsidDel="00000000" w:rsidP="00000000" w:rsidRDefault="00000000" w:rsidRPr="00000000" w14:paraId="00000730">
      <w:pPr>
        <w:spacing w:after="240" w:before="240" w:lineRule="auto"/>
        <w:rPr/>
      </w:pPr>
      <w:r w:rsidDel="00000000" w:rsidR="00000000" w:rsidRPr="00000000">
        <w:rPr>
          <w:rtl w:val="0"/>
        </w:rPr>
        <w:t xml:space="preserve">Three much rarer haplogroups, E1b1-P2, J2-L228, and T1a-PF5651 (all at ~1%), show a Mediterranean distribution with a prevalence in southern Europe, in particular across the Balkan, Iberian, and Italian Peninsulas</w:t>
      </w:r>
      <w:hyperlink r:id="rId113">
        <w:r w:rsidDel="00000000" w:rsidR="00000000" w:rsidRPr="00000000">
          <w:rPr>
            <w:color w:val="000000"/>
            <w:vertAlign w:val="superscript"/>
            <w:rtl w:val="0"/>
          </w:rPr>
          <w:t xml:space="preserve">146,163,164</w:t>
        </w:r>
      </w:hyperlink>
      <w:r w:rsidDel="00000000" w:rsidR="00000000" w:rsidRPr="00000000">
        <w:rPr>
          <w:rtl w:val="0"/>
        </w:rPr>
        <w:t xml:space="preserve"> but are also present in low frequencies in present-day</w:t>
      </w:r>
      <w:hyperlink r:id="rId114">
        <w:r w:rsidDel="00000000" w:rsidR="00000000" w:rsidRPr="00000000">
          <w:rPr>
            <w:color w:val="000000"/>
            <w:vertAlign w:val="superscript"/>
            <w:rtl w:val="0"/>
          </w:rPr>
          <w:t xml:space="preserve">92</w:t>
        </w:r>
      </w:hyperlink>
      <w:r w:rsidDel="00000000" w:rsidR="00000000" w:rsidRPr="00000000">
        <w:rPr>
          <w:rtl w:val="0"/>
        </w:rPr>
        <w:t xml:space="preserve"> and medieval continental northern Europe and Viking Age Scandinavia</w:t>
      </w:r>
      <w:hyperlink r:id="rId115">
        <w:r w:rsidDel="00000000" w:rsidR="00000000" w:rsidRPr="00000000">
          <w:rPr>
            <w:color w:val="000000"/>
            <w:vertAlign w:val="superscript"/>
            <w:rtl w:val="0"/>
          </w:rPr>
          <w:t xml:space="preserve">120</w:t>
        </w:r>
      </w:hyperlink>
      <w:r w:rsidDel="00000000" w:rsidR="00000000" w:rsidRPr="00000000">
        <w:rPr>
          <w:rtl w:val="0"/>
        </w:rPr>
        <w:t xml:space="preserve">. Interestingly, rather than in one of the more cosmopolitan trading centres like Groningen, Schleswig, or Copenhagen, we find J2-L228 in Anderten, where the haplogroup peaks due to the presence of a paternally–related kin group of four males. Within England, haplogroup J2-L228 was first observed in a Roman individual from York who originated from the Middle East, as suggested by genomic and isotopic evidence</w:t>
      </w:r>
      <w:hyperlink r:id="rId116">
        <w:r w:rsidDel="00000000" w:rsidR="00000000" w:rsidRPr="00000000">
          <w:rPr>
            <w:color w:val="000000"/>
            <w:vertAlign w:val="superscript"/>
            <w:rtl w:val="0"/>
          </w:rPr>
          <w:t xml:space="preserve">121</w:t>
        </w:r>
      </w:hyperlink>
      <w:r w:rsidDel="00000000" w:rsidR="00000000" w:rsidRPr="00000000">
        <w:rPr>
          <w:rtl w:val="0"/>
        </w:rPr>
        <w:t xml:space="preserve">.</w:t>
      </w:r>
    </w:p>
    <w:p w:rsidR="00000000" w:rsidDel="00000000" w:rsidP="00000000" w:rsidRDefault="00000000" w:rsidRPr="00000000" w14:paraId="00000731">
      <w:pPr>
        <w:keepNext w:val="1"/>
        <w:rPr/>
      </w:pPr>
      <w:r w:rsidDel="00000000" w:rsidR="00000000" w:rsidRPr="00000000">
        <w:rPr/>
        <w:drawing>
          <wp:inline distB="0" distT="0" distL="0" distR="0">
            <wp:extent cx="5514165" cy="7502351"/>
            <wp:effectExtent b="0" l="0" r="0" t="0"/>
            <wp:docPr descr="Chart, bar chart&#10;&#10;Description automatically generated" id="175" name="image55.png"/>
            <a:graphic>
              <a:graphicData uri="http://schemas.openxmlformats.org/drawingml/2006/picture">
                <pic:pic>
                  <pic:nvPicPr>
                    <pic:cNvPr descr="Chart, bar chart&#10;&#10;Description automatically generated" id="0" name="image55.png"/>
                    <pic:cNvPicPr preferRelativeResize="0"/>
                  </pic:nvPicPr>
                  <pic:blipFill>
                    <a:blip r:embed="rId117"/>
                    <a:srcRect b="0" l="0" r="0" t="0"/>
                    <a:stretch>
                      <a:fillRect/>
                    </a:stretch>
                  </pic:blipFill>
                  <pic:spPr>
                    <a:xfrm>
                      <a:off x="0" y="0"/>
                      <a:ext cx="5514165" cy="7502351"/>
                    </a:xfrm>
                    <a:prstGeom prst="rect"/>
                    <a:ln/>
                  </pic:spPr>
                </pic:pic>
              </a:graphicData>
            </a:graphic>
          </wp:inline>
        </w:drawing>
      </w:r>
      <w:r w:rsidDel="00000000" w:rsidR="00000000" w:rsidRPr="00000000">
        <w:rPr>
          <w:rtl w:val="0"/>
        </w:rPr>
      </w:r>
    </w:p>
    <w:p w:rsidR="00000000" w:rsidDel="00000000" w:rsidP="00000000" w:rsidRDefault="00000000" w:rsidRPr="00000000" w14:paraId="00000732">
      <w:pPr>
        <w:pBdr>
          <w:top w:space="0" w:sz="0" w:val="nil"/>
          <w:left w:space="0" w:sz="0" w:val="nil"/>
          <w:bottom w:space="0" w:sz="0" w:val="nil"/>
          <w:right w:space="0" w:sz="0" w:val="nil"/>
          <w:between w:space="0" w:sz="0" w:val="nil"/>
        </w:pBdr>
        <w:spacing w:after="200" w:line="240" w:lineRule="auto"/>
        <w:rPr>
          <w:i w:val="1"/>
          <w:sz w:val="18"/>
          <w:szCs w:val="18"/>
        </w:rPr>
      </w:pPr>
      <w:r w:rsidDel="00000000" w:rsidR="00000000" w:rsidRPr="00000000">
        <w:rPr>
          <w:b w:val="1"/>
          <w:i w:val="1"/>
          <w:sz w:val="18"/>
          <w:szCs w:val="18"/>
          <w:rtl w:val="0"/>
        </w:rPr>
        <w:t xml:space="preserve">Supplementary Figure 2.7, Y-chromosome diversity. </w:t>
      </w:r>
      <w:r w:rsidDel="00000000" w:rsidR="00000000" w:rsidRPr="00000000">
        <w:rPr>
          <w:i w:val="1"/>
          <w:sz w:val="18"/>
          <w:szCs w:val="18"/>
          <w:rtl w:val="0"/>
        </w:rPr>
        <w:t xml:space="preserve">Relative and absolute frequencies of Y-chromosome haplogroups across ancient samples from this and previous studies for which Y-chromosome haplogroups could be determined. Hierarchical cluster analysis applying Ward’s minimum variance method is shown as a dendrogram. a) Comparing ancient and present-day populations. Present-day absolute frequencies for Britain and Ireland as well as Scandinavia are taken from Ebenesersdóttir et al. 2018</w:t>
      </w:r>
      <w:hyperlink r:id="rId118">
        <w:r w:rsidDel="00000000" w:rsidR="00000000" w:rsidRPr="00000000">
          <w:rPr>
            <w:i w:val="1"/>
            <w:color w:val="000000"/>
            <w:sz w:val="18"/>
            <w:szCs w:val="18"/>
            <w:vertAlign w:val="superscript"/>
            <w:rtl w:val="0"/>
          </w:rPr>
          <w:t xml:space="preserve">92</w:t>
        </w:r>
      </w:hyperlink>
      <w:r w:rsidDel="00000000" w:rsidR="00000000" w:rsidRPr="00000000">
        <w:rPr>
          <w:i w:val="1"/>
          <w:sz w:val="18"/>
          <w:szCs w:val="18"/>
          <w:rtl w:val="0"/>
        </w:rPr>
        <w:t xml:space="preserve">. For northern Germany and the Netherlands, only relative frequencies were available. Individuals for which coverage was too low to determine haplotypes for the major haplogroups depicted here, were excluded. b) Comparing ancient populations with a focus on R1b-M343 and I-M170 sub-haplogroups. Individuals for which coverage was too low to determine haplotypes downstream of R1b-P311 and I-M170 were excluded. </w:t>
      </w:r>
    </w:p>
    <w:p w:rsidR="00000000" w:rsidDel="00000000" w:rsidP="00000000" w:rsidRDefault="00000000" w:rsidRPr="00000000" w14:paraId="00000733">
      <w:pPr>
        <w:rPr/>
      </w:pPr>
      <w:bookmarkStart w:colFirst="0" w:colLast="0" w:name="_heading=h.206ipza" w:id="54"/>
      <w:bookmarkEnd w:id="54"/>
      <w:r w:rsidDel="00000000" w:rsidR="00000000" w:rsidRPr="00000000">
        <w:rPr>
          <w:rtl w:val="0"/>
        </w:rPr>
        <w:t xml:space="preserve">Using Fisher’s exact test, we infer that </w:t>
      </w:r>
      <w:r w:rsidDel="00000000" w:rsidR="00000000" w:rsidRPr="00000000">
        <w:rPr>
          <w:i w:val="1"/>
          <w:rtl w:val="0"/>
        </w:rPr>
        <w:t xml:space="preserve">England_EMA </w:t>
      </w:r>
      <w:r w:rsidDel="00000000" w:rsidR="00000000" w:rsidRPr="00000000">
        <w:rPr>
          <w:rtl w:val="0"/>
        </w:rPr>
        <w:t xml:space="preserve">differs significantly in their Y-chromosome frequencies both from </w:t>
      </w:r>
      <w:r w:rsidDel="00000000" w:rsidR="00000000" w:rsidRPr="00000000">
        <w:rPr>
          <w:i w:val="1"/>
          <w:rtl w:val="0"/>
        </w:rPr>
        <w:t xml:space="preserve">England_BA </w:t>
      </w:r>
      <w:r w:rsidDel="00000000" w:rsidR="00000000" w:rsidRPr="00000000">
        <w:rPr>
          <w:rtl w:val="0"/>
        </w:rPr>
        <w:t xml:space="preserve">and </w:t>
      </w:r>
      <w:r w:rsidDel="00000000" w:rsidR="00000000" w:rsidRPr="00000000">
        <w:rPr>
          <w:i w:val="1"/>
          <w:rtl w:val="0"/>
        </w:rPr>
        <w:t xml:space="preserve">England_IA </w:t>
      </w:r>
      <w:r w:rsidDel="00000000" w:rsidR="00000000" w:rsidRPr="00000000">
        <w:rPr>
          <w:rtl w:val="0"/>
        </w:rPr>
        <w:t xml:space="preserve">(for both </w:t>
      </w:r>
      <w:r w:rsidDel="00000000" w:rsidR="00000000" w:rsidRPr="00000000">
        <w:rPr>
          <w:i w:val="1"/>
          <w:rtl w:val="0"/>
        </w:rPr>
        <w:t xml:space="preserve">p</w:t>
      </w:r>
      <w:r w:rsidDel="00000000" w:rsidR="00000000" w:rsidRPr="00000000">
        <w:rPr>
          <w:rtl w:val="0"/>
        </w:rPr>
        <w:t xml:space="preserve"> &lt; 9.999e-05). Contrarily, for </w:t>
      </w:r>
      <w:r w:rsidDel="00000000" w:rsidR="00000000" w:rsidRPr="00000000">
        <w:rPr>
          <w:i w:val="1"/>
          <w:rtl w:val="0"/>
        </w:rPr>
        <w:t xml:space="preserve">England_EMA </w:t>
      </w:r>
      <w:r w:rsidDel="00000000" w:rsidR="00000000" w:rsidRPr="00000000">
        <w:rPr>
          <w:rtl w:val="0"/>
        </w:rPr>
        <w:t xml:space="preserve">and </w:t>
      </w:r>
      <w:r w:rsidDel="00000000" w:rsidR="00000000" w:rsidRPr="00000000">
        <w:rPr>
          <w:i w:val="1"/>
          <w:rtl w:val="0"/>
        </w:rPr>
        <w:t xml:space="preserve">NorthSea_IA_EMA </w:t>
      </w:r>
      <w:r w:rsidDel="00000000" w:rsidR="00000000" w:rsidRPr="00000000">
        <w:rPr>
          <w:rtl w:val="0"/>
        </w:rPr>
        <w:t xml:space="preserve">we do not detect such a differentiation (</w:t>
      </w:r>
      <w:r w:rsidDel="00000000" w:rsidR="00000000" w:rsidRPr="00000000">
        <w:rPr>
          <w:i w:val="1"/>
          <w:rtl w:val="0"/>
        </w:rPr>
        <w:t xml:space="preserve">p</w:t>
      </w:r>
      <w:r w:rsidDel="00000000" w:rsidR="00000000" w:rsidRPr="00000000">
        <w:rPr>
          <w:rtl w:val="0"/>
        </w:rPr>
        <w:t xml:space="preserve"> = 0.1627). This signal is even clearer when we exclude R1b-M343 lineages that could not be classified downstream of R1b-L151 due to low coverage and therefore insufficient genotyping (</w:t>
      </w:r>
      <w:r w:rsidDel="00000000" w:rsidR="00000000" w:rsidRPr="00000000">
        <w:rPr>
          <w:i w:val="1"/>
          <w:rtl w:val="0"/>
        </w:rPr>
        <w:t xml:space="preserve">p</w:t>
      </w:r>
      <w:r w:rsidDel="00000000" w:rsidR="00000000" w:rsidRPr="00000000">
        <w:rPr>
          <w:rtl w:val="0"/>
        </w:rPr>
        <w:t xml:space="preserve"> = 0.2821). The comparison of early medieval England, considered as a whole, with modern European groups shows a marked resemblance with the present-day Danish population because of a similar ratio between R1b-U106/R1a/I haplogroups</w:t>
      </w:r>
      <w:hyperlink r:id="rId119">
        <w:r w:rsidDel="00000000" w:rsidR="00000000" w:rsidRPr="00000000">
          <w:rPr>
            <w:color w:val="000000"/>
            <w:vertAlign w:val="superscript"/>
            <w:rtl w:val="0"/>
          </w:rPr>
          <w:t xml:space="preserve">92,165</w:t>
        </w:r>
      </w:hyperlink>
      <w:r w:rsidDel="00000000" w:rsidR="00000000" w:rsidRPr="00000000">
        <w:rPr>
          <w:rtl w:val="0"/>
        </w:rPr>
        <w:t xml:space="preserve">, but with some lineages present in the ancient and modern western British and Irish, indicating a major continental northern European component, and a noticeable contribution from insular British populations (Supp. Fig. 2.7).</w:t>
      </w:r>
    </w:p>
    <w:p w:rsidR="00000000" w:rsidDel="00000000" w:rsidP="00000000" w:rsidRDefault="00000000" w:rsidRPr="00000000" w14:paraId="00000734">
      <w:pPr>
        <w:rPr/>
      </w:pPr>
      <w:bookmarkStart w:colFirst="0" w:colLast="0" w:name="_heading=h.4k668n3" w:id="55"/>
      <w:bookmarkEnd w:id="55"/>
      <w:r w:rsidDel="00000000" w:rsidR="00000000" w:rsidRPr="00000000">
        <w:rPr>
          <w:rtl w:val="0"/>
        </w:rPr>
        <w:t xml:space="preserve">To estimate those contributions based on the frequencies of local and immigrant Y markers, we counted the early medieval English individuals with Y-chromosomes belonging to the sub-haplogroups R1b-U106, R1b-S1194 (found only once in the entire dataset), R1a-M420, I1-M253, as well as E1-CTS955, J2-L228, and T1-PF5636, which are all present in early medieval samples from England and continental northern Europe but rare or absent in Bronze and Iron Age English individuals</w:t>
      </w:r>
      <w:hyperlink r:id="rId120">
        <w:r w:rsidDel="00000000" w:rsidR="00000000" w:rsidRPr="00000000">
          <w:rPr>
            <w:color w:val="000000"/>
            <w:vertAlign w:val="superscript"/>
            <w:rtl w:val="0"/>
          </w:rPr>
          <w:t xml:space="preserve">121,130,137</w:t>
        </w:r>
      </w:hyperlink>
      <w:r w:rsidDel="00000000" w:rsidR="00000000" w:rsidRPr="00000000">
        <w:rPr>
          <w:rtl w:val="0"/>
        </w:rPr>
        <w:t xml:space="preserve">. The early medieval continental northern European individuals also carried R1b-P312 lineages (which we defined here as local due to their continuous presence since pre-EMA times), so the proportion of immigrant haplogroups represents the minimum paternal continental northern European contribution. Lineages that could not be assigned to any of the aforementioned sub-haplogroups due to low coverage were excluded as well as haplogroup I2-M438, which occurred in roughly similar frequencies in pre-EMA Britain and at the continent (5% in Bronze and Iron Age Britain &amp; Ireland, 7% in the Iron Age and medieval North Sea sample). We computed binomial confidence intervals for the proportion of haplogroups associated with each ancestry type using the Agresti–Coull</w:t>
      </w:r>
      <w:hyperlink r:id="rId121">
        <w:r w:rsidDel="00000000" w:rsidR="00000000" w:rsidRPr="00000000">
          <w:rPr>
            <w:color w:val="000000"/>
            <w:vertAlign w:val="superscript"/>
            <w:rtl w:val="0"/>
          </w:rPr>
          <w:t xml:space="preserve">166,167</w:t>
        </w:r>
      </w:hyperlink>
      <w:r w:rsidDel="00000000" w:rsidR="00000000" w:rsidRPr="00000000">
        <w:rPr>
          <w:rtl w:val="0"/>
        </w:rPr>
        <w:t xml:space="preserve"> method implemented in the binom package in R. We infer 73% (95%CI: 65% - 81%) CNE-related ancestry on the Y-chromosome. </w:t>
      </w:r>
    </w:p>
    <w:p w:rsidR="00000000" w:rsidDel="00000000" w:rsidP="00000000" w:rsidRDefault="00000000" w:rsidRPr="00000000" w14:paraId="00000735">
      <w:pPr>
        <w:rPr/>
      </w:pPr>
      <w:bookmarkStart w:colFirst="0" w:colLast="0" w:name="_heading=h.2zbgiuw" w:id="56"/>
      <w:bookmarkEnd w:id="56"/>
      <w:r w:rsidDel="00000000" w:rsidR="00000000" w:rsidRPr="00000000">
        <w:rPr>
          <w:rtl w:val="0"/>
        </w:rPr>
        <w:t xml:space="preserve">We further tested whether, in ancient post-Neolithic English males, continental Y-chromosome haplogroups were also correlated with immigrant CNE ancestry on the autosomes (estimated as in Fig. 3 &amp; Supplementary Note 3). The comparison of autosomal CNE ancestry showed that ancient post-Neolithic English individuals with immigrant Y-chromosome haplogroups (R1b-U106, R-S1194, R1a-M420, I1-M253, E1-CTS955, J2-L228, T1-PF5636) carried significantly more CNE ancestry on the autosomes (Wilcoxon rank sum test; </w:t>
      </w:r>
      <w:r w:rsidDel="00000000" w:rsidR="00000000" w:rsidRPr="00000000">
        <w:rPr>
          <w:i w:val="1"/>
          <w:rtl w:val="0"/>
        </w:rPr>
        <w:t xml:space="preserve">W </w:t>
      </w:r>
      <w:r w:rsidDel="00000000" w:rsidR="00000000" w:rsidRPr="00000000">
        <w:rPr>
          <w:rtl w:val="0"/>
        </w:rPr>
        <w:t xml:space="preserve">= 16784</w:t>
      </w:r>
      <w:r w:rsidDel="00000000" w:rsidR="00000000" w:rsidRPr="00000000">
        <w:rPr>
          <w:i w:val="1"/>
          <w:rtl w:val="0"/>
        </w:rPr>
        <w:t xml:space="preserve">, p </w:t>
      </w:r>
      <w:r w:rsidDel="00000000" w:rsidR="00000000" w:rsidRPr="00000000">
        <w:rPr>
          <w:rtl w:val="0"/>
        </w:rPr>
        <w:t xml:space="preserve">&lt; 2.2e-16) than those with local haplogroups. Average autosomal CNE ancestry differed by 81% between the two paternal ancestries (95% CI: 74% - 87%). This effect was also, though less pronounced, significant when only considering early medieval English individuals (Wilcoxon rank sum test; </w:t>
      </w:r>
      <w:r w:rsidDel="00000000" w:rsidR="00000000" w:rsidRPr="00000000">
        <w:rPr>
          <w:i w:val="1"/>
          <w:rtl w:val="0"/>
        </w:rPr>
        <w:t xml:space="preserve">W </w:t>
      </w:r>
      <w:r w:rsidDel="00000000" w:rsidR="00000000" w:rsidRPr="00000000">
        <w:rPr>
          <w:rtl w:val="0"/>
        </w:rPr>
        <w:t xml:space="preserve">= 1279</w:t>
      </w:r>
      <w:r w:rsidDel="00000000" w:rsidR="00000000" w:rsidRPr="00000000">
        <w:rPr>
          <w:i w:val="1"/>
          <w:rtl w:val="0"/>
        </w:rPr>
        <w:t xml:space="preserve">, p </w:t>
      </w:r>
      <w:r w:rsidDel="00000000" w:rsidR="00000000" w:rsidRPr="00000000">
        <w:rPr>
          <w:rtl w:val="0"/>
        </w:rPr>
        <w:t xml:space="preserve">= 7.744e-05). In the Early Middle Ages, average autosomal CNE ancestry differed by 33% between the two paternal ancestries (95% CI: 13% - 54%) (Supp. Fig. 2.8).</w:t>
      </w:r>
    </w:p>
    <w:p w:rsidR="00000000" w:rsidDel="00000000" w:rsidP="00000000" w:rsidRDefault="00000000" w:rsidRPr="00000000" w14:paraId="00000736">
      <w:pPr>
        <w:keepNext w:val="1"/>
        <w:rPr/>
      </w:pPr>
      <w:r w:rsidDel="00000000" w:rsidR="00000000" w:rsidRPr="00000000">
        <w:rPr/>
        <w:drawing>
          <wp:inline distB="0" distT="0" distL="0" distR="0">
            <wp:extent cx="5760720" cy="5247005"/>
            <wp:effectExtent b="0" l="0" r="0" t="0"/>
            <wp:docPr descr="Diagram&#10;&#10;Description automatically generated" id="177" name="image57.png"/>
            <a:graphic>
              <a:graphicData uri="http://schemas.openxmlformats.org/drawingml/2006/picture">
                <pic:pic>
                  <pic:nvPicPr>
                    <pic:cNvPr descr="Diagram&#10;&#10;Description automatically generated" id="0" name="image57.png"/>
                    <pic:cNvPicPr preferRelativeResize="0"/>
                  </pic:nvPicPr>
                  <pic:blipFill>
                    <a:blip r:embed="rId122"/>
                    <a:srcRect b="0" l="0" r="0" t="0"/>
                    <a:stretch>
                      <a:fillRect/>
                    </a:stretch>
                  </pic:blipFill>
                  <pic:spPr>
                    <a:xfrm>
                      <a:off x="0" y="0"/>
                      <a:ext cx="5760720" cy="5247005"/>
                    </a:xfrm>
                    <a:prstGeom prst="rect"/>
                    <a:ln/>
                  </pic:spPr>
                </pic:pic>
              </a:graphicData>
            </a:graphic>
          </wp:inline>
        </w:drawing>
      </w:r>
      <w:r w:rsidDel="00000000" w:rsidR="00000000" w:rsidRPr="00000000">
        <w:rPr>
          <w:rtl w:val="0"/>
        </w:rPr>
      </w:r>
    </w:p>
    <w:p w:rsidR="00000000" w:rsidDel="00000000" w:rsidP="00000000" w:rsidRDefault="00000000" w:rsidRPr="00000000" w14:paraId="00000737">
      <w:pPr>
        <w:pBdr>
          <w:top w:space="0" w:sz="0" w:val="nil"/>
          <w:left w:space="0" w:sz="0" w:val="nil"/>
          <w:bottom w:space="0" w:sz="0" w:val="nil"/>
          <w:right w:space="0" w:sz="0" w:val="nil"/>
          <w:between w:space="0" w:sz="0" w:val="nil"/>
        </w:pBdr>
        <w:spacing w:after="200" w:line="240" w:lineRule="auto"/>
        <w:rPr>
          <w:i w:val="1"/>
          <w:sz w:val="18"/>
          <w:szCs w:val="18"/>
        </w:rPr>
      </w:pPr>
      <w:r w:rsidDel="00000000" w:rsidR="00000000" w:rsidRPr="00000000">
        <w:rPr>
          <w:b w:val="1"/>
          <w:i w:val="1"/>
          <w:sz w:val="18"/>
          <w:szCs w:val="18"/>
          <w:rtl w:val="0"/>
        </w:rPr>
        <w:t xml:space="preserve">Supplementary Figure 2.8, CNE ancestry on the autosome and the Y-chromosome. </w:t>
      </w:r>
      <w:r w:rsidDel="00000000" w:rsidR="00000000" w:rsidRPr="00000000">
        <w:rPr>
          <w:i w:val="1"/>
          <w:sz w:val="18"/>
          <w:szCs w:val="18"/>
          <w:rtl w:val="0"/>
        </w:rPr>
        <w:t xml:space="preserve">Relative proportion of the CNE-related ancestry component for each ancient post-Neolithic English individual, calculated with supervised ADMIXTURE</w:t>
      </w:r>
      <w:r w:rsidDel="00000000" w:rsidR="00000000" w:rsidRPr="00000000">
        <w:rPr>
          <w:b w:val="1"/>
          <w:i w:val="1"/>
          <w:sz w:val="18"/>
          <w:szCs w:val="18"/>
          <w:rtl w:val="0"/>
        </w:rPr>
        <w:t xml:space="preserve">.</w:t>
      </w:r>
      <w:r w:rsidDel="00000000" w:rsidR="00000000" w:rsidRPr="00000000">
        <w:rPr>
          <w:i w:val="1"/>
          <w:sz w:val="18"/>
          <w:szCs w:val="18"/>
          <w:rtl w:val="0"/>
        </w:rPr>
        <w:t xml:space="preserve"> White dots represent female individuals and filled dots male individuals, coloured according to their Y-chromosome haplogroup. </w:t>
      </w:r>
    </w:p>
    <w:p w:rsidR="00000000" w:rsidDel="00000000" w:rsidP="00000000" w:rsidRDefault="00000000" w:rsidRPr="00000000" w14:paraId="00000738">
      <w:pPr>
        <w:rPr/>
      </w:pPr>
      <w:r w:rsidDel="00000000" w:rsidR="00000000" w:rsidRPr="00000000">
        <w:rPr>
          <w:rtl w:val="0"/>
        </w:rPr>
      </w:r>
    </w:p>
    <w:p w:rsidR="00000000" w:rsidDel="00000000" w:rsidP="00000000" w:rsidRDefault="00000000" w:rsidRPr="00000000" w14:paraId="00000739">
      <w:pPr>
        <w:pStyle w:val="Heading2"/>
        <w:rPr>
          <w:color w:val="000000"/>
        </w:rPr>
      </w:pPr>
      <w:bookmarkStart w:colFirst="0" w:colLast="0" w:name="_heading=h.1egqt2p" w:id="57"/>
      <w:bookmarkEnd w:id="57"/>
      <w:r w:rsidDel="00000000" w:rsidR="00000000" w:rsidRPr="00000000">
        <w:rPr>
          <w:color w:val="000000"/>
          <w:rtl w:val="0"/>
        </w:rPr>
        <w:t xml:space="preserve">Sex bias</w:t>
      </w:r>
    </w:p>
    <w:p w:rsidR="00000000" w:rsidDel="00000000" w:rsidP="00000000" w:rsidRDefault="00000000" w:rsidRPr="00000000" w14:paraId="0000073A">
      <w:pPr>
        <w:pStyle w:val="Heading3"/>
        <w:rPr>
          <w:color w:val="000000"/>
        </w:rPr>
      </w:pPr>
      <w:bookmarkStart w:colFirst="0" w:colLast="0" w:name="_heading=h.3ygebqi" w:id="58"/>
      <w:bookmarkEnd w:id="58"/>
      <w:r w:rsidDel="00000000" w:rsidR="00000000" w:rsidRPr="00000000">
        <w:rPr>
          <w:color w:val="000000"/>
          <w:rtl w:val="0"/>
        </w:rPr>
        <w:t xml:space="preserve">Descriptive statistics</w:t>
      </w:r>
    </w:p>
    <w:p w:rsidR="00000000" w:rsidDel="00000000" w:rsidP="00000000" w:rsidRDefault="00000000" w:rsidRPr="00000000" w14:paraId="0000073B">
      <w:pPr>
        <w:rPr/>
      </w:pPr>
      <w:r w:rsidDel="00000000" w:rsidR="00000000" w:rsidRPr="00000000">
        <w:rPr>
          <w:rtl w:val="0"/>
        </w:rPr>
        <w:t xml:space="preserve">We then proceeded to quantify a potential sex bias within our early medieval samples from England. We first highlight that there is no significant difference in CNE ancestry between males and females (Wilcoxon rank sum test; </w:t>
      </w:r>
      <w:r w:rsidDel="00000000" w:rsidR="00000000" w:rsidRPr="00000000">
        <w:rPr>
          <w:i w:val="1"/>
          <w:rtl w:val="0"/>
        </w:rPr>
        <w:t xml:space="preserve">W</w:t>
      </w:r>
      <w:r w:rsidDel="00000000" w:rsidR="00000000" w:rsidRPr="00000000">
        <w:rPr>
          <w:rtl w:val="0"/>
        </w:rPr>
        <w:t xml:space="preserve"> = 9608, </w:t>
      </w:r>
      <w:r w:rsidDel="00000000" w:rsidR="00000000" w:rsidRPr="00000000">
        <w:rPr>
          <w:i w:val="1"/>
          <w:rtl w:val="0"/>
        </w:rPr>
        <w:t xml:space="preserve">n</w:t>
      </w:r>
      <w:r w:rsidDel="00000000" w:rsidR="00000000" w:rsidRPr="00000000">
        <w:rPr>
          <w:i w:val="1"/>
          <w:vertAlign w:val="subscript"/>
          <w:rtl w:val="0"/>
        </w:rPr>
        <w:t xml:space="preserve">1</w:t>
      </w:r>
      <w:r w:rsidDel="00000000" w:rsidR="00000000" w:rsidRPr="00000000">
        <w:rPr>
          <w:rtl w:val="0"/>
        </w:rPr>
        <w:t xml:space="preserve"> = 142, </w:t>
      </w:r>
      <w:r w:rsidDel="00000000" w:rsidR="00000000" w:rsidRPr="00000000">
        <w:rPr>
          <w:i w:val="1"/>
          <w:rtl w:val="0"/>
        </w:rPr>
        <w:t xml:space="preserve">n</w:t>
      </w:r>
      <w:r w:rsidDel="00000000" w:rsidR="00000000" w:rsidRPr="00000000">
        <w:rPr>
          <w:i w:val="1"/>
          <w:vertAlign w:val="subscript"/>
          <w:rtl w:val="0"/>
        </w:rPr>
        <w:t xml:space="preserve">2</w:t>
      </w:r>
      <w:r w:rsidDel="00000000" w:rsidR="00000000" w:rsidRPr="00000000">
        <w:rPr>
          <w:i w:val="1"/>
          <w:rtl w:val="0"/>
        </w:rPr>
        <w:t xml:space="preserve"> </w:t>
      </w:r>
      <w:r w:rsidDel="00000000" w:rsidR="00000000" w:rsidRPr="00000000">
        <w:rPr>
          <w:rtl w:val="0"/>
        </w:rPr>
        <w:t xml:space="preserve">= 143, </w:t>
      </w:r>
      <w:r w:rsidDel="00000000" w:rsidR="00000000" w:rsidRPr="00000000">
        <w:rPr>
          <w:i w:val="1"/>
          <w:rtl w:val="0"/>
        </w:rPr>
        <w:t xml:space="preserve">p</w:t>
      </w:r>
      <w:r w:rsidDel="00000000" w:rsidR="00000000" w:rsidRPr="00000000">
        <w:rPr>
          <w:rtl w:val="0"/>
        </w:rPr>
        <w:t xml:space="preserve"> = 0.3852). Early medieval English males carry only 0.04% more autosomal CNE ancestry than females on average (95% CI: -8.2% - 8.1%). We further observe no significant difference in the distribution of admixture across sexes (Two-sample Kolmogorov-Smirnov test; </w:t>
      </w:r>
      <w:r w:rsidDel="00000000" w:rsidR="00000000" w:rsidRPr="00000000">
        <w:rPr>
          <w:i w:val="1"/>
          <w:rtl w:val="0"/>
        </w:rPr>
        <w:t xml:space="preserve">D</w:t>
      </w:r>
      <w:r w:rsidDel="00000000" w:rsidR="00000000" w:rsidRPr="00000000">
        <w:rPr>
          <w:rtl w:val="0"/>
        </w:rPr>
        <w:t xml:space="preserve"> = 0.10233, </w:t>
      </w:r>
      <w:r w:rsidDel="00000000" w:rsidR="00000000" w:rsidRPr="00000000">
        <w:rPr>
          <w:i w:val="1"/>
          <w:rtl w:val="0"/>
        </w:rPr>
        <w:t xml:space="preserve">p </w:t>
      </w:r>
      <w:r w:rsidDel="00000000" w:rsidR="00000000" w:rsidRPr="00000000">
        <w:rPr>
          <w:rtl w:val="0"/>
        </w:rPr>
        <w:t xml:space="preserve">= 0.446) (Supp. Fig. 2.9). Neither females nor males appear more often admixed (5% &lt; CNE &lt; 95%) or unadmixed (CNE &lt; 5% or CNE &gt; 95%) in absolute counts (Pearson's Chi</w:t>
      </w:r>
      <w:r w:rsidDel="00000000" w:rsidR="00000000" w:rsidRPr="00000000">
        <w:rPr>
          <w:vertAlign w:val="superscript"/>
          <w:rtl w:val="0"/>
        </w:rPr>
        <w:t xml:space="preserve">2 </w:t>
      </w:r>
      <w:r w:rsidDel="00000000" w:rsidR="00000000" w:rsidRPr="00000000">
        <w:rPr>
          <w:rtl w:val="0"/>
        </w:rPr>
        <w:t xml:space="preserve">with simulated </w:t>
      </w:r>
      <w:r w:rsidDel="00000000" w:rsidR="00000000" w:rsidRPr="00000000">
        <w:rPr>
          <w:i w:val="1"/>
          <w:rtl w:val="0"/>
        </w:rPr>
        <w:t xml:space="preserve">p</w:t>
      </w:r>
      <w:r w:rsidDel="00000000" w:rsidR="00000000" w:rsidRPr="00000000">
        <w:rPr>
          <w:rtl w:val="0"/>
        </w:rPr>
        <w:t xml:space="preserve">-value (based on 10,000 replicates)</w:t>
      </w:r>
      <w:r w:rsidDel="00000000" w:rsidR="00000000" w:rsidRPr="00000000">
        <w:rPr>
          <w:vertAlign w:val="superscript"/>
          <w:rtl w:val="0"/>
        </w:rPr>
        <w:t xml:space="preserve"> </w:t>
      </w:r>
      <w:r w:rsidDel="00000000" w:rsidR="00000000" w:rsidRPr="00000000">
        <w:rPr>
          <w:rtl w:val="0"/>
        </w:rPr>
        <w:t xml:space="preserve">; </w:t>
      </w:r>
      <w:r w:rsidDel="00000000" w:rsidR="00000000" w:rsidRPr="00000000">
        <w:rPr>
          <w:i w:val="1"/>
          <w:rtl w:val="0"/>
        </w:rPr>
        <w:t xml:space="preserve">Chi</w:t>
      </w:r>
      <w:r w:rsidDel="00000000" w:rsidR="00000000" w:rsidRPr="00000000">
        <w:rPr>
          <w:i w:val="1"/>
          <w:vertAlign w:val="superscript"/>
          <w:rtl w:val="0"/>
        </w:rPr>
        <w:t xml:space="preserve">2</w:t>
      </w:r>
      <w:r w:rsidDel="00000000" w:rsidR="00000000" w:rsidRPr="00000000">
        <w:rPr>
          <w:rtl w:val="0"/>
        </w:rPr>
        <w:t xml:space="preserve"> = 3.9948, </w:t>
      </w:r>
      <w:r w:rsidDel="00000000" w:rsidR="00000000" w:rsidRPr="00000000">
        <w:rPr>
          <w:i w:val="1"/>
          <w:rtl w:val="0"/>
        </w:rPr>
        <w:t xml:space="preserve">d.f.</w:t>
      </w:r>
      <w:r w:rsidDel="00000000" w:rsidR="00000000" w:rsidRPr="00000000">
        <w:rPr>
          <w:rtl w:val="0"/>
        </w:rPr>
        <w:t xml:space="preserve"> = NA, </w:t>
      </w:r>
      <w:r w:rsidDel="00000000" w:rsidR="00000000" w:rsidRPr="00000000">
        <w:rPr>
          <w:i w:val="1"/>
          <w:rtl w:val="0"/>
        </w:rPr>
        <w:t xml:space="preserve">p</w:t>
      </w:r>
      <w:r w:rsidDel="00000000" w:rsidR="00000000" w:rsidRPr="00000000">
        <w:rPr>
          <w:rtl w:val="0"/>
        </w:rPr>
        <w:t xml:space="preserve"> = 0.0561). We also computed the statistic </w:t>
      </w:r>
      <w:r w:rsidDel="00000000" w:rsidR="00000000" w:rsidRPr="00000000">
        <w:rPr>
          <w:i w:val="1"/>
          <w:rtl w:val="0"/>
        </w:rPr>
        <w:t xml:space="preserve">Q</w:t>
      </w:r>
      <w:r w:rsidDel="00000000" w:rsidR="00000000" w:rsidRPr="00000000">
        <w:rPr>
          <w:rtl w:val="0"/>
        </w:rPr>
        <w:t xml:space="preserve">, which is an estimator of the ratio of effective population size of the X-chromosome with the ratio of effective population size of the autosomes based on the </w:t>
      </w:r>
      <w:r w:rsidDel="00000000" w:rsidR="00000000" w:rsidRPr="00000000">
        <w:rPr>
          <w:i w:val="1"/>
          <w:rtl w:val="0"/>
        </w:rPr>
        <w:t xml:space="preserve">F</w:t>
      </w:r>
      <w:r w:rsidDel="00000000" w:rsidR="00000000" w:rsidRPr="00000000">
        <w:rPr>
          <w:vertAlign w:val="subscript"/>
          <w:rtl w:val="0"/>
        </w:rPr>
        <w:t xml:space="preserve">ST</w:t>
      </w:r>
      <w:r w:rsidDel="00000000" w:rsidR="00000000" w:rsidRPr="00000000">
        <w:rPr>
          <w:rtl w:val="0"/>
        </w:rPr>
        <w:t xml:space="preserve"> measure of genetic differentiation</w:t>
      </w:r>
      <w:hyperlink r:id="rId123">
        <w:r w:rsidDel="00000000" w:rsidR="00000000" w:rsidRPr="00000000">
          <w:rPr>
            <w:color w:val="000000"/>
            <w:vertAlign w:val="superscript"/>
            <w:rtl w:val="0"/>
          </w:rPr>
          <w:t xml:space="preserve">168</w:t>
        </w:r>
      </w:hyperlink>
      <w:r w:rsidDel="00000000" w:rsidR="00000000" w:rsidRPr="00000000">
        <w:rPr>
          <w:rtl w:val="0"/>
        </w:rPr>
        <w:t xml:space="preserve">. Doing so, we followed the method of Keinan et al. and Waldman et al. and measured relative genetic drift between the X-chromosome and the autosomes, </w:t>
      </w:r>
      <m:oMath>
        <m:r>
          <w:rPr>
            <w:rFonts w:ascii="Cambria Math" w:cs="Cambria Math" w:eastAsia="Cambria Math" w:hAnsi="Cambria Math"/>
          </w:rPr>
          <m:t xml:space="preserve">Q=</m:t>
        </m:r>
        <m:f>
          <m:fPr>
            <m:ctrlPr>
              <w:rPr>
                <w:rFonts w:ascii="Cambria Math" w:cs="Cambria Math" w:eastAsia="Cambria Math" w:hAnsi="Cambria Math"/>
              </w:rPr>
            </m:ctrlPr>
          </m:fPr>
          <m:num>
            <m:r>
              <w:rPr>
                <w:rFonts w:ascii="Cambria Math" w:cs="Cambria Math" w:eastAsia="Cambria Math" w:hAnsi="Cambria Math"/>
              </w:rPr>
              <m:t xml:space="preserve">ln⁡(1-2</m:t>
            </m:r>
            <m:sSub>
              <m:sSubPr>
                <m:ctrlPr>
                  <w:rPr>
                    <w:rFonts w:ascii="Cambria Math" w:cs="Cambria Math" w:eastAsia="Cambria Math" w:hAnsi="Cambria Math"/>
                  </w:rPr>
                </m:ctrlPr>
              </m:sSubPr>
              <m:e>
                <m:r>
                  <w:rPr>
                    <w:rFonts w:ascii="Cambria Math" w:cs="Cambria Math" w:eastAsia="Cambria Math" w:hAnsi="Cambria Math"/>
                  </w:rPr>
                  <m:t xml:space="preserve">FST</m:t>
                </m:r>
              </m:e>
              <m:sub>
                <m:r>
                  <w:rPr>
                    <w:rFonts w:ascii="Cambria Math" w:cs="Cambria Math" w:eastAsia="Cambria Math" w:hAnsi="Cambria Math"/>
                  </w:rPr>
                  <m:t xml:space="preserve">A</m:t>
                </m:r>
              </m:sub>
            </m:sSub>
            <m:r>
              <w:rPr>
                <w:rFonts w:ascii="Cambria Math" w:cs="Cambria Math" w:eastAsia="Cambria Math" w:hAnsi="Cambria Math"/>
              </w:rPr>
              <m:t xml:space="preserve">)</m:t>
            </m:r>
          </m:num>
          <m:den>
            <m:r>
              <w:rPr>
                <w:rFonts w:ascii="Cambria Math" w:cs="Cambria Math" w:eastAsia="Cambria Math" w:hAnsi="Cambria Math"/>
              </w:rPr>
              <m:t xml:space="preserve">ln⁡(1-2</m:t>
            </m:r>
            <m:sSub>
              <m:sSubPr>
                <m:ctrlPr>
                  <w:rPr>
                    <w:rFonts w:ascii="Cambria Math" w:cs="Cambria Math" w:eastAsia="Cambria Math" w:hAnsi="Cambria Math"/>
                  </w:rPr>
                </m:ctrlPr>
              </m:sSubPr>
              <m:e>
                <m:r>
                  <w:rPr>
                    <w:rFonts w:ascii="Cambria Math" w:cs="Cambria Math" w:eastAsia="Cambria Math" w:hAnsi="Cambria Math"/>
                  </w:rPr>
                  <m:t xml:space="preserve">FST</m:t>
                </m:r>
              </m:e>
              <m:sub>
                <m:r>
                  <w:rPr>
                    <w:rFonts w:ascii="Cambria Math" w:cs="Cambria Math" w:eastAsia="Cambria Math" w:hAnsi="Cambria Math"/>
                  </w:rPr>
                  <m:t xml:space="preserve">X</m:t>
                </m:r>
              </m:sub>
            </m:sSub>
            <m:r>
              <w:rPr>
                <w:rFonts w:ascii="Cambria Math" w:cs="Cambria Math" w:eastAsia="Cambria Math" w:hAnsi="Cambria Math"/>
              </w:rPr>
              <m:t xml:space="preserve">)</m:t>
            </m:r>
          </m:den>
        </m:f>
      </m:oMath>
      <w:r w:rsidDel="00000000" w:rsidR="00000000" w:rsidRPr="00000000">
        <w:rPr>
          <w:rtl w:val="0"/>
        </w:rPr>
        <w:t xml:space="preserve">, where </w:t>
      </w:r>
      <w:r w:rsidDel="00000000" w:rsidR="00000000" w:rsidRPr="00000000">
        <w:rPr>
          <w:i w:val="1"/>
          <w:rtl w:val="0"/>
        </w:rPr>
        <w:t xml:space="preserve">FST</w:t>
      </w:r>
      <w:r w:rsidDel="00000000" w:rsidR="00000000" w:rsidRPr="00000000">
        <w:rPr>
          <w:i w:val="1"/>
          <w:vertAlign w:val="subscript"/>
          <w:rtl w:val="0"/>
        </w:rPr>
        <w:t xml:space="preserve">A</w:t>
      </w:r>
      <w:r w:rsidDel="00000000" w:rsidR="00000000" w:rsidRPr="00000000">
        <w:rPr>
          <w:rtl w:val="0"/>
        </w:rPr>
        <w:t xml:space="preserve"> and </w:t>
      </w:r>
      <w:r w:rsidDel="00000000" w:rsidR="00000000" w:rsidRPr="00000000">
        <w:rPr>
          <w:i w:val="1"/>
          <w:rtl w:val="0"/>
        </w:rPr>
        <w:t xml:space="preserve">FST</w:t>
      </w:r>
      <w:r w:rsidDel="00000000" w:rsidR="00000000" w:rsidRPr="00000000">
        <w:rPr>
          <w:i w:val="1"/>
          <w:vertAlign w:val="subscript"/>
          <w:rtl w:val="0"/>
        </w:rPr>
        <w:t xml:space="preserve">X</w:t>
      </w:r>
      <w:r w:rsidDel="00000000" w:rsidR="00000000" w:rsidRPr="00000000">
        <w:rPr>
          <w:rtl w:val="0"/>
        </w:rPr>
        <w:t xml:space="preserve"> are autosomal and X-chromosomal </w:t>
      </w:r>
      <w:r w:rsidDel="00000000" w:rsidR="00000000" w:rsidRPr="00000000">
        <w:rPr>
          <w:i w:val="1"/>
          <w:rtl w:val="0"/>
        </w:rPr>
        <w:t xml:space="preserve">F</w:t>
      </w:r>
      <w:r w:rsidDel="00000000" w:rsidR="00000000" w:rsidRPr="00000000">
        <w:rPr>
          <w:vertAlign w:val="subscript"/>
          <w:rtl w:val="0"/>
        </w:rPr>
        <w:t xml:space="preserve">ST</w:t>
      </w:r>
      <w:r w:rsidDel="00000000" w:rsidR="00000000" w:rsidRPr="00000000">
        <w:rPr>
          <w:rtl w:val="0"/>
        </w:rPr>
        <w:t xml:space="preserve"> values</w:t>
      </w:r>
      <w:hyperlink r:id="rId124">
        <w:r w:rsidDel="00000000" w:rsidR="00000000" w:rsidRPr="00000000">
          <w:rPr>
            <w:color w:val="000000"/>
            <w:vertAlign w:val="superscript"/>
            <w:rtl w:val="0"/>
          </w:rPr>
          <w:t xml:space="preserve">169,170</w:t>
        </w:r>
      </w:hyperlink>
      <w:r w:rsidDel="00000000" w:rsidR="00000000" w:rsidRPr="00000000">
        <w:rPr>
          <w:rtl w:val="0"/>
        </w:rPr>
        <w:t xml:space="preserve">. Under a simple demographic model with equal male and female effective sizes, </w:t>
      </w:r>
      <w:r w:rsidDel="00000000" w:rsidR="00000000" w:rsidRPr="00000000">
        <w:rPr>
          <w:i w:val="1"/>
          <w:rtl w:val="0"/>
        </w:rPr>
        <w:t xml:space="preserve">Q</w:t>
      </w:r>
      <w:r w:rsidDel="00000000" w:rsidR="00000000" w:rsidRPr="00000000">
        <w:rPr>
          <w:rtl w:val="0"/>
        </w:rPr>
        <w:t xml:space="preserve"> is expected to be 3/4, because there are three X-chromosomes for every four autosomes in the population. Deviations from 3/4 may therefore show sex-biased effective population sizes, which indicate different population histories for males and females</w:t>
      </w:r>
      <w:hyperlink r:id="rId125">
        <w:r w:rsidDel="00000000" w:rsidR="00000000" w:rsidRPr="00000000">
          <w:rPr>
            <w:color w:val="000000"/>
            <w:vertAlign w:val="superscript"/>
            <w:rtl w:val="0"/>
          </w:rPr>
          <w:t xml:space="preserve">168</w:t>
        </w:r>
      </w:hyperlink>
      <w:r w:rsidDel="00000000" w:rsidR="00000000" w:rsidRPr="00000000">
        <w:rPr>
          <w:rtl w:val="0"/>
        </w:rPr>
        <w:t xml:space="preserve">. Comparing the early medieval Lower Saxony (the best fitting source of CNE ancestry in medieval England according to Section 3) and early medieval English populations, the ratio of X- and autosomal differentiation is consistent with what is expected for a non–sex-biased process (</w:t>
      </w:r>
      <w:r w:rsidDel="00000000" w:rsidR="00000000" w:rsidRPr="00000000">
        <w:rPr>
          <w:i w:val="1"/>
          <w:rtl w:val="0"/>
        </w:rPr>
        <w:t xml:space="preserve">Q</w:t>
      </w:r>
      <w:r w:rsidDel="00000000" w:rsidR="00000000" w:rsidRPr="00000000">
        <w:rPr>
          <w:rtl w:val="0"/>
        </w:rPr>
        <w:t xml:space="preserve"> = 0.816 ± 0.232) (Supp. Table 2.8). Similarly, there is low relative differentiation on the X-chromosome between the Iron Age and early medieval English populations (</w:t>
      </w:r>
      <w:r w:rsidDel="00000000" w:rsidR="00000000" w:rsidRPr="00000000">
        <w:rPr>
          <w:i w:val="1"/>
          <w:rtl w:val="0"/>
        </w:rPr>
        <w:t xml:space="preserve">Q</w:t>
      </w:r>
      <w:r w:rsidDel="00000000" w:rsidR="00000000" w:rsidRPr="00000000">
        <w:rPr>
          <w:rtl w:val="0"/>
        </w:rPr>
        <w:t xml:space="preserve"> = 0.682 ± 0.484) (Supp. Table 2.9), indicating no strong male or female bias during the immigration of people from continental Europe (</w:t>
      </w:r>
      <w:r w:rsidDel="00000000" w:rsidR="00000000" w:rsidRPr="00000000">
        <w:rPr>
          <w:i w:val="1"/>
          <w:rtl w:val="0"/>
        </w:rPr>
        <w:t xml:space="preserve">p</w:t>
      </w:r>
      <w:r w:rsidDel="00000000" w:rsidR="00000000" w:rsidRPr="00000000">
        <w:rPr>
          <w:rtl w:val="0"/>
        </w:rPr>
        <w:t xml:space="preserve">-value for difference between observed and expected = 0.777 and 0.888). However, as evidenced by the large error bars, those observations represent only weak evidence and cannot securely identify potential sex bias.</w:t>
      </w:r>
    </w:p>
    <w:p w:rsidR="00000000" w:rsidDel="00000000" w:rsidP="00000000" w:rsidRDefault="00000000" w:rsidRPr="00000000" w14:paraId="0000073C">
      <w:pPr>
        <w:keepNext w:val="1"/>
        <w:rPr/>
      </w:pPr>
      <w:r w:rsidDel="00000000" w:rsidR="00000000" w:rsidRPr="00000000">
        <w:rPr/>
        <w:drawing>
          <wp:inline distB="114300" distT="114300" distL="114300" distR="114300">
            <wp:extent cx="5760410" cy="5638800"/>
            <wp:effectExtent b="0" l="0" r="0" t="0"/>
            <wp:docPr id="179" name="image66.png"/>
            <a:graphic>
              <a:graphicData uri="http://schemas.openxmlformats.org/drawingml/2006/picture">
                <pic:pic>
                  <pic:nvPicPr>
                    <pic:cNvPr id="0" name="image66.png"/>
                    <pic:cNvPicPr preferRelativeResize="0"/>
                  </pic:nvPicPr>
                  <pic:blipFill>
                    <a:blip r:embed="rId126"/>
                    <a:srcRect b="0" l="0" r="0" t="0"/>
                    <a:stretch>
                      <a:fillRect/>
                    </a:stretch>
                  </pic:blipFill>
                  <pic:spPr>
                    <a:xfrm>
                      <a:off x="0" y="0"/>
                      <a:ext cx="5760410" cy="5638800"/>
                    </a:xfrm>
                    <a:prstGeom prst="rect"/>
                    <a:ln/>
                  </pic:spPr>
                </pic:pic>
              </a:graphicData>
            </a:graphic>
          </wp:inline>
        </w:drawing>
      </w:r>
      <w:r w:rsidDel="00000000" w:rsidR="00000000" w:rsidRPr="00000000">
        <w:rPr>
          <w:rtl w:val="0"/>
        </w:rPr>
      </w:r>
    </w:p>
    <w:p w:rsidR="00000000" w:rsidDel="00000000" w:rsidP="00000000" w:rsidRDefault="00000000" w:rsidRPr="00000000" w14:paraId="0000073D">
      <w:pPr>
        <w:pBdr>
          <w:top w:space="0" w:sz="0" w:val="nil"/>
          <w:left w:space="0" w:sz="0" w:val="nil"/>
          <w:bottom w:space="0" w:sz="0" w:val="nil"/>
          <w:right w:space="0" w:sz="0" w:val="nil"/>
          <w:between w:space="0" w:sz="0" w:val="nil"/>
        </w:pBdr>
        <w:spacing w:after="200" w:line="240" w:lineRule="auto"/>
        <w:rPr>
          <w:i w:val="1"/>
          <w:sz w:val="18"/>
          <w:szCs w:val="18"/>
        </w:rPr>
      </w:pPr>
      <w:r w:rsidDel="00000000" w:rsidR="00000000" w:rsidRPr="00000000">
        <w:rPr>
          <w:b w:val="1"/>
          <w:i w:val="1"/>
          <w:sz w:val="18"/>
          <w:szCs w:val="18"/>
          <w:rtl w:val="0"/>
        </w:rPr>
        <w:t xml:space="preserve">Supplementary Figure 2.9, CNE ancestry in males and females. </w:t>
      </w:r>
      <w:r w:rsidDel="00000000" w:rsidR="00000000" w:rsidRPr="00000000">
        <w:rPr>
          <w:i w:val="1"/>
          <w:sz w:val="18"/>
          <w:szCs w:val="18"/>
          <w:rtl w:val="0"/>
        </w:rPr>
        <w:t xml:space="preserve">The distribution of the relative proportion of the CNE-related ancestry across the early medieval English male and female population, calculated with Supervised ADMIXTURE. The respective mean CNE ancestry is indicated as dotted line.</w:t>
      </w:r>
    </w:p>
    <w:p w:rsidR="00000000" w:rsidDel="00000000" w:rsidP="00000000" w:rsidRDefault="00000000" w:rsidRPr="00000000" w14:paraId="0000073E">
      <w:pPr>
        <w:rPr/>
      </w:pPr>
      <w:r w:rsidDel="00000000" w:rsidR="00000000" w:rsidRPr="00000000">
        <w:rPr>
          <w:rtl w:val="0"/>
        </w:rPr>
      </w:r>
    </w:p>
    <w:p w:rsidR="00000000" w:rsidDel="00000000" w:rsidP="00000000" w:rsidRDefault="00000000" w:rsidRPr="00000000" w14:paraId="0000073F">
      <w:pPr>
        <w:pStyle w:val="Heading3"/>
        <w:rPr>
          <w:color w:val="000000"/>
        </w:rPr>
      </w:pPr>
      <w:bookmarkStart w:colFirst="0" w:colLast="0" w:name="_heading=h.2dlolyb" w:id="59"/>
      <w:bookmarkEnd w:id="59"/>
      <w:r w:rsidDel="00000000" w:rsidR="00000000" w:rsidRPr="00000000">
        <w:rPr>
          <w:color w:val="000000"/>
          <w:rtl w:val="0"/>
        </w:rPr>
        <w:t xml:space="preserve">ADMIXTURE analysis of the X-chromosome</w:t>
      </w:r>
    </w:p>
    <w:p w:rsidR="00000000" w:rsidDel="00000000" w:rsidP="00000000" w:rsidRDefault="00000000" w:rsidRPr="00000000" w14:paraId="00000740">
      <w:pPr>
        <w:rPr/>
      </w:pPr>
      <w:r w:rsidDel="00000000" w:rsidR="00000000" w:rsidRPr="00000000">
        <w:rPr>
          <w:rtl w:val="0"/>
        </w:rPr>
        <w:t xml:space="preserve">A different approach relies on the comparison of admixture estimates on the autosomes and the X-chromosome. This is because males always inherit a maternal X-chromosome, so differences in these proportions imply sex-biased mixture. Since most of our modern reference data, especially from the continent, is not sufficiently genotyped on the X-chromosome, it cannot be used in the </w:t>
      </w:r>
      <w:r w:rsidDel="00000000" w:rsidR="00000000" w:rsidRPr="00000000">
        <w:rPr>
          <w:i w:val="1"/>
          <w:rtl w:val="0"/>
        </w:rPr>
        <w:t xml:space="preserve">qpAdm</w:t>
      </w:r>
      <w:hyperlink r:id="rId127">
        <w:r w:rsidDel="00000000" w:rsidR="00000000" w:rsidRPr="00000000">
          <w:rPr>
            <w:i w:val="1"/>
            <w:color w:val="000000"/>
            <w:vertAlign w:val="superscript"/>
            <w:rtl w:val="0"/>
          </w:rPr>
          <w:t xml:space="preserve">171</w:t>
        </w:r>
      </w:hyperlink>
      <w:r w:rsidDel="00000000" w:rsidR="00000000" w:rsidRPr="00000000">
        <w:rPr>
          <w:rtl w:val="0"/>
        </w:rPr>
        <w:t xml:space="preserve">-based approach described in Mathieson et al.</w:t>
      </w:r>
      <w:hyperlink r:id="rId128">
        <w:r w:rsidDel="00000000" w:rsidR="00000000" w:rsidRPr="00000000">
          <w:rPr>
            <w:color w:val="000000"/>
            <w:vertAlign w:val="superscript"/>
            <w:rtl w:val="0"/>
          </w:rPr>
          <w:t xml:space="preserve">124</w:t>
        </w:r>
      </w:hyperlink>
      <w:r w:rsidDel="00000000" w:rsidR="00000000" w:rsidRPr="00000000">
        <w:rPr>
          <w:rtl w:val="0"/>
        </w:rPr>
        <w:t xml:space="preserve"> or in a direct supervised ADMIXTURE</w:t>
      </w:r>
      <w:hyperlink r:id="rId129">
        <w:r w:rsidDel="00000000" w:rsidR="00000000" w:rsidRPr="00000000">
          <w:rPr>
            <w:color w:val="000000"/>
            <w:vertAlign w:val="superscript"/>
            <w:rtl w:val="0"/>
          </w:rPr>
          <w:t xml:space="preserve">172</w:t>
        </w:r>
      </w:hyperlink>
      <w:r w:rsidDel="00000000" w:rsidR="00000000" w:rsidRPr="00000000">
        <w:rPr>
          <w:rtl w:val="0"/>
        </w:rPr>
        <w:t xml:space="preserve"> analysis as in Fig. 3. We therefore designed a supervised ADMIXTURE</w:t>
      </w:r>
      <w:hyperlink r:id="rId130">
        <w:r w:rsidDel="00000000" w:rsidR="00000000" w:rsidRPr="00000000">
          <w:rPr>
            <w:color w:val="000000"/>
            <w:vertAlign w:val="superscript"/>
            <w:rtl w:val="0"/>
          </w:rPr>
          <w:t xml:space="preserve">172</w:t>
        </w:r>
      </w:hyperlink>
      <w:r w:rsidDel="00000000" w:rsidR="00000000" w:rsidRPr="00000000">
        <w:rPr>
          <w:rtl w:val="0"/>
        </w:rPr>
        <w:t xml:space="preserve"> setup similar as in Fig. 3 that employs data sufficiently genotyped on the X-chromosome</w:t>
      </w:r>
      <w:hyperlink r:id="rId131">
        <w:r w:rsidDel="00000000" w:rsidR="00000000" w:rsidRPr="00000000">
          <w:rPr>
            <w:color w:val="000000"/>
            <w:vertAlign w:val="superscript"/>
            <w:rtl w:val="0"/>
          </w:rPr>
          <w:t xml:space="preserve">168,173</w:t>
        </w:r>
      </w:hyperlink>
      <w:r w:rsidDel="00000000" w:rsidR="00000000" w:rsidRPr="00000000">
        <w:rPr>
          <w:rtl w:val="0"/>
        </w:rPr>
        <w:t xml:space="preserve">. To approximate the ancient admixture sources, we grouped ancient post-Bronze Age British and Irish together. To increase sample size we further included the haploid genomes of 100 modern Welsh and labelled this metapopulation as “ancient and modern western British and Irish” (mixed WBI, </w:t>
      </w:r>
      <w:r w:rsidDel="00000000" w:rsidR="00000000" w:rsidRPr="00000000">
        <w:rPr>
          <w:i w:val="1"/>
          <w:rtl w:val="0"/>
        </w:rPr>
        <w:t xml:space="preserve">n</w:t>
      </w:r>
      <w:r w:rsidDel="00000000" w:rsidR="00000000" w:rsidRPr="00000000">
        <w:rPr>
          <w:rtl w:val="0"/>
        </w:rPr>
        <w:t xml:space="preserve"> = 600). Similarly, we proceeded to group medieval Dutch, Danish, and northern Germans genomes together as “ancient continental northern European” (ancient CNE, </w:t>
      </w:r>
      <w:r w:rsidDel="00000000" w:rsidR="00000000" w:rsidRPr="00000000">
        <w:rPr>
          <w:i w:val="1"/>
          <w:rtl w:val="0"/>
        </w:rPr>
        <w:t xml:space="preserve">n</w:t>
      </w:r>
      <w:r w:rsidDel="00000000" w:rsidR="00000000" w:rsidRPr="00000000">
        <w:rPr>
          <w:rtl w:val="0"/>
        </w:rPr>
        <w:t xml:space="preserve"> = 124). We then used ADMIXTURE in supervised mode</w:t>
      </w:r>
      <w:hyperlink r:id="rId132">
        <w:r w:rsidDel="00000000" w:rsidR="00000000" w:rsidRPr="00000000">
          <w:rPr>
            <w:color w:val="000000"/>
            <w:vertAlign w:val="superscript"/>
            <w:rtl w:val="0"/>
          </w:rPr>
          <w:t xml:space="preserve">168,172,173</w:t>
        </w:r>
      </w:hyperlink>
      <w:r w:rsidDel="00000000" w:rsidR="00000000" w:rsidRPr="00000000">
        <w:rPr>
          <w:rtl w:val="0"/>
        </w:rPr>
        <w:t xml:space="preserve">, where we estimated autosomal admixture proportions for a subset of 195 early medieval genomes from England that had coverage on the X-chromosome using those two reference populations with </w:t>
      </w:r>
      <w:r w:rsidDel="00000000" w:rsidR="00000000" w:rsidRPr="00000000">
        <w:rPr>
          <w:i w:val="1"/>
          <w:rtl w:val="0"/>
        </w:rPr>
        <w:t xml:space="preserve">K </w:t>
      </w:r>
      <w:r w:rsidDel="00000000" w:rsidR="00000000" w:rsidRPr="00000000">
        <w:rPr>
          <w:rtl w:val="0"/>
        </w:rPr>
        <w:t xml:space="preserve">= 2. This analysis was run on 905,679 SNPs across chromosomes 1 to 22. Subsequently, we compared the ancient CNE (aCNE) ancestry estimates on the autosomes to the estimates of “modern CNE” ancestry obtained using exclusively present-day reference populations (WBI, </w:t>
      </w:r>
      <w:r w:rsidDel="00000000" w:rsidR="00000000" w:rsidRPr="00000000">
        <w:rPr>
          <w:i w:val="1"/>
          <w:rtl w:val="0"/>
        </w:rPr>
        <w:t xml:space="preserve">n</w:t>
      </w:r>
      <w:r w:rsidDel="00000000" w:rsidR="00000000" w:rsidRPr="00000000">
        <w:rPr>
          <w:rtl w:val="0"/>
        </w:rPr>
        <w:t xml:space="preserve"> = 667 &amp; CNE, </w:t>
      </w:r>
      <w:r w:rsidDel="00000000" w:rsidR="00000000" w:rsidRPr="00000000">
        <w:rPr>
          <w:i w:val="1"/>
          <w:rtl w:val="0"/>
        </w:rPr>
        <w:t xml:space="preserve">n</w:t>
      </w:r>
      <w:r w:rsidDel="00000000" w:rsidR="00000000" w:rsidRPr="00000000">
        <w:rPr>
          <w:rtl w:val="0"/>
        </w:rPr>
        <w:t xml:space="preserve"> = 407) on the same subset of 195 individuals and 431,824 autosomal SNPs. Although both approaches utilize different reference data, the autosomal estimates for each individual are highly correlated (</w:t>
      </w:r>
      <w:r w:rsidDel="00000000" w:rsidR="00000000" w:rsidRPr="00000000">
        <w:rPr>
          <w:i w:val="1"/>
          <w:rtl w:val="0"/>
        </w:rPr>
        <w:t xml:space="preserve">r</w:t>
      </w:r>
      <w:r w:rsidDel="00000000" w:rsidR="00000000" w:rsidRPr="00000000">
        <w:rPr>
          <w:rtl w:val="0"/>
        </w:rPr>
        <w:t xml:space="preserve"> = 0.87, </w:t>
      </w:r>
      <w:r w:rsidDel="00000000" w:rsidR="00000000" w:rsidRPr="00000000">
        <w:rPr>
          <w:i w:val="1"/>
          <w:rtl w:val="0"/>
        </w:rPr>
        <w:t xml:space="preserve">t </w:t>
      </w:r>
      <w:r w:rsidDel="00000000" w:rsidR="00000000" w:rsidRPr="00000000">
        <w:rPr>
          <w:rtl w:val="0"/>
        </w:rPr>
        <w:t xml:space="preserve">= 24.6, </w:t>
      </w:r>
      <w:r w:rsidDel="00000000" w:rsidR="00000000" w:rsidRPr="00000000">
        <w:rPr>
          <w:i w:val="1"/>
          <w:rtl w:val="0"/>
        </w:rPr>
        <w:t xml:space="preserve">d.f.</w:t>
      </w:r>
      <w:r w:rsidDel="00000000" w:rsidR="00000000" w:rsidRPr="00000000">
        <w:rPr>
          <w:rtl w:val="0"/>
        </w:rPr>
        <w:t xml:space="preserve"> = 193, </w:t>
      </w:r>
      <w:r w:rsidDel="00000000" w:rsidR="00000000" w:rsidRPr="00000000">
        <w:rPr>
          <w:i w:val="1"/>
          <w:rtl w:val="0"/>
        </w:rPr>
        <w:t xml:space="preserve">p</w:t>
      </w:r>
      <w:r w:rsidDel="00000000" w:rsidR="00000000" w:rsidRPr="00000000">
        <w:rPr>
          <w:rtl w:val="0"/>
        </w:rPr>
        <w:t xml:space="preserve"> &lt; 2.2e-16) with the mean CNE ancestry estimates obtained using modern and ancient references not being substantially different (76 ± 2.1% vs. 74.8 ± 2.7%) (Supp. Fig. 2.10). We therefore proceeded to model our early medieval subset exclusively on the X-chromosome (49,459 SNPs). We calculated a mean of 72.5 ± 3.2% ancient CNE ancestry on the X-chromosome, which is not significantly different to the estimates obtained on the autosomes using either modern sources (Wilcoxon signed rank test; </w:t>
      </w:r>
      <w:r w:rsidDel="00000000" w:rsidR="00000000" w:rsidRPr="00000000">
        <w:rPr>
          <w:i w:val="1"/>
          <w:rtl w:val="0"/>
        </w:rPr>
        <w:t xml:space="preserve">V</w:t>
      </w:r>
      <w:r w:rsidDel="00000000" w:rsidR="00000000" w:rsidRPr="00000000">
        <w:rPr>
          <w:rtl w:val="0"/>
        </w:rPr>
        <w:t xml:space="preserve"> = 1815, </w:t>
      </w:r>
      <w:r w:rsidDel="00000000" w:rsidR="00000000" w:rsidRPr="00000000">
        <w:rPr>
          <w:i w:val="1"/>
          <w:rtl w:val="0"/>
        </w:rPr>
        <w:t xml:space="preserve">n</w:t>
      </w:r>
      <w:r w:rsidDel="00000000" w:rsidR="00000000" w:rsidRPr="00000000">
        <w:rPr>
          <w:rtl w:val="0"/>
        </w:rPr>
        <w:t xml:space="preserve"> = 195, </w:t>
      </w:r>
      <w:r w:rsidDel="00000000" w:rsidR="00000000" w:rsidRPr="00000000">
        <w:rPr>
          <w:i w:val="1"/>
          <w:rtl w:val="0"/>
        </w:rPr>
        <w:t xml:space="preserve">p </w:t>
      </w:r>
      <w:r w:rsidDel="00000000" w:rsidR="00000000" w:rsidRPr="00000000">
        <w:rPr>
          <w:rtl w:val="0"/>
        </w:rPr>
        <w:t xml:space="preserve">= 0.3506) or ancient sources (Wilcoxon signed rank test; </w:t>
      </w:r>
      <w:r w:rsidDel="00000000" w:rsidR="00000000" w:rsidRPr="00000000">
        <w:rPr>
          <w:i w:val="1"/>
          <w:rtl w:val="0"/>
        </w:rPr>
        <w:t xml:space="preserve">V</w:t>
      </w:r>
      <w:r w:rsidDel="00000000" w:rsidR="00000000" w:rsidRPr="00000000">
        <w:rPr>
          <w:rtl w:val="0"/>
        </w:rPr>
        <w:t xml:space="preserve"> = 2008, </w:t>
      </w:r>
      <w:r w:rsidDel="00000000" w:rsidR="00000000" w:rsidRPr="00000000">
        <w:rPr>
          <w:i w:val="1"/>
          <w:rtl w:val="0"/>
        </w:rPr>
        <w:t xml:space="preserve">n</w:t>
      </w:r>
      <w:r w:rsidDel="00000000" w:rsidR="00000000" w:rsidRPr="00000000">
        <w:rPr>
          <w:rtl w:val="0"/>
        </w:rPr>
        <w:t xml:space="preserve"> = 195, </w:t>
      </w:r>
      <w:r w:rsidDel="00000000" w:rsidR="00000000" w:rsidRPr="00000000">
        <w:rPr>
          <w:i w:val="1"/>
          <w:rtl w:val="0"/>
        </w:rPr>
        <w:t xml:space="preserve">p</w:t>
      </w:r>
      <w:r w:rsidDel="00000000" w:rsidR="00000000" w:rsidRPr="00000000">
        <w:rPr>
          <w:rtl w:val="0"/>
        </w:rPr>
        <w:t xml:space="preserve"> = 0.3136) or to the estimate based on the Y-chromosome haplogroups of this subset (73 ± 2.4%) (</w:t>
      </w:r>
      <w:r w:rsidDel="00000000" w:rsidR="00000000" w:rsidRPr="00000000">
        <w:rPr>
          <w:i w:val="1"/>
          <w:rtl w:val="0"/>
        </w:rPr>
        <w:t xml:space="preserve">p</w:t>
      </w:r>
      <w:r w:rsidDel="00000000" w:rsidR="00000000" w:rsidRPr="00000000">
        <w:rPr>
          <w:rtl w:val="0"/>
        </w:rPr>
        <w:t xml:space="preserve"> = 0.835) of the investigated subsample (Supp. Fig. 2.11). Using the formula described in Mathieson et al.</w:t>
      </w:r>
      <w:hyperlink r:id="rId133">
        <w:r w:rsidDel="00000000" w:rsidR="00000000" w:rsidRPr="00000000">
          <w:rPr>
            <w:color w:val="000000"/>
            <w:vertAlign w:val="superscript"/>
            <w:rtl w:val="0"/>
          </w:rPr>
          <w:t xml:space="preserve">124</w:t>
        </w:r>
      </w:hyperlink>
      <w:r w:rsidDel="00000000" w:rsidR="00000000" w:rsidRPr="00000000">
        <w:rPr>
          <w:rtl w:val="0"/>
        </w:rPr>
        <w:t xml:space="preserve">, </w:t>
      </w:r>
      <m:oMath>
        <m:r>
          <w:rPr>
            <w:rFonts w:ascii="Cambria Math" w:cs="Cambria Math" w:eastAsia="Cambria Math" w:hAnsi="Cambria Math"/>
          </w:rPr>
          <m:t xml:space="preserve">Z=</m:t>
        </m:r>
        <m:f>
          <m:fPr>
            <m:ctrlPr>
              <w:rPr>
                <w:rFonts w:ascii="Cambria Math" w:cs="Cambria Math" w:eastAsia="Cambria Math" w:hAnsi="Cambria Math"/>
              </w:rPr>
            </m:ctrlPr>
          </m:fPr>
          <m:num>
            <m:sSub>
              <m:sSubPr>
                <m:ctrlPr>
                  <w:rPr>
                    <w:rFonts w:ascii="Cambria Math" w:cs="Cambria Math" w:eastAsia="Cambria Math" w:hAnsi="Cambria Math"/>
                  </w:rPr>
                </m:ctrlPr>
              </m:sSubPr>
              <m:e>
                <m:r>
                  <w:rPr>
                    <w:rFonts w:ascii="Cambria Math" w:cs="Cambria Math" w:eastAsia="Cambria Math" w:hAnsi="Cambria Math"/>
                  </w:rPr>
                  <m:t xml:space="preserve">P</m:t>
                </m:r>
              </m:e>
              <m:sub>
                <m:r>
                  <w:rPr>
                    <w:rFonts w:ascii="Cambria Math" w:cs="Cambria Math" w:eastAsia="Cambria Math" w:hAnsi="Cambria Math"/>
                  </w:rPr>
                  <m:t xml:space="preserve">A</m:t>
                </m:r>
              </m:sub>
            </m:sSub>
            <m:r>
              <w:rPr>
                <w:rFonts w:ascii="Cambria Math" w:cs="Cambria Math" w:eastAsia="Cambria Math" w:hAnsi="Cambria Math"/>
              </w:rPr>
              <m:t xml:space="preserve">-</m:t>
            </m:r>
            <m:sSub>
              <m:sSubPr>
                <m:ctrlPr>
                  <w:rPr>
                    <w:rFonts w:ascii="Cambria Math" w:cs="Cambria Math" w:eastAsia="Cambria Math" w:hAnsi="Cambria Math"/>
                  </w:rPr>
                </m:ctrlPr>
              </m:sSubPr>
              <m:e>
                <m:r>
                  <w:rPr>
                    <w:rFonts w:ascii="Cambria Math" w:cs="Cambria Math" w:eastAsia="Cambria Math" w:hAnsi="Cambria Math"/>
                  </w:rPr>
                  <m:t xml:space="preserve">P</m:t>
                </m:r>
              </m:e>
              <m:sub>
                <m:r>
                  <w:rPr>
                    <w:rFonts w:ascii="Cambria Math" w:cs="Cambria Math" w:eastAsia="Cambria Math" w:hAnsi="Cambria Math"/>
                  </w:rPr>
                  <m:t xml:space="preserve">X</m:t>
                </m:r>
              </m:sub>
            </m:sSub>
          </m:num>
          <m:den>
            <m:rad>
              <m:radPr>
                <m:degHide m:val="1"/>
                <m:ctrlPr>
                  <w:rPr>
                    <w:rFonts w:ascii="Cambria Math" w:cs="Cambria Math" w:eastAsia="Cambria Math" w:hAnsi="Cambria Math"/>
                  </w:rPr>
                </m:ctrlPr>
              </m:radPr>
              <m:e>
                <m:sSup>
                  <m:sSupPr>
                    <m:ctrlPr>
                      <w:rPr>
                        <w:rFonts w:ascii="Cambria Math" w:cs="Cambria Math" w:eastAsia="Cambria Math" w:hAnsi="Cambria Math"/>
                      </w:rPr>
                    </m:ctrlPr>
                  </m:sSupPr>
                  <m:e>
                    <m:sSub>
                      <m:sSubPr>
                        <m:ctrlPr>
                          <w:rPr>
                            <w:rFonts w:ascii="Cambria Math" w:cs="Cambria Math" w:eastAsia="Cambria Math" w:hAnsi="Cambria Math"/>
                          </w:rPr>
                        </m:ctrlPr>
                      </m:sSubPr>
                      <m:e>
                        <m:r>
                          <w:rPr>
                            <w:rFonts w:ascii="Cambria Math" w:cs="Cambria Math" w:eastAsia="Cambria Math" w:hAnsi="Cambria Math"/>
                          </w:rPr>
                          <m:t>σ</m:t>
                        </m:r>
                      </m:e>
                      <m:sub>
                        <m:r>
                          <w:rPr>
                            <w:rFonts w:ascii="Cambria Math" w:cs="Cambria Math" w:eastAsia="Cambria Math" w:hAnsi="Cambria Math"/>
                          </w:rPr>
                          <m:t xml:space="preserve">A</m:t>
                        </m:r>
                      </m:sub>
                    </m:sSub>
                  </m:e>
                  <m:sup>
                    <m:r>
                      <w:rPr>
                        <w:rFonts w:ascii="Cambria Math" w:cs="Cambria Math" w:eastAsia="Cambria Math" w:hAnsi="Cambria Math"/>
                      </w:rPr>
                      <m:t xml:space="preserve">2</m:t>
                    </m:r>
                  </m:sup>
                </m:sSup>
                <m:r>
                  <w:rPr>
                    <w:rFonts w:ascii="Cambria Math" w:cs="Cambria Math" w:eastAsia="Cambria Math" w:hAnsi="Cambria Math"/>
                  </w:rPr>
                  <m:t xml:space="preserve">+</m:t>
                </m:r>
                <m:sSup>
                  <m:sSupPr>
                    <m:ctrlPr>
                      <w:rPr>
                        <w:rFonts w:ascii="Cambria Math" w:cs="Cambria Math" w:eastAsia="Cambria Math" w:hAnsi="Cambria Math"/>
                      </w:rPr>
                    </m:ctrlPr>
                  </m:sSupPr>
                  <m:e>
                    <m:sSub>
                      <m:sSubPr>
                        <m:ctrlPr>
                          <w:rPr>
                            <w:rFonts w:ascii="Cambria Math" w:cs="Cambria Math" w:eastAsia="Cambria Math" w:hAnsi="Cambria Math"/>
                          </w:rPr>
                        </m:ctrlPr>
                      </m:sSubPr>
                      <m:e>
                        <m:r>
                          <w:rPr>
                            <w:rFonts w:ascii="Cambria Math" w:cs="Cambria Math" w:eastAsia="Cambria Math" w:hAnsi="Cambria Math"/>
                          </w:rPr>
                          <m:t>σ</m:t>
                        </m:r>
                      </m:e>
                      <m:sub>
                        <m:r>
                          <w:rPr>
                            <w:rFonts w:ascii="Cambria Math" w:cs="Cambria Math" w:eastAsia="Cambria Math" w:hAnsi="Cambria Math"/>
                          </w:rPr>
                          <m:t xml:space="preserve">X</m:t>
                        </m:r>
                      </m:sub>
                    </m:sSub>
                  </m:e>
                  <m:sup>
                    <m:r>
                      <w:rPr>
                        <w:rFonts w:ascii="Cambria Math" w:cs="Cambria Math" w:eastAsia="Cambria Math" w:hAnsi="Cambria Math"/>
                      </w:rPr>
                      <m:t xml:space="preserve">2</m:t>
                    </m:r>
                  </m:sup>
                </m:sSup>
              </m:e>
            </m:rad>
          </m:den>
        </m:f>
      </m:oMath>
      <w:r w:rsidDel="00000000" w:rsidR="00000000" w:rsidRPr="00000000">
        <w:rPr>
          <w:rtl w:val="0"/>
        </w:rPr>
        <w:t xml:space="preserve"> in which </w:t>
      </w:r>
      <w:r w:rsidDel="00000000" w:rsidR="00000000" w:rsidRPr="00000000">
        <w:rPr>
          <w:i w:val="1"/>
          <w:rtl w:val="0"/>
        </w:rPr>
        <w:t xml:space="preserve">P</w:t>
      </w:r>
      <w:r w:rsidDel="00000000" w:rsidR="00000000" w:rsidRPr="00000000">
        <w:rPr>
          <w:i w:val="1"/>
          <w:vertAlign w:val="subscript"/>
          <w:rtl w:val="0"/>
        </w:rPr>
        <w:t xml:space="preserve">A</w:t>
      </w:r>
      <w:r w:rsidDel="00000000" w:rsidR="00000000" w:rsidRPr="00000000">
        <w:rPr>
          <w:rtl w:val="0"/>
        </w:rPr>
        <w:t xml:space="preserve"> and</w:t>
      </w:r>
      <w:r w:rsidDel="00000000" w:rsidR="00000000" w:rsidRPr="00000000">
        <w:rPr>
          <w:i w:val="1"/>
          <w:rtl w:val="0"/>
        </w:rPr>
        <w:t xml:space="preserve"> P</w:t>
      </w:r>
      <w:r w:rsidDel="00000000" w:rsidR="00000000" w:rsidRPr="00000000">
        <w:rPr>
          <w:i w:val="1"/>
          <w:vertAlign w:val="subscript"/>
          <w:rtl w:val="0"/>
        </w:rPr>
        <w:t xml:space="preserve">X</w:t>
      </w:r>
      <w:r w:rsidDel="00000000" w:rsidR="00000000" w:rsidRPr="00000000">
        <w:rPr>
          <w:rtl w:val="0"/>
        </w:rPr>
        <w:t xml:space="preserve"> are the admixture proportions on the autosomes and the X-chromosome, and </w:t>
      </w:r>
      <w:r w:rsidDel="00000000" w:rsidR="00000000" w:rsidRPr="00000000">
        <w:rPr>
          <w:i w:val="1"/>
          <w:rtl w:val="0"/>
        </w:rPr>
        <w:t xml:space="preserve">σ</w:t>
      </w:r>
      <w:r w:rsidDel="00000000" w:rsidR="00000000" w:rsidRPr="00000000">
        <w:rPr>
          <w:i w:val="1"/>
          <w:vertAlign w:val="subscript"/>
          <w:rtl w:val="0"/>
        </w:rPr>
        <w:t xml:space="preserve">A</w:t>
      </w:r>
      <w:r w:rsidDel="00000000" w:rsidR="00000000" w:rsidRPr="00000000">
        <w:rPr>
          <w:rtl w:val="0"/>
        </w:rPr>
        <w:t xml:space="preserve"> and </w:t>
      </w:r>
      <w:r w:rsidDel="00000000" w:rsidR="00000000" w:rsidRPr="00000000">
        <w:rPr>
          <w:i w:val="1"/>
          <w:rtl w:val="0"/>
        </w:rPr>
        <w:t xml:space="preserve">σ</w:t>
      </w:r>
      <w:r w:rsidDel="00000000" w:rsidR="00000000" w:rsidRPr="00000000">
        <w:rPr>
          <w:i w:val="1"/>
          <w:vertAlign w:val="subscript"/>
          <w:rtl w:val="0"/>
        </w:rPr>
        <w:t xml:space="preserve">X</w:t>
      </w:r>
      <w:r w:rsidDel="00000000" w:rsidR="00000000" w:rsidRPr="00000000">
        <w:rPr>
          <w:rtl w:val="0"/>
        </w:rPr>
        <w:t xml:space="preserve"> are the corresponding standard errors</w:t>
      </w:r>
      <w:hyperlink r:id="rId134">
        <w:r w:rsidDel="00000000" w:rsidR="00000000" w:rsidRPr="00000000">
          <w:rPr>
            <w:color w:val="000000"/>
            <w:vertAlign w:val="superscript"/>
            <w:rtl w:val="0"/>
          </w:rPr>
          <w:t xml:space="preserve">124</w:t>
        </w:r>
      </w:hyperlink>
      <w:r w:rsidDel="00000000" w:rsidR="00000000" w:rsidRPr="00000000">
        <w:rPr>
          <w:rtl w:val="0"/>
        </w:rPr>
        <w:t xml:space="preserve">, we calculated a sex-bias </w:t>
      </w:r>
      <w:r w:rsidDel="00000000" w:rsidR="00000000" w:rsidRPr="00000000">
        <w:rPr>
          <w:i w:val="1"/>
          <w:rtl w:val="0"/>
        </w:rPr>
        <w:t xml:space="preserve">Z</w:t>
      </w:r>
      <w:r w:rsidDel="00000000" w:rsidR="00000000" w:rsidRPr="00000000">
        <w:rPr>
          <w:rtl w:val="0"/>
        </w:rPr>
        <w:t xml:space="preserve"> score of 0.54, which suggests no bias towards male CNE ancestry in early medieval samples from England (</w:t>
      </w:r>
      <w:r w:rsidDel="00000000" w:rsidR="00000000" w:rsidRPr="00000000">
        <w:rPr>
          <w:highlight w:val="white"/>
          <w:rtl w:val="0"/>
        </w:rPr>
        <w:t xml:space="preserve">two-sided</w:t>
      </w:r>
      <w:r w:rsidDel="00000000" w:rsidR="00000000" w:rsidRPr="00000000">
        <w:rPr>
          <w:rFonts w:ascii="Arial" w:cs="Arial" w:eastAsia="Arial" w:hAnsi="Arial"/>
          <w:color w:val="333333"/>
          <w:sz w:val="21"/>
          <w:szCs w:val="21"/>
          <w:highlight w:val="white"/>
          <w:rtl w:val="0"/>
        </w:rPr>
        <w:t xml:space="preserve"> </w:t>
      </w:r>
      <w:r w:rsidDel="00000000" w:rsidR="00000000" w:rsidRPr="00000000">
        <w:rPr>
          <w:i w:val="1"/>
          <w:rtl w:val="0"/>
        </w:rPr>
        <w:t xml:space="preserve">p</w:t>
      </w:r>
      <w:r w:rsidDel="00000000" w:rsidR="00000000" w:rsidRPr="00000000">
        <w:rPr>
          <w:rtl w:val="0"/>
        </w:rPr>
        <w:t xml:space="preserve"> = 0.586). However, we note that there may be regional differences between the sites.</w:t>
      </w:r>
    </w:p>
    <w:p w:rsidR="00000000" w:rsidDel="00000000" w:rsidP="00000000" w:rsidRDefault="00000000" w:rsidRPr="00000000" w14:paraId="00000741">
      <w:pPr>
        <w:keepNext w:val="1"/>
        <w:rPr/>
      </w:pPr>
      <w:r w:rsidDel="00000000" w:rsidR="00000000" w:rsidRPr="00000000">
        <w:rPr>
          <w:rtl w:val="0"/>
        </w:rPr>
      </w:r>
    </w:p>
    <w:p w:rsidR="00000000" w:rsidDel="00000000" w:rsidP="00000000" w:rsidRDefault="00000000" w:rsidRPr="00000000" w14:paraId="00000742">
      <w:pPr>
        <w:keepNext w:val="1"/>
        <w:rPr/>
      </w:pPr>
      <w:r w:rsidDel="00000000" w:rsidR="00000000" w:rsidRPr="00000000">
        <w:rPr/>
        <w:drawing>
          <wp:inline distB="0" distT="0" distL="0" distR="0">
            <wp:extent cx="5760720" cy="3129915"/>
            <wp:effectExtent b="0" l="0" r="0" t="0"/>
            <wp:docPr descr="Chart, scatter chart&#10;&#10;Description automatically generated" id="180" name="image62.png"/>
            <a:graphic>
              <a:graphicData uri="http://schemas.openxmlformats.org/drawingml/2006/picture">
                <pic:pic>
                  <pic:nvPicPr>
                    <pic:cNvPr descr="Chart, scatter chart&#10;&#10;Description automatically generated" id="0" name="image62.png"/>
                    <pic:cNvPicPr preferRelativeResize="0"/>
                  </pic:nvPicPr>
                  <pic:blipFill>
                    <a:blip r:embed="rId135"/>
                    <a:srcRect b="0" l="0" r="0" t="0"/>
                    <a:stretch>
                      <a:fillRect/>
                    </a:stretch>
                  </pic:blipFill>
                  <pic:spPr>
                    <a:xfrm>
                      <a:off x="0" y="0"/>
                      <a:ext cx="5760720" cy="3129915"/>
                    </a:xfrm>
                    <a:prstGeom prst="rect"/>
                    <a:ln/>
                  </pic:spPr>
                </pic:pic>
              </a:graphicData>
            </a:graphic>
          </wp:inline>
        </w:drawing>
      </w:r>
      <w:r w:rsidDel="00000000" w:rsidR="00000000" w:rsidRPr="00000000">
        <w:rPr>
          <w:rtl w:val="0"/>
        </w:rPr>
      </w:r>
    </w:p>
    <w:p w:rsidR="00000000" w:rsidDel="00000000" w:rsidP="00000000" w:rsidRDefault="00000000" w:rsidRPr="00000000" w14:paraId="00000743">
      <w:pPr>
        <w:pBdr>
          <w:top w:space="0" w:sz="0" w:val="nil"/>
          <w:left w:space="0" w:sz="0" w:val="nil"/>
          <w:bottom w:space="0" w:sz="0" w:val="nil"/>
          <w:right w:space="0" w:sz="0" w:val="nil"/>
          <w:between w:space="0" w:sz="0" w:val="nil"/>
        </w:pBdr>
        <w:spacing w:after="200" w:line="240" w:lineRule="auto"/>
        <w:rPr>
          <w:i w:val="1"/>
          <w:sz w:val="18"/>
          <w:szCs w:val="18"/>
        </w:rPr>
      </w:pPr>
      <w:r w:rsidDel="00000000" w:rsidR="00000000" w:rsidRPr="00000000">
        <w:rPr>
          <w:b w:val="1"/>
          <w:i w:val="1"/>
          <w:sz w:val="18"/>
          <w:szCs w:val="18"/>
          <w:rtl w:val="0"/>
        </w:rPr>
        <w:t xml:space="preserve">Supplementary Figure 2.10, Validation of CNE estimates on the autosomes and X-chromosome using ADMIXTURE. </w:t>
      </w:r>
      <w:r w:rsidDel="00000000" w:rsidR="00000000" w:rsidRPr="00000000">
        <w:rPr>
          <w:i w:val="1"/>
          <w:sz w:val="18"/>
          <w:szCs w:val="18"/>
          <w:rtl w:val="0"/>
        </w:rPr>
        <w:t xml:space="preserve">Correlogram illustrating pairwise correlations between different estimates of CNE ancestry on the autosomes and X-chromosome. Pearson’s r values for each pairwise correlation test are indicated in the upper triangle of the matrix. Error bands represent ± 2 standard errors. b) Linear regression of mean aCNE ancestry on the X-chromosome as function of mean aCNE ancestry on the autosomes. Samples were grouped in 10 bins of autosomal aCNE ancestry as indicated in the plot. The error band represents ± 2 standard errors.</w:t>
      </w:r>
    </w:p>
    <w:p w:rsidR="00000000" w:rsidDel="00000000" w:rsidP="00000000" w:rsidRDefault="00000000" w:rsidRPr="00000000" w14:paraId="00000744">
      <w:pPr>
        <w:keepNext w:val="1"/>
        <w:pBdr>
          <w:top w:space="0" w:sz="0" w:val="nil"/>
          <w:left w:space="0" w:sz="0" w:val="nil"/>
          <w:bottom w:space="0" w:sz="0" w:val="nil"/>
          <w:right w:space="0" w:sz="0" w:val="nil"/>
          <w:between w:space="0" w:sz="0" w:val="nil"/>
        </w:pBdr>
        <w:spacing w:after="200" w:line="240" w:lineRule="auto"/>
        <w:rPr>
          <w:i w:val="1"/>
          <w:color w:val="44546a"/>
          <w:sz w:val="18"/>
          <w:szCs w:val="18"/>
        </w:rPr>
      </w:pPr>
      <w:r w:rsidDel="00000000" w:rsidR="00000000" w:rsidRPr="00000000">
        <w:rPr>
          <w:i w:val="1"/>
          <w:color w:val="44546a"/>
          <w:sz w:val="18"/>
          <w:szCs w:val="18"/>
        </w:rPr>
        <w:drawing>
          <wp:inline distB="114300" distT="114300" distL="114300" distR="114300">
            <wp:extent cx="5296218" cy="3536648"/>
            <wp:effectExtent b="0" l="0" r="0" t="0"/>
            <wp:docPr id="181" name="image59.png"/>
            <a:graphic>
              <a:graphicData uri="http://schemas.openxmlformats.org/drawingml/2006/picture">
                <pic:pic>
                  <pic:nvPicPr>
                    <pic:cNvPr id="0" name="image59.png"/>
                    <pic:cNvPicPr preferRelativeResize="0"/>
                  </pic:nvPicPr>
                  <pic:blipFill>
                    <a:blip r:embed="rId136"/>
                    <a:srcRect b="0" l="0" r="0" t="0"/>
                    <a:stretch>
                      <a:fillRect/>
                    </a:stretch>
                  </pic:blipFill>
                  <pic:spPr>
                    <a:xfrm>
                      <a:off x="0" y="0"/>
                      <a:ext cx="5296218" cy="3536648"/>
                    </a:xfrm>
                    <a:prstGeom prst="rect"/>
                    <a:ln/>
                  </pic:spPr>
                </pic:pic>
              </a:graphicData>
            </a:graphic>
          </wp:inline>
        </w:drawing>
      </w:r>
      <w:r w:rsidDel="00000000" w:rsidR="00000000" w:rsidRPr="00000000">
        <w:rPr>
          <w:rtl w:val="0"/>
        </w:rPr>
      </w:r>
    </w:p>
    <w:p w:rsidR="00000000" w:rsidDel="00000000" w:rsidP="00000000" w:rsidRDefault="00000000" w:rsidRPr="00000000" w14:paraId="00000745">
      <w:pPr>
        <w:pBdr>
          <w:top w:space="0" w:sz="0" w:val="nil"/>
          <w:left w:space="0" w:sz="0" w:val="nil"/>
          <w:bottom w:space="0" w:sz="0" w:val="nil"/>
          <w:right w:space="0" w:sz="0" w:val="nil"/>
          <w:between w:space="0" w:sz="0" w:val="nil"/>
        </w:pBdr>
        <w:spacing w:after="200" w:line="240" w:lineRule="auto"/>
        <w:rPr/>
      </w:pPr>
      <w:r w:rsidDel="00000000" w:rsidR="00000000" w:rsidRPr="00000000">
        <w:rPr>
          <w:b w:val="1"/>
          <w:i w:val="1"/>
          <w:sz w:val="18"/>
          <w:szCs w:val="18"/>
          <w:rtl w:val="0"/>
        </w:rPr>
        <w:t xml:space="preserve">Supplementary Figure 2.11, CNE ancestry in a subset of early medieval English individuals.</w:t>
      </w:r>
      <w:r w:rsidDel="00000000" w:rsidR="00000000" w:rsidRPr="00000000">
        <w:rPr>
          <w:i w:val="1"/>
          <w:sz w:val="18"/>
          <w:szCs w:val="18"/>
          <w:rtl w:val="0"/>
        </w:rPr>
        <w:t xml:space="preserve"> Data are presented as mean supervised ADMIXTURE estimates (autosomes and X chromosome, n = 195) or maximum likelihood (Y chromosome, n = 89) estimates. Error bars represent ± 2 standard errors of the mean.</w:t>
      </w:r>
      <w:r w:rsidDel="00000000" w:rsidR="00000000" w:rsidRPr="00000000">
        <w:rPr>
          <w:rtl w:val="0"/>
        </w:rPr>
      </w:r>
    </w:p>
    <w:p w:rsidR="00000000" w:rsidDel="00000000" w:rsidP="00000000" w:rsidRDefault="00000000" w:rsidRPr="00000000" w14:paraId="00000746">
      <w:pPr>
        <w:pStyle w:val="Heading3"/>
        <w:rPr>
          <w:color w:val="000000"/>
        </w:rPr>
      </w:pPr>
      <w:bookmarkStart w:colFirst="0" w:colLast="0" w:name="_heading=h.sqyw64" w:id="60"/>
      <w:bookmarkEnd w:id="60"/>
      <w:r w:rsidDel="00000000" w:rsidR="00000000" w:rsidRPr="00000000">
        <w:rPr>
          <w:color w:val="000000"/>
          <w:rtl w:val="0"/>
        </w:rPr>
        <w:t xml:space="preserve">Estimating sex-biased ancestry from uniparental markers in the presence of variable admixture proportions</w:t>
      </w:r>
    </w:p>
    <w:p w:rsidR="00000000" w:rsidDel="00000000" w:rsidP="00000000" w:rsidRDefault="00000000" w:rsidRPr="00000000" w14:paraId="00000747">
      <w:pPr>
        <w:pBdr>
          <w:top w:space="0" w:sz="0" w:val="nil"/>
          <w:left w:space="0" w:sz="0" w:val="nil"/>
          <w:bottom w:space="0" w:sz="0" w:val="nil"/>
          <w:right w:space="0" w:sz="0" w:val="nil"/>
          <w:between w:space="0" w:sz="0" w:val="nil"/>
        </w:pBdr>
        <w:spacing w:after="180" w:before="180" w:line="240" w:lineRule="auto"/>
        <w:rPr>
          <w:color w:val="000000"/>
        </w:rPr>
      </w:pPr>
      <w:r w:rsidDel="00000000" w:rsidR="00000000" w:rsidRPr="00000000">
        <w:rPr>
          <w:color w:val="000000"/>
          <w:rtl w:val="0"/>
        </w:rPr>
        <w:t xml:space="preserve">We used a third appro</w:t>
      </w:r>
      <w:r w:rsidDel="00000000" w:rsidR="00000000" w:rsidRPr="00000000">
        <w:rPr>
          <w:rtl w:val="0"/>
        </w:rPr>
        <w:t xml:space="preserve">ach </w:t>
      </w:r>
      <w:r w:rsidDel="00000000" w:rsidR="00000000" w:rsidRPr="00000000">
        <w:rPr>
          <w:color w:val="000000"/>
          <w:rtl w:val="0"/>
        </w:rPr>
        <w:t xml:space="preserve">to quantify potential sex bias in admixture using uni-parental markers (Y</w:t>
      </w:r>
      <w:r w:rsidDel="00000000" w:rsidR="00000000" w:rsidRPr="00000000">
        <w:rPr>
          <w:rtl w:val="0"/>
        </w:rPr>
        <w:t xml:space="preserve">-</w:t>
      </w:r>
      <w:r w:rsidDel="00000000" w:rsidR="00000000" w:rsidRPr="00000000">
        <w:rPr>
          <w:color w:val="000000"/>
          <w:rtl w:val="0"/>
        </w:rPr>
        <w:t xml:space="preserve">chromosome- and mitochondrial haplotypes). Specifically, we consider admixed early-medieval individuals from England, for which we have estimated CNE-WBI admixture proportions. We would like to use the observed uniparental markers in these individuals, and the frequency of these haplogroups in the putative source populations, to compare the likelihood of drawing a male (or female) CNE haplogroup with the autosomal admixture proportion. In the following, we denote WBI as source 1, and CNE as source 2.</w:t>
      </w:r>
    </w:p>
    <w:p w:rsidR="00000000" w:rsidDel="00000000" w:rsidP="00000000" w:rsidRDefault="00000000" w:rsidRPr="00000000" w14:paraId="00000748">
      <w:pPr>
        <w:pBdr>
          <w:top w:space="0" w:sz="0" w:val="nil"/>
          <w:left w:space="0" w:sz="0" w:val="nil"/>
          <w:bottom w:space="0" w:sz="0" w:val="nil"/>
          <w:right w:space="0" w:sz="0" w:val="nil"/>
          <w:between w:space="0" w:sz="0" w:val="nil"/>
        </w:pBdr>
        <w:spacing w:after="180" w:before="180" w:line="240" w:lineRule="auto"/>
        <w:rPr>
          <w:color w:val="000000"/>
        </w:rPr>
      </w:pPr>
      <w:r w:rsidDel="00000000" w:rsidR="00000000" w:rsidRPr="00000000">
        <w:rPr>
          <w:color w:val="000000"/>
          <w:rtl w:val="0"/>
        </w:rPr>
        <w:t xml:space="preserve">We first will derive a simple calculation of the likelihood for whether a given haplotype was inherited from one group or another group, based on the sample counts of that haplogroup in the given source population. We first assume that we know precisely the population haplogroup frequencies in both sources, denoted by </w:t>
      </w:r>
      <m:oMath>
        <m:sSub>
          <m:sSubPr>
            <m:ctrlPr>
              <w:rPr>
                <w:rFonts w:ascii="Cambria Math" w:cs="Cambria Math" w:eastAsia="Cambria Math" w:hAnsi="Cambria Math"/>
                <w:color w:val="000000"/>
              </w:rPr>
            </m:ctrlPr>
          </m:sSubPr>
          <m:e>
            <m:r>
              <w:rPr>
                <w:rFonts w:ascii="Cambria Math" w:cs="Cambria Math" w:eastAsia="Cambria Math" w:hAnsi="Cambria Math"/>
                <w:color w:val="000000"/>
              </w:rPr>
              <m:t xml:space="preserve">x</m:t>
            </m:r>
          </m:e>
          <m:sub>
            <m:r>
              <w:rPr>
                <w:rFonts w:ascii="Cambria Math" w:cs="Cambria Math" w:eastAsia="Cambria Math" w:hAnsi="Cambria Math"/>
                <w:color w:val="000000"/>
              </w:rPr>
              <m:t xml:space="preserve">ij</m:t>
            </m:r>
          </m:sub>
        </m:sSub>
      </m:oMath>
      <w:r w:rsidDel="00000000" w:rsidR="00000000" w:rsidRPr="00000000">
        <w:rPr>
          <w:color w:val="000000"/>
          <w:rtl w:val="0"/>
        </w:rPr>
        <w:t xml:space="preserve"> for haplogroup </w:t>
      </w:r>
      <m:oMath>
        <m:r>
          <w:rPr>
            <w:rFonts w:ascii="Cambria Math" w:cs="Cambria Math" w:eastAsia="Cambria Math" w:hAnsi="Cambria Math"/>
            <w:color w:val="000000"/>
          </w:rPr>
          <m:t xml:space="preserve">i=1…H</m:t>
        </m:r>
      </m:oMath>
      <w:r w:rsidDel="00000000" w:rsidR="00000000" w:rsidRPr="00000000">
        <w:rPr>
          <w:color w:val="000000"/>
          <w:rtl w:val="0"/>
        </w:rPr>
        <w:t xml:space="preserve"> in source </w:t>
      </w:r>
      <m:oMath>
        <m:r>
          <w:rPr>
            <w:rFonts w:ascii="Cambria Math" w:cs="Cambria Math" w:eastAsia="Cambria Math" w:hAnsi="Cambria Math"/>
            <w:color w:val="000000"/>
          </w:rPr>
          <m:t xml:space="preserve">j=1,2</m:t>
        </m:r>
      </m:oMath>
      <w:r w:rsidDel="00000000" w:rsidR="00000000" w:rsidRPr="00000000">
        <w:rPr>
          <w:color w:val="000000"/>
          <w:rtl w:val="0"/>
        </w:rPr>
        <w:t xml:space="preserve"> (we use </w:t>
      </w:r>
      <m:oMath>
        <m:r>
          <w:rPr>
            <w:rFonts w:ascii="Cambria Math" w:cs="Cambria Math" w:eastAsia="Cambria Math" w:hAnsi="Cambria Math"/>
            <w:color w:val="000000"/>
          </w:rPr>
          <m:t xml:space="preserve">x</m:t>
        </m:r>
      </m:oMath>
      <w:r w:rsidDel="00000000" w:rsidR="00000000" w:rsidRPr="00000000">
        <w:rPr>
          <w:color w:val="000000"/>
          <w:rtl w:val="0"/>
        </w:rPr>
        <w:t xml:space="preserve"> to denote the set of </w:t>
      </w:r>
      <m:oMath>
        <m:r>
          <w:rPr>
            <w:rFonts w:ascii="Cambria Math" w:cs="Cambria Math" w:eastAsia="Cambria Math" w:hAnsi="Cambria Math"/>
            <w:color w:val="000000"/>
          </w:rPr>
          <m:t xml:space="preserve">{</m:t>
        </m:r>
        <m:sSub>
          <m:sSubPr>
            <m:ctrlPr>
              <w:rPr>
                <w:rFonts w:ascii="Cambria Math" w:cs="Cambria Math" w:eastAsia="Cambria Math" w:hAnsi="Cambria Math"/>
                <w:color w:val="000000"/>
              </w:rPr>
            </m:ctrlPr>
          </m:sSubPr>
          <m:e>
            <m:r>
              <w:rPr>
                <w:rFonts w:ascii="Cambria Math" w:cs="Cambria Math" w:eastAsia="Cambria Math" w:hAnsi="Cambria Math"/>
                <w:color w:val="000000"/>
              </w:rPr>
              <m:t xml:space="preserve">x</m:t>
            </m:r>
          </m:e>
          <m:sub>
            <m:r>
              <w:rPr>
                <w:rFonts w:ascii="Cambria Math" w:cs="Cambria Math" w:eastAsia="Cambria Math" w:hAnsi="Cambria Math"/>
                <w:color w:val="000000"/>
              </w:rPr>
              <m:t xml:space="preserve">ij</m:t>
            </m:r>
          </m:sub>
        </m:sSub>
        <m:r>
          <w:rPr>
            <w:rFonts w:ascii="Cambria Math" w:cs="Cambria Math" w:eastAsia="Cambria Math" w:hAnsi="Cambria Math"/>
            <w:color w:val="000000"/>
          </w:rPr>
          <m:t xml:space="preserve">}</m:t>
        </m:r>
      </m:oMath>
      <w:r w:rsidDel="00000000" w:rsidR="00000000" w:rsidRPr="00000000">
        <w:rPr>
          <w:color w:val="000000"/>
          <w:rtl w:val="0"/>
        </w:rPr>
        <w:t xml:space="preserve">). The likelihood for an individual to carry haplogroup </w:t>
      </w:r>
      <m:oMath>
        <m:r>
          <w:rPr>
            <w:rFonts w:ascii="Cambria Math" w:cs="Cambria Math" w:eastAsia="Cambria Math" w:hAnsi="Cambria Math"/>
            <w:color w:val="000000"/>
          </w:rPr>
          <m:t xml:space="preserve">H=i</m:t>
        </m:r>
      </m:oMath>
      <w:r w:rsidDel="00000000" w:rsidR="00000000" w:rsidRPr="00000000">
        <w:rPr>
          <w:color w:val="000000"/>
          <w:rtl w:val="0"/>
        </w:rPr>
        <w:t xml:space="preserve"> contributed from source </w:t>
      </w:r>
      <m:oMath>
        <m:r>
          <w:rPr>
            <w:rFonts w:ascii="Cambria Math" w:cs="Cambria Math" w:eastAsia="Cambria Math" w:hAnsi="Cambria Math"/>
            <w:color w:val="000000"/>
          </w:rPr>
          <m:t xml:space="preserve">S=j</m:t>
        </m:r>
      </m:oMath>
      <w:r w:rsidDel="00000000" w:rsidR="00000000" w:rsidRPr="00000000">
        <w:rPr>
          <w:color w:val="000000"/>
          <w:rtl w:val="0"/>
        </w:rPr>
        <w:t xml:space="preserve"> </w:t>
      </w:r>
      <w:r w:rsidDel="00000000" w:rsidR="00000000" w:rsidRPr="00000000">
        <w:rPr>
          <w:rtl w:val="0"/>
        </w:rPr>
        <w:t xml:space="preserve">would</w:t>
      </w:r>
      <w:r w:rsidDel="00000000" w:rsidR="00000000" w:rsidRPr="00000000">
        <w:rPr>
          <w:color w:val="000000"/>
          <w:rtl w:val="0"/>
        </w:rPr>
        <w:t xml:space="preserve"> then simply be</w:t>
      </w:r>
    </w:p>
    <w:p w:rsidR="00000000" w:rsidDel="00000000" w:rsidP="00000000" w:rsidRDefault="00000000" w:rsidRPr="00000000" w14:paraId="00000749">
      <w:pPr>
        <w:jc w:val="center"/>
        <w:rPr>
          <w:color w:val="000000"/>
          <w:sz w:val="24"/>
          <w:szCs w:val="24"/>
        </w:rPr>
      </w:pPr>
      <m:oMath>
        <m:r>
          <w:rPr>
            <w:rFonts w:ascii="Cambria Math" w:cs="Cambria Math" w:eastAsia="Cambria Math" w:hAnsi="Cambria Math"/>
            <w:color w:val="000000"/>
            <w:sz w:val="24"/>
            <w:szCs w:val="24"/>
          </w:rPr>
          <m:t xml:space="preserve">L</m:t>
        </m:r>
        <m:d>
          <m:dPr>
            <m:begChr m:val="("/>
            <m:endChr m:val=")"/>
            <m:ctrlPr>
              <w:rPr>
                <w:rFonts w:ascii="Cambria Math" w:cs="Cambria Math" w:eastAsia="Cambria Math" w:hAnsi="Cambria Math"/>
                <w:color w:val="000000"/>
                <w:sz w:val="24"/>
                <w:szCs w:val="24"/>
              </w:rPr>
            </m:ctrlPr>
          </m:dPr>
          <m:e>
            <m:r>
              <w:rPr>
                <w:rFonts w:ascii="Cambria Math" w:cs="Cambria Math" w:eastAsia="Cambria Math" w:hAnsi="Cambria Math"/>
                <w:color w:val="000000"/>
                <w:sz w:val="24"/>
                <w:szCs w:val="24"/>
              </w:rPr>
              <m:t xml:space="preserve">H=i,S=j|x</m:t>
            </m:r>
          </m:e>
        </m:d>
        <m:r>
          <w:rPr>
            <w:rFonts w:ascii="Cambria Math" w:cs="Cambria Math" w:eastAsia="Cambria Math" w:hAnsi="Cambria Math"/>
            <w:color w:val="000000"/>
            <w:sz w:val="24"/>
            <w:szCs w:val="24"/>
          </w:rPr>
          <m:t xml:space="preserve">=</m:t>
        </m:r>
        <m:sSub>
          <m:sSubPr>
            <m:ctrlPr>
              <w:rPr>
                <w:rFonts w:ascii="Cambria Math" w:cs="Cambria Math" w:eastAsia="Cambria Math" w:hAnsi="Cambria Math"/>
                <w:color w:val="000000"/>
                <w:sz w:val="24"/>
                <w:szCs w:val="24"/>
              </w:rPr>
            </m:ctrlPr>
          </m:sSubPr>
          <m:e>
            <m:r>
              <w:rPr>
                <w:rFonts w:ascii="Cambria Math" w:cs="Cambria Math" w:eastAsia="Cambria Math" w:hAnsi="Cambria Math"/>
                <w:color w:val="000000"/>
                <w:sz w:val="24"/>
                <w:szCs w:val="24"/>
              </w:rPr>
              <m:t xml:space="preserve">x</m:t>
            </m:r>
          </m:e>
          <m:sub>
            <m:r>
              <w:rPr>
                <w:rFonts w:ascii="Cambria Math" w:cs="Cambria Math" w:eastAsia="Cambria Math" w:hAnsi="Cambria Math"/>
                <w:color w:val="000000"/>
                <w:sz w:val="24"/>
                <w:szCs w:val="24"/>
              </w:rPr>
              <m:t xml:space="preserve">ij</m:t>
            </m:r>
          </m:sub>
        </m:sSub>
      </m:oMath>
      <w:r w:rsidDel="00000000" w:rsidR="00000000" w:rsidRPr="00000000">
        <w:rPr>
          <w:color w:val="000000"/>
          <w:sz w:val="24"/>
          <w:szCs w:val="24"/>
          <w:rtl w:val="0"/>
        </w:rPr>
        <w:t xml:space="preserve">.</w:t>
      </w:r>
    </w:p>
    <w:p w:rsidR="00000000" w:rsidDel="00000000" w:rsidP="00000000" w:rsidRDefault="00000000" w:rsidRPr="00000000" w14:paraId="0000074A">
      <w:pPr>
        <w:pBdr>
          <w:top w:space="0" w:sz="0" w:val="nil"/>
          <w:left w:space="0" w:sz="0" w:val="nil"/>
          <w:bottom w:space="0" w:sz="0" w:val="nil"/>
          <w:right w:space="0" w:sz="0" w:val="nil"/>
          <w:between w:space="0" w:sz="0" w:val="nil"/>
        </w:pBdr>
        <w:spacing w:after="180" w:before="180" w:line="240" w:lineRule="auto"/>
        <w:rPr>
          <w:color w:val="000000"/>
          <w:sz w:val="24"/>
          <w:szCs w:val="24"/>
        </w:rPr>
      </w:pPr>
      <w:r w:rsidDel="00000000" w:rsidR="00000000" w:rsidRPr="00000000">
        <w:rPr>
          <w:color w:val="000000"/>
          <w:rtl w:val="0"/>
        </w:rPr>
        <w:t xml:space="preserve">But the true population haplogroup frequencies are not known. Rather, we have a finite number of individuals in both sources. Specifically, we use </w:t>
      </w:r>
      <m:oMath>
        <m:sSub>
          <m:sSubPr>
            <m:ctrlPr>
              <w:rPr>
                <w:rFonts w:ascii="Cambria Math" w:cs="Cambria Math" w:eastAsia="Cambria Math" w:hAnsi="Cambria Math"/>
                <w:color w:val="000000"/>
              </w:rPr>
            </m:ctrlPr>
          </m:sSubPr>
          <m:e>
            <m:r>
              <w:rPr>
                <w:rFonts w:ascii="Cambria Math" w:cs="Cambria Math" w:eastAsia="Cambria Math" w:hAnsi="Cambria Math"/>
                <w:color w:val="000000"/>
              </w:rPr>
              <m:t xml:space="preserve">N</m:t>
            </m:r>
          </m:e>
          <m:sub>
            <m:r>
              <w:rPr>
                <w:rFonts w:ascii="Cambria Math" w:cs="Cambria Math" w:eastAsia="Cambria Math" w:hAnsi="Cambria Math"/>
                <w:color w:val="000000"/>
              </w:rPr>
              <m:t xml:space="preserve">ij</m:t>
            </m:r>
          </m:sub>
        </m:sSub>
      </m:oMath>
      <w:r w:rsidDel="00000000" w:rsidR="00000000" w:rsidRPr="00000000">
        <w:rPr>
          <w:color w:val="000000"/>
          <w:rtl w:val="0"/>
        </w:rPr>
        <w:t xml:space="preserve"> to denote the number of individuals with haplogroup </w:t>
      </w:r>
      <m:oMath>
        <m:r>
          <w:rPr>
            <w:rFonts w:ascii="Cambria Math" w:cs="Cambria Math" w:eastAsia="Cambria Math" w:hAnsi="Cambria Math"/>
            <w:color w:val="000000"/>
          </w:rPr>
          <m:t xml:space="preserve">i</m:t>
        </m:r>
      </m:oMath>
      <w:r w:rsidDel="00000000" w:rsidR="00000000" w:rsidRPr="00000000">
        <w:rPr>
          <w:color w:val="000000"/>
          <w:rtl w:val="0"/>
        </w:rPr>
        <w:t xml:space="preserve"> in source </w:t>
      </w:r>
      <m:oMath>
        <m:r>
          <w:rPr>
            <w:rFonts w:ascii="Cambria Math" w:cs="Cambria Math" w:eastAsia="Cambria Math" w:hAnsi="Cambria Math"/>
            <w:color w:val="000000"/>
          </w:rPr>
          <m:t xml:space="preserve">j</m:t>
        </m:r>
      </m:oMath>
      <w:r w:rsidDel="00000000" w:rsidR="00000000" w:rsidRPr="00000000">
        <w:rPr>
          <w:color w:val="000000"/>
          <w:rtl w:val="0"/>
        </w:rPr>
        <w:t xml:space="preserve"> (and </w:t>
      </w:r>
      <m:oMath>
        <m:r>
          <w:rPr>
            <w:rFonts w:ascii="Cambria Math" w:cs="Cambria Math" w:eastAsia="Cambria Math" w:hAnsi="Cambria Math"/>
            <w:color w:val="000000"/>
          </w:rPr>
          <m:t xml:space="preserve">N</m:t>
        </m:r>
      </m:oMath>
      <w:r w:rsidDel="00000000" w:rsidR="00000000" w:rsidRPr="00000000">
        <w:rPr>
          <w:color w:val="000000"/>
          <w:rtl w:val="0"/>
        </w:rPr>
        <w:t xml:space="preserve"> to denote the entire matrix). The unobserved population frequency is now a latent variable following a conditional distribution, </w:t>
      </w:r>
      <m:oMath>
        <m:r>
          <w:rPr>
            <w:rFonts w:ascii="Cambria Math" w:cs="Cambria Math" w:eastAsia="Cambria Math" w:hAnsi="Cambria Math"/>
            <w:color w:val="000000"/>
          </w:rPr>
          <m:t xml:space="preserve">p</m:t>
        </m:r>
        <m:d>
          <m:dPr>
            <m:begChr m:val="("/>
            <m:endChr m:val=")"/>
            <m:ctrlPr>
              <w:rPr>
                <w:rFonts w:ascii="Cambria Math" w:cs="Cambria Math" w:eastAsia="Cambria Math" w:hAnsi="Cambria Math"/>
                <w:color w:val="000000"/>
              </w:rPr>
            </m:ctrlPr>
          </m:dPr>
          <m:e>
            <m:r>
              <w:rPr>
                <w:rFonts w:ascii="Cambria Math" w:cs="Cambria Math" w:eastAsia="Cambria Math" w:hAnsi="Cambria Math"/>
                <w:color w:val="000000"/>
              </w:rPr>
              <m:t xml:space="preserve">x|N</m:t>
            </m:r>
          </m:e>
        </m:d>
      </m:oMath>
      <w:r w:rsidDel="00000000" w:rsidR="00000000" w:rsidRPr="00000000">
        <w:rPr>
          <w:color w:val="000000"/>
          <w:rtl w:val="0"/>
        </w:rPr>
        <w:t xml:space="preserve">, which - following standard Bayesian </w:t>
      </w:r>
      <w:r w:rsidDel="00000000" w:rsidR="00000000" w:rsidRPr="00000000">
        <w:rPr>
          <w:rtl w:val="0"/>
        </w:rPr>
        <w:t xml:space="preserve">computation</w:t>
      </w:r>
      <w:r w:rsidDel="00000000" w:rsidR="00000000" w:rsidRPr="00000000">
        <w:rPr>
          <w:color w:val="000000"/>
          <w:rtl w:val="0"/>
        </w:rPr>
        <w:t xml:space="preserve"> - takes the form of a</w:t>
      </w:r>
      <w:r w:rsidDel="00000000" w:rsidR="00000000" w:rsidRPr="00000000">
        <w:rPr>
          <w:color w:val="000000"/>
          <w:sz w:val="24"/>
          <w:szCs w:val="24"/>
          <w:rtl w:val="0"/>
        </w:rPr>
        <w:t xml:space="preserve"> </w:t>
      </w:r>
      <w:r w:rsidDel="00000000" w:rsidR="00000000" w:rsidRPr="00000000">
        <w:rPr>
          <w:color w:val="000000"/>
          <w:rtl w:val="0"/>
        </w:rPr>
        <w:t xml:space="preserve">beta distribution with parameters</w:t>
      </w:r>
      <w:r w:rsidDel="00000000" w:rsidR="00000000" w:rsidRPr="00000000">
        <w:rPr>
          <w:color w:val="000000"/>
          <w:sz w:val="24"/>
          <w:szCs w:val="24"/>
          <w:rtl w:val="0"/>
        </w:rPr>
        <w:t xml:space="preserve"> </w:t>
      </w:r>
      <m:oMath>
        <m:r>
          <w:rPr>
            <w:rFonts w:ascii="Cambria Math" w:cs="Cambria Math" w:eastAsia="Cambria Math" w:hAnsi="Cambria Math"/>
            <w:color w:val="000000"/>
            <w:sz w:val="24"/>
            <w:szCs w:val="24"/>
          </w:rPr>
          <m:t xml:space="preserve">1+</m:t>
        </m:r>
        <m:sSub>
          <m:sSubPr>
            <m:ctrlPr>
              <w:rPr>
                <w:rFonts w:ascii="Cambria Math" w:cs="Cambria Math" w:eastAsia="Cambria Math" w:hAnsi="Cambria Math"/>
                <w:color w:val="000000"/>
                <w:sz w:val="24"/>
                <w:szCs w:val="24"/>
              </w:rPr>
            </m:ctrlPr>
          </m:sSubPr>
          <m:e>
            <m:r>
              <w:rPr>
                <w:rFonts w:ascii="Cambria Math" w:cs="Cambria Math" w:eastAsia="Cambria Math" w:hAnsi="Cambria Math"/>
                <w:color w:val="000000"/>
                <w:sz w:val="24"/>
                <w:szCs w:val="24"/>
              </w:rPr>
              <m:t xml:space="preserve">N</m:t>
            </m:r>
          </m:e>
          <m:sub>
            <m:r>
              <w:rPr>
                <w:rFonts w:ascii="Cambria Math" w:cs="Cambria Math" w:eastAsia="Cambria Math" w:hAnsi="Cambria Math"/>
                <w:color w:val="000000"/>
                <w:sz w:val="24"/>
                <w:szCs w:val="24"/>
              </w:rPr>
              <m:t xml:space="preserve">ij</m:t>
            </m:r>
          </m:sub>
        </m:sSub>
      </m:oMath>
      <w:r w:rsidDel="00000000" w:rsidR="00000000" w:rsidRPr="00000000">
        <w:rPr>
          <w:color w:val="000000"/>
          <w:sz w:val="24"/>
          <w:szCs w:val="24"/>
          <w:rtl w:val="0"/>
        </w:rPr>
        <w:t xml:space="preserve"> </w:t>
      </w:r>
      <w:r w:rsidDel="00000000" w:rsidR="00000000" w:rsidRPr="00000000">
        <w:rPr>
          <w:color w:val="000000"/>
          <w:rtl w:val="0"/>
        </w:rPr>
        <w:t xml:space="preserve">and </w:t>
      </w:r>
      <m:oMath>
        <m:r>
          <w:rPr>
            <w:rFonts w:ascii="Cambria Math" w:cs="Cambria Math" w:eastAsia="Cambria Math" w:hAnsi="Cambria Math"/>
            <w:color w:val="000000"/>
            <w:sz w:val="24"/>
            <w:szCs w:val="24"/>
          </w:rPr>
          <m:t xml:space="preserve">1+</m:t>
        </m:r>
        <m:sSub>
          <m:sSubPr>
            <m:ctrlPr>
              <w:rPr>
                <w:rFonts w:ascii="Cambria Math" w:cs="Cambria Math" w:eastAsia="Cambria Math" w:hAnsi="Cambria Math"/>
                <w:color w:val="000000"/>
                <w:sz w:val="24"/>
                <w:szCs w:val="24"/>
              </w:rPr>
            </m:ctrlPr>
          </m:sSubPr>
          <m:e>
            <m:r>
              <w:rPr>
                <w:rFonts w:ascii="Cambria Math" w:cs="Cambria Math" w:eastAsia="Cambria Math" w:hAnsi="Cambria Math"/>
                <w:color w:val="000000"/>
                <w:sz w:val="24"/>
                <w:szCs w:val="24"/>
              </w:rPr>
              <m:t xml:space="preserve">N</m:t>
            </m:r>
          </m:e>
          <m:sub>
            <m:r>
              <w:rPr>
                <w:rFonts w:ascii="Cambria Math" w:cs="Cambria Math" w:eastAsia="Cambria Math" w:hAnsi="Cambria Math"/>
                <w:color w:val="000000"/>
                <w:sz w:val="24"/>
                <w:szCs w:val="24"/>
              </w:rPr>
              <m:t xml:space="preserve">.j</m:t>
            </m:r>
          </m:sub>
        </m:sSub>
        <m:r>
          <w:rPr>
            <w:rFonts w:ascii="Cambria Math" w:cs="Cambria Math" w:eastAsia="Cambria Math" w:hAnsi="Cambria Math"/>
            <w:color w:val="000000"/>
            <w:sz w:val="24"/>
            <w:szCs w:val="24"/>
          </w:rPr>
          <m:t xml:space="preserve">-</m:t>
        </m:r>
        <m:sSub>
          <m:sSubPr>
            <m:ctrlPr>
              <w:rPr>
                <w:rFonts w:ascii="Cambria Math" w:cs="Cambria Math" w:eastAsia="Cambria Math" w:hAnsi="Cambria Math"/>
                <w:color w:val="000000"/>
                <w:sz w:val="24"/>
                <w:szCs w:val="24"/>
              </w:rPr>
            </m:ctrlPr>
          </m:sSubPr>
          <m:e>
            <m:r>
              <w:rPr>
                <w:rFonts w:ascii="Cambria Math" w:cs="Cambria Math" w:eastAsia="Cambria Math" w:hAnsi="Cambria Math"/>
                <w:color w:val="000000"/>
                <w:sz w:val="24"/>
                <w:szCs w:val="24"/>
              </w:rPr>
              <m:t xml:space="preserve">N</m:t>
            </m:r>
          </m:e>
          <m:sub>
            <m:r>
              <w:rPr>
                <w:rFonts w:ascii="Cambria Math" w:cs="Cambria Math" w:eastAsia="Cambria Math" w:hAnsi="Cambria Math"/>
                <w:color w:val="000000"/>
                <w:sz w:val="24"/>
                <w:szCs w:val="24"/>
              </w:rPr>
              <m:t xml:space="preserve">ij</m:t>
            </m:r>
          </m:sub>
        </m:sSub>
      </m:oMath>
      <w:r w:rsidDel="00000000" w:rsidR="00000000" w:rsidRPr="00000000">
        <w:rPr>
          <w:color w:val="000000"/>
          <w:sz w:val="24"/>
          <w:szCs w:val="24"/>
          <w:rtl w:val="0"/>
        </w:rPr>
        <w:t xml:space="preserve">, </w:t>
      </w:r>
      <w:r w:rsidDel="00000000" w:rsidR="00000000" w:rsidRPr="00000000">
        <w:rPr>
          <w:color w:val="000000"/>
          <w:rtl w:val="0"/>
        </w:rPr>
        <w:t xml:space="preserve">where </w:t>
      </w:r>
      <m:oMath>
        <m:sSub>
          <m:sSubPr>
            <m:ctrlPr>
              <w:rPr>
                <w:rFonts w:ascii="Cambria Math" w:cs="Cambria Math" w:eastAsia="Cambria Math" w:hAnsi="Cambria Math"/>
                <w:color w:val="000000"/>
                <w:sz w:val="24"/>
                <w:szCs w:val="24"/>
              </w:rPr>
            </m:ctrlPr>
          </m:sSubPr>
          <m:e>
            <m:r>
              <w:rPr>
                <w:rFonts w:ascii="Cambria Math" w:cs="Cambria Math" w:eastAsia="Cambria Math" w:hAnsi="Cambria Math"/>
                <w:color w:val="000000"/>
                <w:sz w:val="24"/>
                <w:szCs w:val="24"/>
              </w:rPr>
              <m:t xml:space="preserve">N</m:t>
            </m:r>
          </m:e>
          <m:sub>
            <m:r>
              <w:rPr>
                <w:rFonts w:ascii="Cambria Math" w:cs="Cambria Math" w:eastAsia="Cambria Math" w:hAnsi="Cambria Math"/>
                <w:color w:val="000000"/>
                <w:sz w:val="24"/>
                <w:szCs w:val="24"/>
              </w:rPr>
              <m:t xml:space="preserve">.j</m:t>
            </m:r>
          </m:sub>
        </m:sSub>
        <m:r>
          <w:rPr>
            <w:rFonts w:ascii="Cambria Math" w:cs="Cambria Math" w:eastAsia="Cambria Math" w:hAnsi="Cambria Math"/>
            <w:color w:val="000000"/>
            <w:sz w:val="24"/>
            <w:szCs w:val="24"/>
          </w:rPr>
          <m:t xml:space="preserve">=</m:t>
        </m:r>
        <m:nary>
          <m:naryPr>
            <m:chr m:val="∑"/>
            <m:ctrlPr>
              <w:rPr>
                <w:rFonts w:ascii="Cambria Math" w:cs="Cambria Math" w:eastAsia="Cambria Math" w:hAnsi="Cambria Math"/>
                <w:color w:val="000000"/>
                <w:sz w:val="24"/>
                <w:szCs w:val="24"/>
              </w:rPr>
            </m:ctrlPr>
          </m:naryPr>
          <m:sub>
            <m:r>
              <w:rPr>
                <w:rFonts w:ascii="Cambria Math" w:cs="Cambria Math" w:eastAsia="Cambria Math" w:hAnsi="Cambria Math"/>
                <w:color w:val="000000"/>
                <w:sz w:val="24"/>
                <w:szCs w:val="24"/>
              </w:rPr>
              <m:t xml:space="preserve">i</m:t>
            </m:r>
          </m:sub>
          <m:sup/>
        </m:nary>
        <m:sSub>
          <m:sSubPr>
            <m:ctrlPr>
              <w:rPr>
                <w:rFonts w:ascii="Cambria Math" w:cs="Cambria Math" w:eastAsia="Cambria Math" w:hAnsi="Cambria Math"/>
                <w:color w:val="000000"/>
                <w:sz w:val="24"/>
                <w:szCs w:val="24"/>
              </w:rPr>
            </m:ctrlPr>
          </m:sSubPr>
          <m:e>
            <m:r>
              <w:rPr>
                <w:rFonts w:ascii="Cambria Math" w:cs="Cambria Math" w:eastAsia="Cambria Math" w:hAnsi="Cambria Math"/>
                <w:color w:val="000000"/>
                <w:sz w:val="24"/>
                <w:szCs w:val="24"/>
              </w:rPr>
              <m:t xml:space="preserve">N</m:t>
            </m:r>
          </m:e>
          <m:sub>
            <m:r>
              <w:rPr>
                <w:rFonts w:ascii="Cambria Math" w:cs="Cambria Math" w:eastAsia="Cambria Math" w:hAnsi="Cambria Math"/>
                <w:color w:val="000000"/>
                <w:sz w:val="24"/>
                <w:szCs w:val="24"/>
              </w:rPr>
              <m:t xml:space="preserve">ij</m:t>
            </m:r>
          </m:sub>
        </m:sSub>
      </m:oMath>
      <w:r w:rsidDel="00000000" w:rsidR="00000000" w:rsidRPr="00000000">
        <w:rPr>
          <w:color w:val="000000"/>
          <w:sz w:val="24"/>
          <w:szCs w:val="24"/>
          <w:rtl w:val="0"/>
        </w:rPr>
        <w:t xml:space="preserve">:</w:t>
      </w:r>
    </w:p>
    <w:p w:rsidR="00000000" w:rsidDel="00000000" w:rsidP="00000000" w:rsidRDefault="00000000" w:rsidRPr="00000000" w14:paraId="0000074B">
      <w:pPr>
        <w:jc w:val="center"/>
        <w:rPr>
          <w:rFonts w:ascii="Cambria Math" w:cs="Cambria Math" w:eastAsia="Cambria Math" w:hAnsi="Cambria Math"/>
          <w:color w:val="000000"/>
          <w:sz w:val="24"/>
          <w:szCs w:val="24"/>
        </w:rPr>
      </w:pPr>
      <m:oMath>
        <m:r>
          <w:rPr>
            <w:rFonts w:ascii="Cambria Math" w:cs="Cambria Math" w:eastAsia="Cambria Math" w:hAnsi="Cambria Math"/>
            <w:color w:val="000000"/>
            <w:sz w:val="24"/>
            <w:szCs w:val="24"/>
          </w:rPr>
          <m:t xml:space="preserve">L</m:t>
        </m:r>
        <m:d>
          <m:dPr>
            <m:begChr m:val="("/>
            <m:endChr m:val=")"/>
            <m:ctrlPr>
              <w:rPr>
                <w:rFonts w:ascii="Cambria Math" w:cs="Cambria Math" w:eastAsia="Cambria Math" w:hAnsi="Cambria Math"/>
                <w:color w:val="000000"/>
                <w:sz w:val="24"/>
                <w:szCs w:val="24"/>
              </w:rPr>
            </m:ctrlPr>
          </m:dPr>
          <m:e>
            <m:r>
              <w:rPr>
                <w:rFonts w:ascii="Cambria Math" w:cs="Cambria Math" w:eastAsia="Cambria Math" w:hAnsi="Cambria Math"/>
                <w:color w:val="000000"/>
                <w:sz w:val="24"/>
                <w:szCs w:val="24"/>
              </w:rPr>
              <m:t xml:space="preserve">x|N</m:t>
            </m:r>
          </m:e>
        </m:d>
        <m:r>
          <w:rPr>
            <w:rFonts w:ascii="Cambria Math" w:cs="Cambria Math" w:eastAsia="Cambria Math" w:hAnsi="Cambria Math"/>
            <w:color w:val="000000"/>
            <w:sz w:val="24"/>
            <w:szCs w:val="24"/>
          </w:rPr>
          <m:t xml:space="preserve">=Beta</m:t>
        </m:r>
        <m:d>
          <m:dPr>
            <m:begChr m:val="("/>
            <m:endChr m:val=")"/>
            <m:ctrlPr>
              <w:rPr>
                <w:rFonts w:ascii="Cambria Math" w:cs="Cambria Math" w:eastAsia="Cambria Math" w:hAnsi="Cambria Math"/>
                <w:color w:val="000000"/>
                <w:sz w:val="24"/>
                <w:szCs w:val="24"/>
              </w:rPr>
            </m:ctrlPr>
          </m:dPr>
          <m:e>
            <m:r>
              <w:rPr>
                <w:rFonts w:ascii="Cambria Math" w:cs="Cambria Math" w:eastAsia="Cambria Math" w:hAnsi="Cambria Math"/>
                <w:color w:val="000000"/>
                <w:sz w:val="24"/>
                <w:szCs w:val="24"/>
              </w:rPr>
              <m:t xml:space="preserve">x|1+</m:t>
            </m:r>
            <m:sSub>
              <m:sSubPr>
                <m:ctrlPr>
                  <w:rPr>
                    <w:rFonts w:ascii="Cambria Math" w:cs="Cambria Math" w:eastAsia="Cambria Math" w:hAnsi="Cambria Math"/>
                    <w:color w:val="000000"/>
                    <w:sz w:val="24"/>
                    <w:szCs w:val="24"/>
                  </w:rPr>
                </m:ctrlPr>
              </m:sSubPr>
              <m:e>
                <m:r>
                  <w:rPr>
                    <w:rFonts w:ascii="Cambria Math" w:cs="Cambria Math" w:eastAsia="Cambria Math" w:hAnsi="Cambria Math"/>
                    <w:color w:val="000000"/>
                    <w:sz w:val="24"/>
                    <w:szCs w:val="24"/>
                  </w:rPr>
                  <m:t xml:space="preserve">N</m:t>
                </m:r>
              </m:e>
              <m:sub>
                <m:r>
                  <w:rPr>
                    <w:rFonts w:ascii="Cambria Math" w:cs="Cambria Math" w:eastAsia="Cambria Math" w:hAnsi="Cambria Math"/>
                    <w:color w:val="000000"/>
                    <w:sz w:val="24"/>
                    <w:szCs w:val="24"/>
                  </w:rPr>
                  <m:t xml:space="preserve">ij</m:t>
                </m:r>
              </m:sub>
            </m:sSub>
            <m:r>
              <w:rPr>
                <w:rFonts w:ascii="Cambria Math" w:cs="Cambria Math" w:eastAsia="Cambria Math" w:hAnsi="Cambria Math"/>
                <w:color w:val="000000"/>
                <w:sz w:val="24"/>
                <w:szCs w:val="24"/>
              </w:rPr>
              <m:t xml:space="preserve">,1+</m:t>
            </m:r>
            <m:sSub>
              <m:sSubPr>
                <m:ctrlPr>
                  <w:rPr>
                    <w:rFonts w:ascii="Cambria Math" w:cs="Cambria Math" w:eastAsia="Cambria Math" w:hAnsi="Cambria Math"/>
                    <w:color w:val="000000"/>
                    <w:sz w:val="24"/>
                    <w:szCs w:val="24"/>
                  </w:rPr>
                </m:ctrlPr>
              </m:sSubPr>
              <m:e>
                <m:r>
                  <w:rPr>
                    <w:rFonts w:ascii="Cambria Math" w:cs="Cambria Math" w:eastAsia="Cambria Math" w:hAnsi="Cambria Math"/>
                    <w:color w:val="000000"/>
                    <w:sz w:val="24"/>
                    <w:szCs w:val="24"/>
                  </w:rPr>
                  <m:t xml:space="preserve">N</m:t>
                </m:r>
              </m:e>
              <m:sub>
                <m:r>
                  <w:rPr>
                    <w:rFonts w:ascii="Cambria Math" w:cs="Cambria Math" w:eastAsia="Cambria Math" w:hAnsi="Cambria Math"/>
                    <w:color w:val="000000"/>
                    <w:sz w:val="24"/>
                    <w:szCs w:val="24"/>
                  </w:rPr>
                  <m:t xml:space="preserve">.j</m:t>
                </m:r>
              </m:sub>
            </m:sSub>
            <m:r>
              <w:rPr>
                <w:rFonts w:ascii="Cambria Math" w:cs="Cambria Math" w:eastAsia="Cambria Math" w:hAnsi="Cambria Math"/>
                <w:color w:val="000000"/>
                <w:sz w:val="24"/>
                <w:szCs w:val="24"/>
              </w:rPr>
              <m:t xml:space="preserve">-</m:t>
            </m:r>
            <m:sSub>
              <m:sSubPr>
                <m:ctrlPr>
                  <w:rPr>
                    <w:rFonts w:ascii="Cambria Math" w:cs="Cambria Math" w:eastAsia="Cambria Math" w:hAnsi="Cambria Math"/>
                    <w:color w:val="000000"/>
                    <w:sz w:val="24"/>
                    <w:szCs w:val="24"/>
                  </w:rPr>
                </m:ctrlPr>
              </m:sSubPr>
              <m:e>
                <m:r>
                  <w:rPr>
                    <w:rFonts w:ascii="Cambria Math" w:cs="Cambria Math" w:eastAsia="Cambria Math" w:hAnsi="Cambria Math"/>
                    <w:color w:val="000000"/>
                    <w:sz w:val="24"/>
                    <w:szCs w:val="24"/>
                  </w:rPr>
                  <m:t xml:space="preserve">N</m:t>
                </m:r>
              </m:e>
              <m:sub>
                <m:r>
                  <w:rPr>
                    <w:rFonts w:ascii="Cambria Math" w:cs="Cambria Math" w:eastAsia="Cambria Math" w:hAnsi="Cambria Math"/>
                    <w:color w:val="000000"/>
                    <w:sz w:val="24"/>
                    <w:szCs w:val="24"/>
                  </w:rPr>
                  <m:t xml:space="preserve">ij</m:t>
                </m:r>
              </m:sub>
            </m:sSub>
          </m:e>
        </m:d>
      </m:oMath>
      <w:r w:rsidDel="00000000" w:rsidR="00000000" w:rsidRPr="00000000">
        <w:rPr>
          <w:rtl w:val="0"/>
        </w:rPr>
      </w:r>
    </w:p>
    <w:p w:rsidR="00000000" w:rsidDel="00000000" w:rsidP="00000000" w:rsidRDefault="00000000" w:rsidRPr="00000000" w14:paraId="0000074C">
      <w:pPr>
        <w:pBdr>
          <w:top w:space="0" w:sz="0" w:val="nil"/>
          <w:left w:space="0" w:sz="0" w:val="nil"/>
          <w:bottom w:space="0" w:sz="0" w:val="nil"/>
          <w:right w:space="0" w:sz="0" w:val="nil"/>
          <w:between w:space="0" w:sz="0" w:val="nil"/>
        </w:pBdr>
        <w:spacing w:after="180" w:before="180" w:line="240" w:lineRule="auto"/>
        <w:rPr>
          <w:color w:val="000000"/>
        </w:rPr>
      </w:pPr>
      <w:r w:rsidDel="00000000" w:rsidR="00000000" w:rsidRPr="00000000">
        <w:rPr>
          <w:color w:val="000000"/>
          <w:rtl w:val="0"/>
        </w:rPr>
        <w:t xml:space="preserve">which means that the full likelihood is a beta-binomial distribution with sample size 1, which can be written using beta functions:</w:t>
      </w:r>
    </w:p>
    <w:p w:rsidR="00000000" w:rsidDel="00000000" w:rsidP="00000000" w:rsidRDefault="00000000" w:rsidRPr="00000000" w14:paraId="0000074D">
      <w:pPr>
        <w:jc w:val="center"/>
        <w:rPr>
          <w:rFonts w:ascii="Cambria Math" w:cs="Cambria Math" w:eastAsia="Cambria Math" w:hAnsi="Cambria Math"/>
          <w:color w:val="000000"/>
          <w:sz w:val="24"/>
          <w:szCs w:val="24"/>
        </w:rPr>
      </w:pPr>
      <m:oMath>
        <m:r>
          <w:rPr>
            <w:rFonts w:ascii="Cambria Math" w:cs="Cambria Math" w:eastAsia="Cambria Math" w:hAnsi="Cambria Math"/>
            <w:color w:val="000000"/>
            <w:sz w:val="24"/>
            <w:szCs w:val="24"/>
          </w:rPr>
          <m:t xml:space="preserve">L</m:t>
        </m:r>
        <m:d>
          <m:dPr>
            <m:begChr m:val="("/>
            <m:endChr m:val=")"/>
            <m:ctrlPr>
              <w:rPr>
                <w:rFonts w:ascii="Cambria Math" w:cs="Cambria Math" w:eastAsia="Cambria Math" w:hAnsi="Cambria Math"/>
                <w:color w:val="000000"/>
                <w:sz w:val="24"/>
                <w:szCs w:val="24"/>
              </w:rPr>
            </m:ctrlPr>
          </m:dPr>
          <m:e>
            <m:r>
              <w:rPr>
                <w:rFonts w:ascii="Cambria Math" w:cs="Cambria Math" w:eastAsia="Cambria Math" w:hAnsi="Cambria Math"/>
                <w:color w:val="000000"/>
                <w:sz w:val="24"/>
                <w:szCs w:val="24"/>
              </w:rPr>
              <m:t xml:space="preserve">H=i,S=j|N</m:t>
            </m:r>
          </m:e>
        </m:d>
        <m:r>
          <w:rPr>
            <w:rFonts w:ascii="Cambria Math" w:cs="Cambria Math" w:eastAsia="Cambria Math" w:hAnsi="Cambria Math"/>
            <w:color w:val="000000"/>
            <w:sz w:val="24"/>
            <w:szCs w:val="24"/>
          </w:rPr>
          <m:t xml:space="preserve">=</m:t>
        </m:r>
        <m:nary>
          <m:naryPr>
            <m:chr m:val="∫"/>
            <m:ctrlPr>
              <w:rPr>
                <w:rFonts w:ascii="Cambria Math" w:cs="Cambria Math" w:eastAsia="Cambria Math" w:hAnsi="Cambria Math"/>
                <w:color w:val="000000"/>
                <w:sz w:val="24"/>
                <w:szCs w:val="24"/>
              </w:rPr>
            </m:ctrlPr>
          </m:naryPr>
          <m:sub>
            <m:r>
              <w:rPr>
                <w:rFonts w:ascii="Cambria Math" w:cs="Cambria Math" w:eastAsia="Cambria Math" w:hAnsi="Cambria Math"/>
                <w:color w:val="000000"/>
                <w:sz w:val="24"/>
                <w:szCs w:val="24"/>
              </w:rPr>
              <m:t xml:space="preserve">0</m:t>
            </m:r>
          </m:sub>
          <m:sup>
            <m:r>
              <w:rPr>
                <w:rFonts w:ascii="Cambria Math" w:cs="Cambria Math" w:eastAsia="Cambria Math" w:hAnsi="Cambria Math"/>
                <w:color w:val="000000"/>
                <w:sz w:val="24"/>
                <w:szCs w:val="24"/>
              </w:rPr>
              <m:t xml:space="preserve">1</m:t>
            </m:r>
          </m:sup>
        </m:nary>
        <m:r>
          <w:rPr>
            <w:rFonts w:ascii="Cambria Math" w:cs="Cambria Math" w:eastAsia="Cambria Math" w:hAnsi="Cambria Math"/>
            <w:color w:val="000000"/>
            <w:sz w:val="24"/>
            <w:szCs w:val="24"/>
          </w:rPr>
          <m:t xml:space="preserve">x Beta</m:t>
        </m:r>
        <m:d>
          <m:dPr>
            <m:begChr m:val="("/>
            <m:endChr m:val=")"/>
            <m:ctrlPr>
              <w:rPr>
                <w:rFonts w:ascii="Cambria Math" w:cs="Cambria Math" w:eastAsia="Cambria Math" w:hAnsi="Cambria Math"/>
                <w:color w:val="000000"/>
                <w:sz w:val="24"/>
                <w:szCs w:val="24"/>
              </w:rPr>
            </m:ctrlPr>
          </m:dPr>
          <m:e>
            <m:r>
              <w:rPr>
                <w:rFonts w:ascii="Cambria Math" w:cs="Cambria Math" w:eastAsia="Cambria Math" w:hAnsi="Cambria Math"/>
                <w:color w:val="000000"/>
                <w:sz w:val="24"/>
                <w:szCs w:val="24"/>
              </w:rPr>
              <m:t xml:space="preserve">x|1+</m:t>
            </m:r>
            <m:sSub>
              <m:sSubPr>
                <m:ctrlPr>
                  <w:rPr>
                    <w:rFonts w:ascii="Cambria Math" w:cs="Cambria Math" w:eastAsia="Cambria Math" w:hAnsi="Cambria Math"/>
                    <w:color w:val="000000"/>
                    <w:sz w:val="24"/>
                    <w:szCs w:val="24"/>
                  </w:rPr>
                </m:ctrlPr>
              </m:sSubPr>
              <m:e>
                <m:r>
                  <w:rPr>
                    <w:rFonts w:ascii="Cambria Math" w:cs="Cambria Math" w:eastAsia="Cambria Math" w:hAnsi="Cambria Math"/>
                    <w:color w:val="000000"/>
                    <w:sz w:val="24"/>
                    <w:szCs w:val="24"/>
                  </w:rPr>
                  <m:t xml:space="preserve">N</m:t>
                </m:r>
              </m:e>
              <m:sub>
                <m:r>
                  <w:rPr>
                    <w:rFonts w:ascii="Cambria Math" w:cs="Cambria Math" w:eastAsia="Cambria Math" w:hAnsi="Cambria Math"/>
                    <w:color w:val="000000"/>
                    <w:sz w:val="24"/>
                    <w:szCs w:val="24"/>
                  </w:rPr>
                  <m:t xml:space="preserve">ij</m:t>
                </m:r>
              </m:sub>
            </m:sSub>
            <m:r>
              <w:rPr>
                <w:rFonts w:ascii="Cambria Math" w:cs="Cambria Math" w:eastAsia="Cambria Math" w:hAnsi="Cambria Math"/>
                <w:color w:val="000000"/>
                <w:sz w:val="24"/>
                <w:szCs w:val="24"/>
              </w:rPr>
              <m:t xml:space="preserve">,1+</m:t>
            </m:r>
            <m:sSub>
              <m:sSubPr>
                <m:ctrlPr>
                  <w:rPr>
                    <w:rFonts w:ascii="Cambria Math" w:cs="Cambria Math" w:eastAsia="Cambria Math" w:hAnsi="Cambria Math"/>
                    <w:color w:val="000000"/>
                    <w:sz w:val="24"/>
                    <w:szCs w:val="24"/>
                  </w:rPr>
                </m:ctrlPr>
              </m:sSubPr>
              <m:e>
                <m:r>
                  <w:rPr>
                    <w:rFonts w:ascii="Cambria Math" w:cs="Cambria Math" w:eastAsia="Cambria Math" w:hAnsi="Cambria Math"/>
                    <w:color w:val="000000"/>
                    <w:sz w:val="24"/>
                    <w:szCs w:val="24"/>
                  </w:rPr>
                  <m:t xml:space="preserve">N</m:t>
                </m:r>
              </m:e>
              <m:sub>
                <m:r>
                  <w:rPr>
                    <w:rFonts w:ascii="Cambria Math" w:cs="Cambria Math" w:eastAsia="Cambria Math" w:hAnsi="Cambria Math"/>
                    <w:color w:val="000000"/>
                    <w:sz w:val="24"/>
                    <w:szCs w:val="24"/>
                  </w:rPr>
                  <m:t xml:space="preserve">.j</m:t>
                </m:r>
              </m:sub>
            </m:sSub>
            <m:r>
              <w:rPr>
                <w:rFonts w:ascii="Cambria Math" w:cs="Cambria Math" w:eastAsia="Cambria Math" w:hAnsi="Cambria Math"/>
                <w:color w:val="000000"/>
                <w:sz w:val="24"/>
                <w:szCs w:val="24"/>
              </w:rPr>
              <m:t xml:space="preserve">-</m:t>
            </m:r>
            <m:sSub>
              <m:sSubPr>
                <m:ctrlPr>
                  <w:rPr>
                    <w:rFonts w:ascii="Cambria Math" w:cs="Cambria Math" w:eastAsia="Cambria Math" w:hAnsi="Cambria Math"/>
                    <w:color w:val="000000"/>
                    <w:sz w:val="24"/>
                    <w:szCs w:val="24"/>
                  </w:rPr>
                </m:ctrlPr>
              </m:sSubPr>
              <m:e>
                <m:r>
                  <w:rPr>
                    <w:rFonts w:ascii="Cambria Math" w:cs="Cambria Math" w:eastAsia="Cambria Math" w:hAnsi="Cambria Math"/>
                    <w:color w:val="000000"/>
                    <w:sz w:val="24"/>
                    <w:szCs w:val="24"/>
                  </w:rPr>
                  <m:t xml:space="preserve">N</m:t>
                </m:r>
              </m:e>
              <m:sub>
                <m:r>
                  <w:rPr>
                    <w:rFonts w:ascii="Cambria Math" w:cs="Cambria Math" w:eastAsia="Cambria Math" w:hAnsi="Cambria Math"/>
                    <w:color w:val="000000"/>
                    <w:sz w:val="24"/>
                    <w:szCs w:val="24"/>
                  </w:rPr>
                  <m:t xml:space="preserve">ij</m:t>
                </m:r>
              </m:sub>
            </m:sSub>
          </m:e>
        </m:d>
        <m:r>
          <w:rPr>
            <w:rFonts w:ascii="Cambria Math" w:cs="Cambria Math" w:eastAsia="Cambria Math" w:hAnsi="Cambria Math"/>
            <w:color w:val="000000"/>
            <w:sz w:val="24"/>
            <w:szCs w:val="24"/>
          </w:rPr>
          <m:t xml:space="preserve">dx=</m:t>
        </m:r>
        <m:f>
          <m:fPr>
            <m:ctrlPr>
              <w:rPr>
                <w:rFonts w:ascii="Cambria Math" w:cs="Cambria Math" w:eastAsia="Cambria Math" w:hAnsi="Cambria Math"/>
                <w:color w:val="000000"/>
                <w:sz w:val="24"/>
                <w:szCs w:val="24"/>
              </w:rPr>
            </m:ctrlPr>
          </m:fPr>
          <m:num>
            <m:r>
              <w:rPr>
                <w:rFonts w:ascii="Cambria Math" w:cs="Cambria Math" w:eastAsia="Cambria Math" w:hAnsi="Cambria Math"/>
                <w:color w:val="000000"/>
                <w:sz w:val="24"/>
                <w:szCs w:val="24"/>
              </w:rPr>
              <m:t xml:space="preserve">B</m:t>
            </m:r>
            <m:d>
              <m:dPr>
                <m:begChr m:val="("/>
                <m:endChr m:val=")"/>
                <m:ctrlPr>
                  <w:rPr>
                    <w:rFonts w:ascii="Cambria Math" w:cs="Cambria Math" w:eastAsia="Cambria Math" w:hAnsi="Cambria Math"/>
                    <w:color w:val="000000"/>
                    <w:sz w:val="24"/>
                    <w:szCs w:val="24"/>
                  </w:rPr>
                </m:ctrlPr>
              </m:dPr>
              <m:e>
                <m:r>
                  <w:rPr>
                    <w:rFonts w:ascii="Cambria Math" w:cs="Cambria Math" w:eastAsia="Cambria Math" w:hAnsi="Cambria Math"/>
                    <w:color w:val="000000"/>
                    <w:sz w:val="24"/>
                    <w:szCs w:val="24"/>
                  </w:rPr>
                  <m:t xml:space="preserve">2+</m:t>
                </m:r>
                <m:sSub>
                  <m:sSubPr>
                    <m:ctrlPr>
                      <w:rPr>
                        <w:rFonts w:ascii="Cambria Math" w:cs="Cambria Math" w:eastAsia="Cambria Math" w:hAnsi="Cambria Math"/>
                        <w:color w:val="000000"/>
                        <w:sz w:val="24"/>
                        <w:szCs w:val="24"/>
                      </w:rPr>
                    </m:ctrlPr>
                  </m:sSubPr>
                  <m:e>
                    <m:r>
                      <w:rPr>
                        <w:rFonts w:ascii="Cambria Math" w:cs="Cambria Math" w:eastAsia="Cambria Math" w:hAnsi="Cambria Math"/>
                        <w:color w:val="000000"/>
                        <w:sz w:val="24"/>
                        <w:szCs w:val="24"/>
                      </w:rPr>
                      <m:t xml:space="preserve">N</m:t>
                    </m:r>
                  </m:e>
                  <m:sub>
                    <m:r>
                      <w:rPr>
                        <w:rFonts w:ascii="Cambria Math" w:cs="Cambria Math" w:eastAsia="Cambria Math" w:hAnsi="Cambria Math"/>
                        <w:color w:val="000000"/>
                        <w:sz w:val="24"/>
                        <w:szCs w:val="24"/>
                      </w:rPr>
                      <m:t xml:space="preserve">ij</m:t>
                    </m:r>
                  </m:sub>
                </m:sSub>
                <m:r>
                  <w:rPr>
                    <w:rFonts w:ascii="Cambria Math" w:cs="Cambria Math" w:eastAsia="Cambria Math" w:hAnsi="Cambria Math"/>
                    <w:color w:val="000000"/>
                    <w:sz w:val="24"/>
                    <w:szCs w:val="24"/>
                  </w:rPr>
                  <m:t xml:space="preserve">,1+</m:t>
                </m:r>
                <m:sSub>
                  <m:sSubPr>
                    <m:ctrlPr>
                      <w:rPr>
                        <w:rFonts w:ascii="Cambria Math" w:cs="Cambria Math" w:eastAsia="Cambria Math" w:hAnsi="Cambria Math"/>
                        <w:color w:val="000000"/>
                        <w:sz w:val="24"/>
                        <w:szCs w:val="24"/>
                      </w:rPr>
                    </m:ctrlPr>
                  </m:sSubPr>
                  <m:e>
                    <m:r>
                      <w:rPr>
                        <w:rFonts w:ascii="Cambria Math" w:cs="Cambria Math" w:eastAsia="Cambria Math" w:hAnsi="Cambria Math"/>
                        <w:color w:val="000000"/>
                        <w:sz w:val="24"/>
                        <w:szCs w:val="24"/>
                      </w:rPr>
                      <m:t xml:space="preserve">N</m:t>
                    </m:r>
                  </m:e>
                  <m:sub>
                    <m:r>
                      <w:rPr>
                        <w:rFonts w:ascii="Cambria Math" w:cs="Cambria Math" w:eastAsia="Cambria Math" w:hAnsi="Cambria Math"/>
                        <w:color w:val="000000"/>
                        <w:sz w:val="24"/>
                        <w:szCs w:val="24"/>
                      </w:rPr>
                      <m:t xml:space="preserve">.j</m:t>
                    </m:r>
                  </m:sub>
                </m:sSub>
                <m:r>
                  <w:rPr>
                    <w:rFonts w:ascii="Cambria Math" w:cs="Cambria Math" w:eastAsia="Cambria Math" w:hAnsi="Cambria Math"/>
                    <w:color w:val="000000"/>
                    <w:sz w:val="24"/>
                    <w:szCs w:val="24"/>
                  </w:rPr>
                  <m:t xml:space="preserve">-</m:t>
                </m:r>
                <m:sSub>
                  <m:sSubPr>
                    <m:ctrlPr>
                      <w:rPr>
                        <w:rFonts w:ascii="Cambria Math" w:cs="Cambria Math" w:eastAsia="Cambria Math" w:hAnsi="Cambria Math"/>
                        <w:color w:val="000000"/>
                        <w:sz w:val="24"/>
                        <w:szCs w:val="24"/>
                      </w:rPr>
                    </m:ctrlPr>
                  </m:sSubPr>
                  <m:e>
                    <m:r>
                      <w:rPr>
                        <w:rFonts w:ascii="Cambria Math" w:cs="Cambria Math" w:eastAsia="Cambria Math" w:hAnsi="Cambria Math"/>
                        <w:color w:val="000000"/>
                        <w:sz w:val="24"/>
                        <w:szCs w:val="24"/>
                      </w:rPr>
                      <m:t xml:space="preserve">N</m:t>
                    </m:r>
                  </m:e>
                  <m:sub>
                    <m:r>
                      <w:rPr>
                        <w:rFonts w:ascii="Cambria Math" w:cs="Cambria Math" w:eastAsia="Cambria Math" w:hAnsi="Cambria Math"/>
                        <w:color w:val="000000"/>
                        <w:sz w:val="24"/>
                        <w:szCs w:val="24"/>
                      </w:rPr>
                      <m:t xml:space="preserve">ij</m:t>
                    </m:r>
                  </m:sub>
                </m:sSub>
              </m:e>
            </m:d>
          </m:num>
          <m:den>
            <m:r>
              <w:rPr>
                <w:rFonts w:ascii="Cambria Math" w:cs="Cambria Math" w:eastAsia="Cambria Math" w:hAnsi="Cambria Math"/>
                <w:color w:val="000000"/>
                <w:sz w:val="24"/>
                <w:szCs w:val="24"/>
              </w:rPr>
              <m:t xml:space="preserve">B</m:t>
            </m:r>
            <m:d>
              <m:dPr>
                <m:begChr m:val="("/>
                <m:endChr m:val=")"/>
                <m:ctrlPr>
                  <w:rPr>
                    <w:rFonts w:ascii="Cambria Math" w:cs="Cambria Math" w:eastAsia="Cambria Math" w:hAnsi="Cambria Math"/>
                    <w:color w:val="000000"/>
                    <w:sz w:val="24"/>
                    <w:szCs w:val="24"/>
                  </w:rPr>
                </m:ctrlPr>
              </m:dPr>
              <m:e>
                <m:r>
                  <w:rPr>
                    <w:rFonts w:ascii="Cambria Math" w:cs="Cambria Math" w:eastAsia="Cambria Math" w:hAnsi="Cambria Math"/>
                    <w:color w:val="000000"/>
                    <w:sz w:val="24"/>
                    <w:szCs w:val="24"/>
                  </w:rPr>
                  <m:t xml:space="preserve">1+</m:t>
                </m:r>
                <m:sSub>
                  <m:sSubPr>
                    <m:ctrlPr>
                      <w:rPr>
                        <w:rFonts w:ascii="Cambria Math" w:cs="Cambria Math" w:eastAsia="Cambria Math" w:hAnsi="Cambria Math"/>
                        <w:color w:val="000000"/>
                        <w:sz w:val="24"/>
                        <w:szCs w:val="24"/>
                      </w:rPr>
                    </m:ctrlPr>
                  </m:sSubPr>
                  <m:e>
                    <m:r>
                      <w:rPr>
                        <w:rFonts w:ascii="Cambria Math" w:cs="Cambria Math" w:eastAsia="Cambria Math" w:hAnsi="Cambria Math"/>
                        <w:color w:val="000000"/>
                        <w:sz w:val="24"/>
                        <w:szCs w:val="24"/>
                      </w:rPr>
                      <m:t xml:space="preserve">N</m:t>
                    </m:r>
                  </m:e>
                  <m:sub>
                    <m:r>
                      <w:rPr>
                        <w:rFonts w:ascii="Cambria Math" w:cs="Cambria Math" w:eastAsia="Cambria Math" w:hAnsi="Cambria Math"/>
                        <w:color w:val="000000"/>
                        <w:sz w:val="24"/>
                        <w:szCs w:val="24"/>
                      </w:rPr>
                      <m:t xml:space="preserve">ij</m:t>
                    </m:r>
                  </m:sub>
                </m:sSub>
                <m:r>
                  <w:rPr>
                    <w:rFonts w:ascii="Cambria Math" w:cs="Cambria Math" w:eastAsia="Cambria Math" w:hAnsi="Cambria Math"/>
                    <w:color w:val="000000"/>
                    <w:sz w:val="24"/>
                    <w:szCs w:val="24"/>
                  </w:rPr>
                  <m:t xml:space="preserve">,1+</m:t>
                </m:r>
                <m:sSub>
                  <m:sSubPr>
                    <m:ctrlPr>
                      <w:rPr>
                        <w:rFonts w:ascii="Cambria Math" w:cs="Cambria Math" w:eastAsia="Cambria Math" w:hAnsi="Cambria Math"/>
                        <w:color w:val="000000"/>
                        <w:sz w:val="24"/>
                        <w:szCs w:val="24"/>
                      </w:rPr>
                    </m:ctrlPr>
                  </m:sSubPr>
                  <m:e>
                    <m:r>
                      <w:rPr>
                        <w:rFonts w:ascii="Cambria Math" w:cs="Cambria Math" w:eastAsia="Cambria Math" w:hAnsi="Cambria Math"/>
                        <w:color w:val="000000"/>
                        <w:sz w:val="24"/>
                        <w:szCs w:val="24"/>
                      </w:rPr>
                      <m:t xml:space="preserve">N</m:t>
                    </m:r>
                  </m:e>
                  <m:sub>
                    <m:r>
                      <w:rPr>
                        <w:rFonts w:ascii="Cambria Math" w:cs="Cambria Math" w:eastAsia="Cambria Math" w:hAnsi="Cambria Math"/>
                        <w:color w:val="000000"/>
                        <w:sz w:val="24"/>
                        <w:szCs w:val="24"/>
                      </w:rPr>
                      <m:t xml:space="preserve">.j</m:t>
                    </m:r>
                  </m:sub>
                </m:sSub>
                <m:r>
                  <w:rPr>
                    <w:rFonts w:ascii="Cambria Math" w:cs="Cambria Math" w:eastAsia="Cambria Math" w:hAnsi="Cambria Math"/>
                    <w:color w:val="000000"/>
                    <w:sz w:val="24"/>
                    <w:szCs w:val="24"/>
                  </w:rPr>
                  <m:t xml:space="preserve">-</m:t>
                </m:r>
                <m:sSub>
                  <m:sSubPr>
                    <m:ctrlPr>
                      <w:rPr>
                        <w:rFonts w:ascii="Cambria Math" w:cs="Cambria Math" w:eastAsia="Cambria Math" w:hAnsi="Cambria Math"/>
                        <w:color w:val="000000"/>
                        <w:sz w:val="24"/>
                        <w:szCs w:val="24"/>
                      </w:rPr>
                    </m:ctrlPr>
                  </m:sSubPr>
                  <m:e>
                    <m:r>
                      <w:rPr>
                        <w:rFonts w:ascii="Cambria Math" w:cs="Cambria Math" w:eastAsia="Cambria Math" w:hAnsi="Cambria Math"/>
                        <w:color w:val="000000"/>
                        <w:sz w:val="24"/>
                        <w:szCs w:val="24"/>
                      </w:rPr>
                      <m:t xml:space="preserve">N</m:t>
                    </m:r>
                  </m:e>
                  <m:sub>
                    <m:r>
                      <w:rPr>
                        <w:rFonts w:ascii="Cambria Math" w:cs="Cambria Math" w:eastAsia="Cambria Math" w:hAnsi="Cambria Math"/>
                        <w:color w:val="000000"/>
                        <w:sz w:val="24"/>
                        <w:szCs w:val="24"/>
                      </w:rPr>
                      <m:t xml:space="preserve">ij</m:t>
                    </m:r>
                  </m:sub>
                </m:sSub>
              </m:e>
            </m:d>
          </m:den>
        </m:f>
      </m:oMath>
      <w:r w:rsidDel="00000000" w:rsidR="00000000" w:rsidRPr="00000000">
        <w:rPr>
          <w:rtl w:val="0"/>
        </w:rPr>
      </w:r>
    </w:p>
    <w:p w:rsidR="00000000" w:rsidDel="00000000" w:rsidP="00000000" w:rsidRDefault="00000000" w:rsidRPr="00000000" w14:paraId="0000074E">
      <w:pPr>
        <w:pBdr>
          <w:top w:space="0" w:sz="0" w:val="nil"/>
          <w:left w:space="0" w:sz="0" w:val="nil"/>
          <w:bottom w:space="0" w:sz="0" w:val="nil"/>
          <w:right w:space="0" w:sz="0" w:val="nil"/>
          <w:between w:space="0" w:sz="0" w:val="nil"/>
        </w:pBdr>
        <w:spacing w:after="180" w:before="180" w:line="240" w:lineRule="auto"/>
        <w:rPr>
          <w:color w:val="000000"/>
        </w:rPr>
      </w:pPr>
      <w:r w:rsidDel="00000000" w:rsidR="00000000" w:rsidRPr="00000000">
        <w:rPr>
          <w:color w:val="000000"/>
          <w:rtl w:val="0"/>
        </w:rPr>
        <w:t xml:space="preserve">We can now compute the probability </w:t>
      </w:r>
      <m:oMath>
        <m:r>
          <w:rPr>
            <w:rFonts w:ascii="Cambria Math" w:cs="Cambria Math" w:eastAsia="Cambria Math" w:hAnsi="Cambria Math"/>
            <w:color w:val="000000"/>
          </w:rPr>
          <m:t xml:space="preserve">P(s|N)</m:t>
        </m:r>
      </m:oMath>
      <w:r w:rsidDel="00000000" w:rsidR="00000000" w:rsidRPr="00000000">
        <w:rPr>
          <w:color w:val="000000"/>
          <w:rtl w:val="0"/>
        </w:rPr>
        <w:t xml:space="preserve"> that a given target haplogroup was contributed from Source </w:t>
      </w:r>
      <m:oMath>
        <m:r>
          <w:rPr>
            <w:rFonts w:ascii="Cambria Math" w:cs="Cambria Math" w:eastAsia="Cambria Math" w:hAnsi="Cambria Math"/>
            <w:color w:val="000000"/>
          </w:rPr>
          <m:t xml:space="preserve">s</m:t>
        </m:r>
      </m:oMath>
      <w:r w:rsidDel="00000000" w:rsidR="00000000" w:rsidRPr="00000000">
        <w:rPr>
          <w:color w:val="000000"/>
          <w:rtl w:val="0"/>
        </w:rPr>
        <w:t xml:space="preserve"> using Bayes rule:</w:t>
      </w:r>
    </w:p>
    <w:p w:rsidR="00000000" w:rsidDel="00000000" w:rsidP="00000000" w:rsidRDefault="00000000" w:rsidRPr="00000000" w14:paraId="0000074F">
      <w:pPr>
        <w:jc w:val="center"/>
        <w:rPr>
          <w:rFonts w:ascii="Cambria Math" w:cs="Cambria Math" w:eastAsia="Cambria Math" w:hAnsi="Cambria Math"/>
          <w:color w:val="000000"/>
          <w:sz w:val="24"/>
          <w:szCs w:val="24"/>
        </w:rPr>
      </w:pPr>
      <m:oMath>
        <m:r>
          <w:rPr>
            <w:rFonts w:ascii="Cambria Math" w:cs="Cambria Math" w:eastAsia="Cambria Math" w:hAnsi="Cambria Math"/>
            <w:color w:val="000000"/>
            <w:sz w:val="24"/>
            <w:szCs w:val="24"/>
          </w:rPr>
          <m:t xml:space="preserve">p</m:t>
        </m:r>
        <m:d>
          <m:dPr>
            <m:begChr m:val="("/>
            <m:endChr m:val=")"/>
            <m:ctrlPr>
              <w:rPr>
                <w:rFonts w:ascii="Cambria Math" w:cs="Cambria Math" w:eastAsia="Cambria Math" w:hAnsi="Cambria Math"/>
                <w:color w:val="000000"/>
                <w:sz w:val="24"/>
                <w:szCs w:val="24"/>
              </w:rPr>
            </m:ctrlPr>
          </m:dPr>
          <m:e>
            <m:r>
              <w:rPr>
                <w:rFonts w:ascii="Cambria Math" w:cs="Cambria Math" w:eastAsia="Cambria Math" w:hAnsi="Cambria Math"/>
                <w:color w:val="000000"/>
                <w:sz w:val="24"/>
                <w:szCs w:val="24"/>
              </w:rPr>
              <m:t xml:space="preserve">s|N</m:t>
            </m:r>
          </m:e>
        </m:d>
        <m:r>
          <w:rPr>
            <w:rFonts w:ascii="Cambria Math" w:cs="Cambria Math" w:eastAsia="Cambria Math" w:hAnsi="Cambria Math"/>
            <w:color w:val="000000"/>
            <w:sz w:val="24"/>
            <w:szCs w:val="24"/>
          </w:rPr>
          <m:t xml:space="preserve">=</m:t>
        </m:r>
        <m:f>
          <m:fPr>
            <m:ctrlPr>
              <w:rPr>
                <w:rFonts w:ascii="Cambria Math" w:cs="Cambria Math" w:eastAsia="Cambria Math" w:hAnsi="Cambria Math"/>
                <w:color w:val="000000"/>
                <w:sz w:val="24"/>
                <w:szCs w:val="24"/>
              </w:rPr>
            </m:ctrlPr>
          </m:fPr>
          <m:num>
            <m:r>
              <w:rPr>
                <w:rFonts w:ascii="Cambria Math" w:cs="Cambria Math" w:eastAsia="Cambria Math" w:hAnsi="Cambria Math"/>
                <w:color w:val="000000"/>
                <w:sz w:val="24"/>
                <w:szCs w:val="24"/>
              </w:rPr>
              <m:t xml:space="preserve">L</m:t>
            </m:r>
            <m:d>
              <m:dPr>
                <m:begChr m:val="("/>
                <m:endChr m:val=")"/>
                <m:ctrlPr>
                  <w:rPr>
                    <w:rFonts w:ascii="Cambria Math" w:cs="Cambria Math" w:eastAsia="Cambria Math" w:hAnsi="Cambria Math"/>
                    <w:color w:val="000000"/>
                    <w:sz w:val="24"/>
                    <w:szCs w:val="24"/>
                  </w:rPr>
                </m:ctrlPr>
              </m:dPr>
              <m:e>
                <m:r>
                  <w:rPr>
                    <w:rFonts w:ascii="Cambria Math" w:cs="Cambria Math" w:eastAsia="Cambria Math" w:hAnsi="Cambria Math"/>
                    <w:color w:val="000000"/>
                    <w:sz w:val="24"/>
                    <w:szCs w:val="24"/>
                  </w:rPr>
                  <m:t xml:space="preserve">H=i,S=s|N</m:t>
                </m:r>
              </m:e>
            </m:d>
          </m:num>
          <m:den>
            <m:nary>
              <m:naryPr>
                <m:chr m:val="∑"/>
                <m:ctrlPr>
                  <w:rPr>
                    <w:rFonts w:ascii="Cambria Math" w:cs="Cambria Math" w:eastAsia="Cambria Math" w:hAnsi="Cambria Math"/>
                    <w:color w:val="000000"/>
                    <w:sz w:val="24"/>
                    <w:szCs w:val="24"/>
                  </w:rPr>
                </m:ctrlPr>
              </m:naryPr>
              <m:sub>
                <m:r>
                  <w:rPr>
                    <w:rFonts w:ascii="Cambria Math" w:cs="Cambria Math" w:eastAsia="Cambria Math" w:hAnsi="Cambria Math"/>
                    <w:color w:val="000000"/>
                    <w:sz w:val="24"/>
                    <w:szCs w:val="24"/>
                  </w:rPr>
                  <m:t xml:space="preserve">j</m:t>
                </m:r>
              </m:sub>
              <m:sup/>
            </m:nary>
            <m:r>
              <w:rPr>
                <w:rFonts w:ascii="Cambria Math" w:cs="Cambria Math" w:eastAsia="Cambria Math" w:hAnsi="Cambria Math"/>
                <w:color w:val="000000"/>
                <w:sz w:val="24"/>
                <w:szCs w:val="24"/>
              </w:rPr>
              <m:t xml:space="preserve">L</m:t>
            </m:r>
            <m:d>
              <m:dPr>
                <m:begChr m:val="("/>
                <m:endChr m:val=")"/>
                <m:ctrlPr>
                  <w:rPr>
                    <w:rFonts w:ascii="Cambria Math" w:cs="Cambria Math" w:eastAsia="Cambria Math" w:hAnsi="Cambria Math"/>
                    <w:color w:val="000000"/>
                    <w:sz w:val="24"/>
                    <w:szCs w:val="24"/>
                  </w:rPr>
                </m:ctrlPr>
              </m:dPr>
              <m:e>
                <m:r>
                  <w:rPr>
                    <w:rFonts w:ascii="Cambria Math" w:cs="Cambria Math" w:eastAsia="Cambria Math" w:hAnsi="Cambria Math"/>
                    <w:color w:val="000000"/>
                    <w:sz w:val="24"/>
                    <w:szCs w:val="24"/>
                  </w:rPr>
                  <m:t xml:space="preserve">H=i,S=j|N</m:t>
                </m:r>
              </m:e>
            </m:d>
          </m:den>
        </m:f>
      </m:oMath>
      <w:r w:rsidDel="00000000" w:rsidR="00000000" w:rsidRPr="00000000">
        <w:rPr>
          <w:rtl w:val="0"/>
        </w:rPr>
      </w:r>
    </w:p>
    <w:p w:rsidR="00000000" w:rsidDel="00000000" w:rsidP="00000000" w:rsidRDefault="00000000" w:rsidRPr="00000000" w14:paraId="00000750">
      <w:pPr>
        <w:spacing w:after="180" w:before="180" w:line="240" w:lineRule="auto"/>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Here is a summary breakdown of the entire data into groups:</w:t>
      </w:r>
    </w:p>
    <w:p w:rsidR="00000000" w:rsidDel="00000000" w:rsidP="00000000" w:rsidRDefault="00000000" w:rsidRPr="00000000" w14:paraId="00000751">
      <w:pPr>
        <w:shd w:fill="f8f8f8" w:val="clear"/>
        <w:spacing w:after="200" w:line="240" w:lineRule="auto"/>
        <w:rPr>
          <w:rFonts w:ascii="Cambria" w:cs="Cambria" w:eastAsia="Cambria" w:hAnsi="Cambria"/>
          <w:sz w:val="24"/>
          <w:szCs w:val="24"/>
        </w:rPr>
      </w:pPr>
      <w:r w:rsidDel="00000000" w:rsidR="00000000" w:rsidRPr="00000000">
        <w:rPr>
          <w:rFonts w:ascii="Consolas" w:cs="Consolas" w:eastAsia="Consolas" w:hAnsi="Consolas"/>
          <w:shd w:fill="f8f8f8" w:val="clear"/>
          <w:rtl w:val="0"/>
        </w:rPr>
        <w:t xml:space="preserve">datj %&gt;% dplyr::group_by(Pop2) %&gt;% dplyr::summarise(n = dplyr::n())</w:t>
      </w:r>
      <w:r w:rsidDel="00000000" w:rsidR="00000000" w:rsidRPr="00000000">
        <w:rPr>
          <w:rtl w:val="0"/>
        </w:rPr>
      </w:r>
    </w:p>
    <w:p w:rsidR="00000000" w:rsidDel="00000000" w:rsidP="00000000" w:rsidRDefault="00000000" w:rsidRPr="00000000" w14:paraId="00000752">
      <w:pPr>
        <w:shd w:fill="f8f8f8" w:val="clear"/>
        <w:spacing w:after="200" w:line="240" w:lineRule="auto"/>
        <w:rPr/>
      </w:pPr>
      <w:r w:rsidDel="00000000" w:rsidR="00000000" w:rsidRPr="00000000">
        <w:rPr>
          <w:rFonts w:ascii="Consolas" w:cs="Consolas" w:eastAsia="Consolas" w:hAnsi="Consolas"/>
          <w:rtl w:val="0"/>
        </w:rPr>
        <w:t xml:space="preserve">## # A tibble: 16 × 2</w:t>
      </w:r>
      <w:r w:rsidDel="00000000" w:rsidR="00000000" w:rsidRPr="00000000">
        <w:rPr>
          <w:rFonts w:ascii="Cambria" w:cs="Cambria" w:eastAsia="Cambria" w:hAnsi="Cambria"/>
          <w:sz w:val="24"/>
          <w:szCs w:val="24"/>
          <w:rtl w:val="0"/>
        </w:rPr>
        <w:br w:type="textWrapping"/>
      </w:r>
      <w:r w:rsidDel="00000000" w:rsidR="00000000" w:rsidRPr="00000000">
        <w:rPr>
          <w:rFonts w:ascii="Consolas" w:cs="Consolas" w:eastAsia="Consolas" w:hAnsi="Consolas"/>
          <w:rtl w:val="0"/>
        </w:rPr>
        <w:t xml:space="preserve">##    Pop2               n</w:t>
      </w:r>
      <w:r w:rsidDel="00000000" w:rsidR="00000000" w:rsidRPr="00000000">
        <w:rPr>
          <w:rFonts w:ascii="Cambria" w:cs="Cambria" w:eastAsia="Cambria" w:hAnsi="Cambria"/>
          <w:sz w:val="24"/>
          <w:szCs w:val="24"/>
          <w:rtl w:val="0"/>
        </w:rPr>
        <w:br w:type="textWrapping"/>
      </w:r>
      <w:r w:rsidDel="00000000" w:rsidR="00000000" w:rsidRPr="00000000">
        <w:rPr>
          <w:rFonts w:ascii="Consolas" w:cs="Consolas" w:eastAsia="Consolas" w:hAnsi="Consolas"/>
          <w:rtl w:val="0"/>
        </w:rPr>
        <w:t xml:space="preserve">##    &lt;chr&gt;          &lt;int&gt;</w:t>
      </w:r>
      <w:r w:rsidDel="00000000" w:rsidR="00000000" w:rsidRPr="00000000">
        <w:rPr>
          <w:rFonts w:ascii="Cambria" w:cs="Cambria" w:eastAsia="Cambria" w:hAnsi="Cambria"/>
          <w:sz w:val="24"/>
          <w:szCs w:val="24"/>
          <w:rtl w:val="0"/>
        </w:rPr>
        <w:br w:type="textWrapping"/>
      </w:r>
      <w:r w:rsidDel="00000000" w:rsidR="00000000" w:rsidRPr="00000000">
        <w:rPr>
          <w:rFonts w:ascii="Consolas" w:cs="Consolas" w:eastAsia="Consolas" w:hAnsi="Consolas"/>
          <w:rtl w:val="0"/>
        </w:rPr>
        <w:t xml:space="preserve">##  1 England_BA       140</w:t>
      </w:r>
      <w:r w:rsidDel="00000000" w:rsidR="00000000" w:rsidRPr="00000000">
        <w:rPr>
          <w:rFonts w:ascii="Cambria" w:cs="Cambria" w:eastAsia="Cambria" w:hAnsi="Cambria"/>
          <w:sz w:val="24"/>
          <w:szCs w:val="24"/>
          <w:rtl w:val="0"/>
        </w:rPr>
        <w:br w:type="textWrapping"/>
      </w:r>
      <w:r w:rsidDel="00000000" w:rsidR="00000000" w:rsidRPr="00000000">
        <w:rPr>
          <w:rFonts w:ascii="Consolas" w:cs="Consolas" w:eastAsia="Consolas" w:hAnsi="Consolas"/>
          <w:rtl w:val="0"/>
        </w:rPr>
        <w:t xml:space="preserve">##  2 England_EMA      294</w:t>
      </w:r>
      <w:r w:rsidDel="00000000" w:rsidR="00000000" w:rsidRPr="00000000">
        <w:rPr>
          <w:rFonts w:ascii="Cambria" w:cs="Cambria" w:eastAsia="Cambria" w:hAnsi="Cambria"/>
          <w:sz w:val="24"/>
          <w:szCs w:val="24"/>
          <w:rtl w:val="0"/>
        </w:rPr>
        <w:br w:type="textWrapping"/>
      </w:r>
      <w:r w:rsidDel="00000000" w:rsidR="00000000" w:rsidRPr="00000000">
        <w:rPr>
          <w:rFonts w:ascii="Consolas" w:cs="Consolas" w:eastAsia="Consolas" w:hAnsi="Consolas"/>
          <w:rtl w:val="0"/>
        </w:rPr>
        <w:t xml:space="preserve">##  3 England_IA       304</w:t>
      </w:r>
      <w:r w:rsidDel="00000000" w:rsidR="00000000" w:rsidRPr="00000000">
        <w:rPr>
          <w:rFonts w:ascii="Cambria" w:cs="Cambria" w:eastAsia="Cambria" w:hAnsi="Cambria"/>
          <w:sz w:val="24"/>
          <w:szCs w:val="24"/>
          <w:rtl w:val="0"/>
        </w:rPr>
        <w:br w:type="textWrapping"/>
      </w:r>
      <w:r w:rsidDel="00000000" w:rsidR="00000000" w:rsidRPr="00000000">
        <w:rPr>
          <w:rFonts w:ascii="Consolas" w:cs="Consolas" w:eastAsia="Consolas" w:hAnsi="Consolas"/>
          <w:rtl w:val="0"/>
        </w:rPr>
        <w:t xml:space="preserve">##  4 France_MA         17</w:t>
      </w:r>
      <w:r w:rsidDel="00000000" w:rsidR="00000000" w:rsidRPr="00000000">
        <w:rPr>
          <w:rFonts w:ascii="Cambria" w:cs="Cambria" w:eastAsia="Cambria" w:hAnsi="Cambria"/>
          <w:sz w:val="24"/>
          <w:szCs w:val="24"/>
          <w:rtl w:val="0"/>
        </w:rPr>
        <w:br w:type="textWrapping"/>
      </w:r>
      <w:r w:rsidDel="00000000" w:rsidR="00000000" w:rsidRPr="00000000">
        <w:rPr>
          <w:rFonts w:ascii="Consolas" w:cs="Consolas" w:eastAsia="Consolas" w:hAnsi="Consolas"/>
          <w:rtl w:val="0"/>
        </w:rPr>
        <w:t xml:space="preserve">##  5 Ireland_BA         3</w:t>
      </w:r>
      <w:r w:rsidDel="00000000" w:rsidR="00000000" w:rsidRPr="00000000">
        <w:rPr>
          <w:rFonts w:ascii="Cambria" w:cs="Cambria" w:eastAsia="Cambria" w:hAnsi="Cambria"/>
          <w:sz w:val="24"/>
          <w:szCs w:val="24"/>
          <w:rtl w:val="0"/>
        </w:rPr>
        <w:br w:type="textWrapping"/>
      </w:r>
      <w:r w:rsidDel="00000000" w:rsidR="00000000" w:rsidRPr="00000000">
        <w:rPr>
          <w:rFonts w:ascii="Consolas" w:cs="Consolas" w:eastAsia="Consolas" w:hAnsi="Consolas"/>
          <w:rtl w:val="0"/>
        </w:rPr>
        <w:t xml:space="preserve">##  6 Ireland_MA        39</w:t>
      </w:r>
      <w:r w:rsidDel="00000000" w:rsidR="00000000" w:rsidRPr="00000000">
        <w:rPr>
          <w:rFonts w:ascii="Cambria" w:cs="Cambria" w:eastAsia="Cambria" w:hAnsi="Cambria"/>
          <w:sz w:val="24"/>
          <w:szCs w:val="24"/>
          <w:rtl w:val="0"/>
        </w:rPr>
        <w:br w:type="textWrapping"/>
      </w:r>
      <w:r w:rsidDel="00000000" w:rsidR="00000000" w:rsidRPr="00000000">
        <w:rPr>
          <w:rFonts w:ascii="Consolas" w:cs="Consolas" w:eastAsia="Consolas" w:hAnsi="Consolas"/>
          <w:rtl w:val="0"/>
        </w:rPr>
        <w:t xml:space="preserve">##  7 NorthSea_BA       37</w:t>
      </w:r>
      <w:r w:rsidDel="00000000" w:rsidR="00000000" w:rsidRPr="00000000">
        <w:rPr>
          <w:rFonts w:ascii="Cambria" w:cs="Cambria" w:eastAsia="Cambria" w:hAnsi="Cambria"/>
          <w:sz w:val="24"/>
          <w:szCs w:val="24"/>
          <w:rtl w:val="0"/>
        </w:rPr>
        <w:br w:type="textWrapping"/>
      </w:r>
      <w:r w:rsidDel="00000000" w:rsidR="00000000" w:rsidRPr="00000000">
        <w:rPr>
          <w:rFonts w:ascii="Consolas" w:cs="Consolas" w:eastAsia="Consolas" w:hAnsi="Consolas"/>
          <w:rtl w:val="0"/>
        </w:rPr>
        <w:t xml:space="preserve">##  8 NorthSea_IA       19</w:t>
      </w:r>
      <w:r w:rsidDel="00000000" w:rsidR="00000000" w:rsidRPr="00000000">
        <w:rPr>
          <w:rFonts w:ascii="Cambria" w:cs="Cambria" w:eastAsia="Cambria" w:hAnsi="Cambria"/>
          <w:sz w:val="24"/>
          <w:szCs w:val="24"/>
          <w:rtl w:val="0"/>
        </w:rPr>
        <w:br w:type="textWrapping"/>
      </w:r>
      <w:r w:rsidDel="00000000" w:rsidR="00000000" w:rsidRPr="00000000">
        <w:rPr>
          <w:rFonts w:ascii="Consolas" w:cs="Consolas" w:eastAsia="Consolas" w:hAnsi="Consolas"/>
          <w:rtl w:val="0"/>
        </w:rPr>
        <w:t xml:space="preserve">##  9 NorthSea_MA      209</w:t>
      </w:r>
      <w:r w:rsidDel="00000000" w:rsidR="00000000" w:rsidRPr="00000000">
        <w:rPr>
          <w:rFonts w:ascii="Cambria" w:cs="Cambria" w:eastAsia="Cambria" w:hAnsi="Cambria"/>
          <w:sz w:val="24"/>
          <w:szCs w:val="24"/>
          <w:rtl w:val="0"/>
        </w:rPr>
        <w:br w:type="textWrapping"/>
      </w:r>
      <w:r w:rsidDel="00000000" w:rsidR="00000000" w:rsidRPr="00000000">
        <w:rPr>
          <w:rFonts w:ascii="Consolas" w:cs="Consolas" w:eastAsia="Consolas" w:hAnsi="Consolas"/>
          <w:rtl w:val="0"/>
        </w:rPr>
        <w:t xml:space="preserve">## 10 Scandinavia_BA     4</w:t>
      </w:r>
      <w:r w:rsidDel="00000000" w:rsidR="00000000" w:rsidRPr="00000000">
        <w:rPr>
          <w:rFonts w:ascii="Cambria" w:cs="Cambria" w:eastAsia="Cambria" w:hAnsi="Cambria"/>
          <w:sz w:val="24"/>
          <w:szCs w:val="24"/>
          <w:rtl w:val="0"/>
        </w:rPr>
        <w:br w:type="textWrapping"/>
      </w:r>
      <w:r w:rsidDel="00000000" w:rsidR="00000000" w:rsidRPr="00000000">
        <w:rPr>
          <w:rFonts w:ascii="Consolas" w:cs="Consolas" w:eastAsia="Consolas" w:hAnsi="Consolas"/>
          <w:rtl w:val="0"/>
        </w:rPr>
        <w:t xml:space="preserve">## 11 Scandinavia_IA     7</w:t>
      </w:r>
      <w:r w:rsidDel="00000000" w:rsidR="00000000" w:rsidRPr="00000000">
        <w:rPr>
          <w:rFonts w:ascii="Cambria" w:cs="Cambria" w:eastAsia="Cambria" w:hAnsi="Cambria"/>
          <w:sz w:val="24"/>
          <w:szCs w:val="24"/>
          <w:rtl w:val="0"/>
        </w:rPr>
        <w:br w:type="textWrapping"/>
      </w:r>
      <w:r w:rsidDel="00000000" w:rsidR="00000000" w:rsidRPr="00000000">
        <w:rPr>
          <w:rFonts w:ascii="Consolas" w:cs="Consolas" w:eastAsia="Consolas" w:hAnsi="Consolas"/>
          <w:rtl w:val="0"/>
        </w:rPr>
        <w:t xml:space="preserve">## 12 Scandinavia_MA   180</w:t>
      </w:r>
      <w:r w:rsidDel="00000000" w:rsidR="00000000" w:rsidRPr="00000000">
        <w:rPr>
          <w:rFonts w:ascii="Cambria" w:cs="Cambria" w:eastAsia="Cambria" w:hAnsi="Cambria"/>
          <w:sz w:val="24"/>
          <w:szCs w:val="24"/>
          <w:rtl w:val="0"/>
        </w:rPr>
        <w:br w:type="textWrapping"/>
      </w:r>
      <w:r w:rsidDel="00000000" w:rsidR="00000000" w:rsidRPr="00000000">
        <w:rPr>
          <w:rFonts w:ascii="Consolas" w:cs="Consolas" w:eastAsia="Consolas" w:hAnsi="Consolas"/>
          <w:rtl w:val="0"/>
        </w:rPr>
        <w:t xml:space="preserve">## 13 Scotland_BA       28</w:t>
      </w:r>
      <w:r w:rsidDel="00000000" w:rsidR="00000000" w:rsidRPr="00000000">
        <w:rPr>
          <w:rFonts w:ascii="Cambria" w:cs="Cambria" w:eastAsia="Cambria" w:hAnsi="Cambria"/>
          <w:sz w:val="24"/>
          <w:szCs w:val="24"/>
          <w:rtl w:val="0"/>
        </w:rPr>
        <w:br w:type="textWrapping"/>
      </w:r>
      <w:r w:rsidDel="00000000" w:rsidR="00000000" w:rsidRPr="00000000">
        <w:rPr>
          <w:rFonts w:ascii="Consolas" w:cs="Consolas" w:eastAsia="Consolas" w:hAnsi="Consolas"/>
          <w:rtl w:val="0"/>
        </w:rPr>
        <w:t xml:space="preserve">## 14 Scotland_IA       25</w:t>
      </w:r>
      <w:r w:rsidDel="00000000" w:rsidR="00000000" w:rsidRPr="00000000">
        <w:rPr>
          <w:rFonts w:ascii="Cambria" w:cs="Cambria" w:eastAsia="Cambria" w:hAnsi="Cambria"/>
          <w:sz w:val="24"/>
          <w:szCs w:val="24"/>
          <w:rtl w:val="0"/>
        </w:rPr>
        <w:br w:type="textWrapping"/>
      </w:r>
      <w:r w:rsidDel="00000000" w:rsidR="00000000" w:rsidRPr="00000000">
        <w:rPr>
          <w:rFonts w:ascii="Consolas" w:cs="Consolas" w:eastAsia="Consolas" w:hAnsi="Consolas"/>
          <w:rtl w:val="0"/>
        </w:rPr>
        <w:t xml:space="preserve">## 15 Wales_BA           7</w:t>
      </w:r>
      <w:r w:rsidDel="00000000" w:rsidR="00000000" w:rsidRPr="00000000">
        <w:rPr>
          <w:rFonts w:ascii="Cambria" w:cs="Cambria" w:eastAsia="Cambria" w:hAnsi="Cambria"/>
          <w:sz w:val="24"/>
          <w:szCs w:val="24"/>
          <w:rtl w:val="0"/>
        </w:rPr>
        <w:br w:type="textWrapping"/>
      </w:r>
      <w:r w:rsidDel="00000000" w:rsidR="00000000" w:rsidRPr="00000000">
        <w:rPr>
          <w:rFonts w:ascii="Consolas" w:cs="Consolas" w:eastAsia="Consolas" w:hAnsi="Consolas"/>
          <w:rtl w:val="0"/>
        </w:rPr>
        <w:t xml:space="preserve">## 16 Wales_IA           7</w:t>
      </w:r>
      <w:r w:rsidDel="00000000" w:rsidR="00000000" w:rsidRPr="00000000">
        <w:rPr>
          <w:rtl w:val="0"/>
        </w:rPr>
      </w:r>
    </w:p>
    <w:p w:rsidR="00000000" w:rsidDel="00000000" w:rsidP="00000000" w:rsidRDefault="00000000" w:rsidRPr="00000000" w14:paraId="00000753">
      <w:pPr>
        <w:pBdr>
          <w:top w:space="0" w:sz="0" w:val="nil"/>
          <w:left w:space="0" w:sz="0" w:val="nil"/>
          <w:bottom w:space="0" w:sz="0" w:val="nil"/>
          <w:right w:space="0" w:sz="0" w:val="nil"/>
          <w:between w:space="0" w:sz="0" w:val="nil"/>
        </w:pBdr>
        <w:spacing w:after="180" w:before="180" w:line="240" w:lineRule="auto"/>
        <w:rPr>
          <w:color w:val="000000"/>
        </w:rPr>
      </w:pPr>
      <w:r w:rsidDel="00000000" w:rsidR="00000000" w:rsidRPr="00000000">
        <w:rPr>
          <w:color w:val="000000"/>
          <w:rtl w:val="0"/>
        </w:rPr>
        <w:t xml:space="preserve">We now declare three groups of samples. First, a group of admixed individuals from England_EMA, defined as individuals with CNE (continental </w:t>
      </w:r>
      <w:r w:rsidDel="00000000" w:rsidR="00000000" w:rsidRPr="00000000">
        <w:rPr>
          <w:rtl w:val="0"/>
        </w:rPr>
        <w:t xml:space="preserve">northern </w:t>
      </w:r>
      <w:r w:rsidDel="00000000" w:rsidR="00000000" w:rsidRPr="00000000">
        <w:rPr>
          <w:color w:val="000000"/>
          <w:rtl w:val="0"/>
        </w:rPr>
        <w:t xml:space="preserve">European) admixture proportions between 2 and 98%. Then two source groups: one consisting of individuals from Britain before the study period plus early medieval individuals with less than 2% CNE admixture (Source 1), and one consisting of individuals from Britain with more than 98% CNE ancestry and those sampled from across the North Sea (Source 2).</w:t>
      </w:r>
    </w:p>
    <w:p w:rsidR="00000000" w:rsidDel="00000000" w:rsidP="00000000" w:rsidRDefault="00000000" w:rsidRPr="00000000" w14:paraId="00000754">
      <w:pPr>
        <w:pStyle w:val="Heading4"/>
        <w:rPr>
          <w:i w:val="0"/>
          <w:color w:val="000000"/>
        </w:rPr>
      </w:pPr>
      <w:bookmarkStart w:colFirst="0" w:colLast="0" w:name="_heading=h.3cqmetx" w:id="61"/>
      <w:bookmarkEnd w:id="61"/>
      <w:r w:rsidDel="00000000" w:rsidR="00000000" w:rsidRPr="00000000">
        <w:rPr>
          <w:rtl w:val="0"/>
        </w:rPr>
      </w:r>
    </w:p>
    <w:bookmarkStart w:colFirst="0" w:colLast="0" w:name="bookmark=id.1rvwp1q" w:id="62"/>
    <w:bookmarkEnd w:id="62"/>
    <w:p w:rsidR="00000000" w:rsidDel="00000000" w:rsidP="00000000" w:rsidRDefault="00000000" w:rsidRPr="00000000" w14:paraId="00000755">
      <w:pPr>
        <w:pStyle w:val="Heading4"/>
        <w:rPr>
          <w:i w:val="0"/>
          <w:color w:val="000000"/>
        </w:rPr>
      </w:pPr>
      <w:bookmarkStart w:colFirst="0" w:colLast="0" w:name="_heading=h.4bvk7pj" w:id="63"/>
      <w:bookmarkEnd w:id="63"/>
      <w:r w:rsidDel="00000000" w:rsidR="00000000" w:rsidRPr="00000000">
        <w:rPr>
          <w:i w:val="0"/>
          <w:color w:val="000000"/>
          <w:rtl w:val="0"/>
        </w:rPr>
        <w:t xml:space="preserve">Y-chromosomes</w:t>
      </w:r>
    </w:p>
    <w:p w:rsidR="00000000" w:rsidDel="00000000" w:rsidP="00000000" w:rsidRDefault="00000000" w:rsidRPr="00000000" w14:paraId="00000756">
      <w:pPr>
        <w:pBdr>
          <w:top w:space="0" w:sz="0" w:val="nil"/>
          <w:left w:space="0" w:sz="0" w:val="nil"/>
          <w:bottom w:space="0" w:sz="0" w:val="nil"/>
          <w:right w:space="0" w:sz="0" w:val="nil"/>
          <w:between w:space="0" w:sz="0" w:val="nil"/>
        </w:pBdr>
        <w:spacing w:after="180" w:before="180" w:line="240" w:lineRule="auto"/>
        <w:rPr>
          <w:color w:val="000000"/>
        </w:rPr>
      </w:pPr>
      <w:r w:rsidDel="00000000" w:rsidR="00000000" w:rsidRPr="00000000">
        <w:rPr>
          <w:color w:val="000000"/>
          <w:rtl w:val="0"/>
        </w:rPr>
        <w:t xml:space="preserve">We can now get the Y</w:t>
      </w:r>
      <w:r w:rsidDel="00000000" w:rsidR="00000000" w:rsidRPr="00000000">
        <w:rPr>
          <w:rtl w:val="0"/>
        </w:rPr>
        <w:t xml:space="preserve">-</w:t>
      </w:r>
      <w:r w:rsidDel="00000000" w:rsidR="00000000" w:rsidRPr="00000000">
        <w:rPr>
          <w:color w:val="000000"/>
          <w:rtl w:val="0"/>
        </w:rPr>
        <w:t xml:space="preserve">chromosome haplogroup frequencies in the two sources, and compute the probability of that haplogroup to come from source 2:</w:t>
      </w:r>
    </w:p>
    <w:p w:rsidR="00000000" w:rsidDel="00000000" w:rsidP="00000000" w:rsidRDefault="00000000" w:rsidRPr="00000000" w14:paraId="00000757">
      <w:pPr>
        <w:shd w:fill="f8f8f8" w:val="clear"/>
        <w:spacing w:after="200" w:line="240" w:lineRule="auto"/>
        <w:rPr>
          <w:shd w:fill="f8f8f8" w:val="clear"/>
        </w:rPr>
      </w:pPr>
      <w:r w:rsidDel="00000000" w:rsidR="00000000" w:rsidRPr="00000000">
        <w:rPr>
          <w:rFonts w:ascii="Consolas" w:cs="Consolas" w:eastAsia="Consolas" w:hAnsi="Consolas"/>
          <w:rtl w:val="0"/>
        </w:rPr>
        <w:t xml:space="preserve">## # A tibble: 14 × 4</w:t>
      </w:r>
      <w:r w:rsidDel="00000000" w:rsidR="00000000" w:rsidRPr="00000000">
        <w:rPr>
          <w:rFonts w:ascii="Cambria" w:cs="Cambria" w:eastAsia="Cambria" w:hAnsi="Cambria"/>
          <w:sz w:val="24"/>
          <w:szCs w:val="24"/>
          <w:rtl w:val="0"/>
        </w:rPr>
        <w:br w:type="textWrapping"/>
      </w:r>
      <w:r w:rsidDel="00000000" w:rsidR="00000000" w:rsidRPr="00000000">
        <w:rPr>
          <w:rFonts w:ascii="Consolas" w:cs="Consolas" w:eastAsia="Consolas" w:hAnsi="Consolas"/>
          <w:rtl w:val="0"/>
        </w:rPr>
        <w:t xml:space="preserve">##    Y_1         n1    n2 source2_prob</w:t>
      </w:r>
      <w:r w:rsidDel="00000000" w:rsidR="00000000" w:rsidRPr="00000000">
        <w:rPr>
          <w:rFonts w:ascii="Cambria" w:cs="Cambria" w:eastAsia="Cambria" w:hAnsi="Cambria"/>
          <w:sz w:val="24"/>
          <w:szCs w:val="24"/>
          <w:rtl w:val="0"/>
        </w:rPr>
        <w:br w:type="textWrapping"/>
      </w:r>
      <w:r w:rsidDel="00000000" w:rsidR="00000000" w:rsidRPr="00000000">
        <w:rPr>
          <w:rFonts w:ascii="Consolas" w:cs="Consolas" w:eastAsia="Consolas" w:hAnsi="Consolas"/>
          <w:rtl w:val="0"/>
        </w:rPr>
        <w:t xml:space="preserve">##    &lt;chr&gt;    &lt;int&gt; &lt;int&gt;        &lt;dbl&gt;</w:t>
      </w:r>
      <w:r w:rsidDel="00000000" w:rsidR="00000000" w:rsidRPr="00000000">
        <w:rPr>
          <w:rFonts w:ascii="Cambria" w:cs="Cambria" w:eastAsia="Cambria" w:hAnsi="Cambria"/>
          <w:sz w:val="24"/>
          <w:szCs w:val="24"/>
          <w:rtl w:val="0"/>
        </w:rPr>
        <w:br w:type="textWrapping"/>
      </w:r>
      <w:r w:rsidDel="00000000" w:rsidR="00000000" w:rsidRPr="00000000">
        <w:rPr>
          <w:rFonts w:ascii="Consolas" w:cs="Consolas" w:eastAsia="Consolas" w:hAnsi="Consolas"/>
          <w:rtl w:val="0"/>
        </w:rPr>
        <w:t xml:space="preserve">##  1 G            5     2        0.418</w:t>
      </w:r>
      <w:r w:rsidDel="00000000" w:rsidR="00000000" w:rsidRPr="00000000">
        <w:rPr>
          <w:rFonts w:ascii="Cambria" w:cs="Cambria" w:eastAsia="Cambria" w:hAnsi="Cambria"/>
          <w:sz w:val="24"/>
          <w:szCs w:val="24"/>
          <w:rtl w:val="0"/>
        </w:rPr>
        <w:br w:type="textWrapping"/>
      </w:r>
      <w:r w:rsidDel="00000000" w:rsidR="00000000" w:rsidRPr="00000000">
        <w:rPr>
          <w:rFonts w:ascii="Consolas" w:cs="Consolas" w:eastAsia="Consolas" w:hAnsi="Consolas"/>
          <w:rtl w:val="0"/>
        </w:rPr>
        <w:t xml:space="preserve">##  2 I1           4    61        0.947</w:t>
      </w:r>
      <w:r w:rsidDel="00000000" w:rsidR="00000000" w:rsidRPr="00000000">
        <w:rPr>
          <w:rFonts w:ascii="Cambria" w:cs="Cambria" w:eastAsia="Cambria" w:hAnsi="Cambria"/>
          <w:sz w:val="24"/>
          <w:szCs w:val="24"/>
          <w:rtl w:val="0"/>
        </w:rPr>
        <w:br w:type="textWrapping"/>
      </w:r>
      <w:r w:rsidDel="00000000" w:rsidR="00000000" w:rsidRPr="00000000">
        <w:rPr>
          <w:rFonts w:ascii="Consolas" w:cs="Consolas" w:eastAsia="Consolas" w:hAnsi="Consolas"/>
          <w:rtl w:val="0"/>
        </w:rPr>
        <w:t xml:space="preserve">##  3 I2a1a        3     3        0.590</w:t>
      </w:r>
      <w:r w:rsidDel="00000000" w:rsidR="00000000" w:rsidRPr="00000000">
        <w:rPr>
          <w:rFonts w:ascii="Cambria" w:cs="Cambria" w:eastAsia="Cambria" w:hAnsi="Cambria"/>
          <w:sz w:val="24"/>
          <w:szCs w:val="24"/>
          <w:rtl w:val="0"/>
        </w:rPr>
        <w:br w:type="textWrapping"/>
      </w:r>
      <w:r w:rsidDel="00000000" w:rsidR="00000000" w:rsidRPr="00000000">
        <w:rPr>
          <w:rFonts w:ascii="Consolas" w:cs="Consolas" w:eastAsia="Consolas" w:hAnsi="Consolas"/>
          <w:rtl w:val="0"/>
        </w:rPr>
        <w:t xml:space="preserve">##  4 I2a1b       10    14        0.662</w:t>
      </w:r>
      <w:r w:rsidDel="00000000" w:rsidR="00000000" w:rsidRPr="00000000">
        <w:rPr>
          <w:rFonts w:ascii="Cambria" w:cs="Cambria" w:eastAsia="Cambria" w:hAnsi="Cambria"/>
          <w:sz w:val="24"/>
          <w:szCs w:val="24"/>
          <w:rtl w:val="0"/>
        </w:rPr>
        <w:br w:type="textWrapping"/>
      </w:r>
      <w:r w:rsidDel="00000000" w:rsidR="00000000" w:rsidRPr="00000000">
        <w:rPr>
          <w:rFonts w:ascii="Consolas" w:cs="Consolas" w:eastAsia="Consolas" w:hAnsi="Consolas"/>
          <w:rtl w:val="0"/>
        </w:rPr>
        <w:t xml:space="preserve">##  5 J            1     4        0.782</w:t>
      </w:r>
      <w:r w:rsidDel="00000000" w:rsidR="00000000" w:rsidRPr="00000000">
        <w:rPr>
          <w:rFonts w:ascii="Cambria" w:cs="Cambria" w:eastAsia="Cambria" w:hAnsi="Cambria"/>
          <w:sz w:val="24"/>
          <w:szCs w:val="24"/>
          <w:rtl w:val="0"/>
        </w:rPr>
        <w:br w:type="textWrapping"/>
      </w:r>
      <w:r w:rsidDel="00000000" w:rsidR="00000000" w:rsidRPr="00000000">
        <w:rPr>
          <w:rFonts w:ascii="Consolas" w:cs="Consolas" w:eastAsia="Consolas" w:hAnsi="Consolas"/>
          <w:rtl w:val="0"/>
        </w:rPr>
        <w:t xml:space="preserve">##  6 R1b         19     7        0.365</w:t>
      </w:r>
      <w:r w:rsidDel="00000000" w:rsidR="00000000" w:rsidRPr="00000000">
        <w:rPr>
          <w:rFonts w:ascii="Cambria" w:cs="Cambria" w:eastAsia="Cambria" w:hAnsi="Cambria"/>
          <w:sz w:val="24"/>
          <w:szCs w:val="24"/>
          <w:rtl w:val="0"/>
        </w:rPr>
        <w:br w:type="textWrapping"/>
      </w:r>
      <w:r w:rsidDel="00000000" w:rsidR="00000000" w:rsidRPr="00000000">
        <w:rPr>
          <w:rFonts w:ascii="Consolas" w:cs="Consolas" w:eastAsia="Consolas" w:hAnsi="Consolas"/>
          <w:rtl w:val="0"/>
        </w:rPr>
        <w:t xml:space="preserve">##  7 R1b-L151     5     3        0.489</w:t>
      </w:r>
      <w:r w:rsidDel="00000000" w:rsidR="00000000" w:rsidRPr="00000000">
        <w:rPr>
          <w:rFonts w:ascii="Cambria" w:cs="Cambria" w:eastAsia="Cambria" w:hAnsi="Cambria"/>
          <w:sz w:val="24"/>
          <w:szCs w:val="24"/>
          <w:rtl w:val="0"/>
        </w:rPr>
        <w:br w:type="textWrapping"/>
      </w:r>
      <w:r w:rsidDel="00000000" w:rsidR="00000000" w:rsidRPr="00000000">
        <w:rPr>
          <w:rFonts w:ascii="Consolas" w:cs="Consolas" w:eastAsia="Consolas" w:hAnsi="Consolas"/>
          <w:rtl w:val="0"/>
        </w:rPr>
        <w:t xml:space="preserve">##  8 R1b-L51     10     3        0.343</w:t>
      </w:r>
      <w:r w:rsidDel="00000000" w:rsidR="00000000" w:rsidRPr="00000000">
        <w:rPr>
          <w:rFonts w:ascii="Cambria" w:cs="Cambria" w:eastAsia="Cambria" w:hAnsi="Cambria"/>
          <w:sz w:val="24"/>
          <w:szCs w:val="24"/>
          <w:rtl w:val="0"/>
        </w:rPr>
        <w:br w:type="textWrapping"/>
      </w:r>
      <w:r w:rsidDel="00000000" w:rsidR="00000000" w:rsidRPr="00000000">
        <w:rPr>
          <w:rFonts w:ascii="Consolas" w:cs="Consolas" w:eastAsia="Consolas" w:hAnsi="Consolas"/>
          <w:rtl w:val="0"/>
        </w:rPr>
        <w:t xml:space="preserve">##  9 R1b-P312   206    24        0.148</w:t>
      </w:r>
      <w:r w:rsidDel="00000000" w:rsidR="00000000" w:rsidRPr="00000000">
        <w:rPr>
          <w:rFonts w:ascii="Cambria" w:cs="Cambria" w:eastAsia="Cambria" w:hAnsi="Cambria"/>
          <w:sz w:val="24"/>
          <w:szCs w:val="24"/>
          <w:rtl w:val="0"/>
        </w:rPr>
        <w:br w:type="textWrapping"/>
      </w:r>
      <w:r w:rsidDel="00000000" w:rsidR="00000000" w:rsidRPr="00000000">
        <w:rPr>
          <w:rFonts w:ascii="Consolas" w:cs="Consolas" w:eastAsia="Consolas" w:hAnsi="Consolas"/>
          <w:rtl w:val="0"/>
        </w:rPr>
        <w:t xml:space="preserve">## 10 R1b-U106     3    59        0.956</w:t>
      </w:r>
      <w:r w:rsidDel="00000000" w:rsidR="00000000" w:rsidRPr="00000000">
        <w:rPr>
          <w:rFonts w:ascii="Cambria" w:cs="Cambria" w:eastAsia="Cambria" w:hAnsi="Cambria"/>
          <w:sz w:val="24"/>
          <w:szCs w:val="24"/>
          <w:rtl w:val="0"/>
        </w:rPr>
        <w:br w:type="textWrapping"/>
      </w:r>
      <w:r w:rsidDel="00000000" w:rsidR="00000000" w:rsidRPr="00000000">
        <w:rPr>
          <w:rFonts w:ascii="Consolas" w:cs="Consolas" w:eastAsia="Consolas" w:hAnsi="Consolas"/>
          <w:rtl w:val="0"/>
        </w:rPr>
        <w:t xml:space="preserve">## 11 E            0     3        0.852</w:t>
      </w:r>
      <w:r w:rsidDel="00000000" w:rsidR="00000000" w:rsidRPr="00000000">
        <w:rPr>
          <w:rFonts w:ascii="Cambria" w:cs="Cambria" w:eastAsia="Cambria" w:hAnsi="Cambria"/>
          <w:sz w:val="24"/>
          <w:szCs w:val="24"/>
          <w:rtl w:val="0"/>
        </w:rPr>
        <w:br w:type="textWrapping"/>
      </w:r>
      <w:r w:rsidDel="00000000" w:rsidR="00000000" w:rsidRPr="00000000">
        <w:rPr>
          <w:rFonts w:ascii="Consolas" w:cs="Consolas" w:eastAsia="Consolas" w:hAnsi="Consolas"/>
          <w:rtl w:val="0"/>
        </w:rPr>
        <w:t xml:space="preserve">## 12 I            0     3        0.852</w:t>
      </w:r>
      <w:r w:rsidDel="00000000" w:rsidR="00000000" w:rsidRPr="00000000">
        <w:rPr>
          <w:rFonts w:ascii="Cambria" w:cs="Cambria" w:eastAsia="Cambria" w:hAnsi="Cambria"/>
          <w:sz w:val="24"/>
          <w:szCs w:val="24"/>
          <w:rtl w:val="0"/>
        </w:rPr>
        <w:br w:type="textWrapping"/>
      </w:r>
      <w:r w:rsidDel="00000000" w:rsidR="00000000" w:rsidRPr="00000000">
        <w:rPr>
          <w:rFonts w:ascii="Consolas" w:cs="Consolas" w:eastAsia="Consolas" w:hAnsi="Consolas"/>
          <w:rtl w:val="0"/>
        </w:rPr>
        <w:t xml:space="preserve">## 13 N            0     1        0.742</w:t>
      </w:r>
      <w:r w:rsidDel="00000000" w:rsidR="00000000" w:rsidRPr="00000000">
        <w:rPr>
          <w:rFonts w:ascii="Cambria" w:cs="Cambria" w:eastAsia="Cambria" w:hAnsi="Cambria"/>
          <w:sz w:val="24"/>
          <w:szCs w:val="24"/>
          <w:rtl w:val="0"/>
        </w:rPr>
        <w:br w:type="textWrapping"/>
      </w:r>
      <w:r w:rsidDel="00000000" w:rsidR="00000000" w:rsidRPr="00000000">
        <w:rPr>
          <w:rFonts w:ascii="Consolas" w:cs="Consolas" w:eastAsia="Consolas" w:hAnsi="Consolas"/>
          <w:rtl w:val="0"/>
        </w:rPr>
        <w:t xml:space="preserve">## 14 R1a          0    10        0.940</w:t>
      </w:r>
      <w:r w:rsidDel="00000000" w:rsidR="00000000" w:rsidRPr="00000000">
        <w:rPr>
          <w:rtl w:val="0"/>
        </w:rPr>
      </w:r>
    </w:p>
    <w:p w:rsidR="00000000" w:rsidDel="00000000" w:rsidP="00000000" w:rsidRDefault="00000000" w:rsidRPr="00000000" w14:paraId="00000758">
      <w:pPr>
        <w:pBdr>
          <w:top w:space="0" w:sz="0" w:val="nil"/>
          <w:left w:space="0" w:sz="0" w:val="nil"/>
          <w:bottom w:space="0" w:sz="0" w:val="nil"/>
          <w:right w:space="0" w:sz="0" w:val="nil"/>
          <w:between w:space="0" w:sz="0" w:val="nil"/>
        </w:pBdr>
        <w:spacing w:after="180" w:before="180" w:line="240" w:lineRule="auto"/>
        <w:rPr>
          <w:color w:val="000000"/>
        </w:rPr>
      </w:pPr>
      <w:r w:rsidDel="00000000" w:rsidR="00000000" w:rsidRPr="00000000">
        <w:rPr>
          <w:color w:val="000000"/>
          <w:rtl w:val="0"/>
        </w:rPr>
        <w:t xml:space="preserve">None of the probabilities is lower than 5% or higher than 95%, suggesting that none of these haplogroups by themself is strictly indicative of male ancestry from a specific source. Nevertheless, we can view these probabilities as a function of autosomal admixture proportion:</w:t>
      </w:r>
    </w:p>
    <w:p w:rsidR="00000000" w:rsidDel="00000000" w:rsidP="00000000" w:rsidRDefault="00000000" w:rsidRPr="00000000" w14:paraId="00000759">
      <w:pPr>
        <w:spacing w:after="180" w:before="180" w:line="240" w:lineRule="auto"/>
        <w:rPr>
          <w:color w:val="000000"/>
          <w:sz w:val="24"/>
          <w:szCs w:val="24"/>
        </w:rPr>
      </w:pPr>
      <w:r w:rsidDel="00000000" w:rsidR="00000000" w:rsidRPr="00000000">
        <w:rPr>
          <w:rFonts w:ascii="Cambria" w:cs="Cambria" w:eastAsia="Cambria" w:hAnsi="Cambria"/>
          <w:sz w:val="24"/>
          <w:szCs w:val="24"/>
        </w:rPr>
        <w:drawing>
          <wp:inline distB="114300" distT="114300" distL="114300" distR="114300">
            <wp:extent cx="5760410" cy="4610100"/>
            <wp:effectExtent b="0" l="0" r="0" t="0"/>
            <wp:docPr id="182" name="image67.jpg"/>
            <a:graphic>
              <a:graphicData uri="http://schemas.openxmlformats.org/drawingml/2006/picture">
                <pic:pic>
                  <pic:nvPicPr>
                    <pic:cNvPr id="0" name="image67.jpg"/>
                    <pic:cNvPicPr preferRelativeResize="0"/>
                  </pic:nvPicPr>
                  <pic:blipFill>
                    <a:blip r:embed="rId137"/>
                    <a:srcRect b="0" l="0" r="0" t="0"/>
                    <a:stretch>
                      <a:fillRect/>
                    </a:stretch>
                  </pic:blipFill>
                  <pic:spPr>
                    <a:xfrm>
                      <a:off x="0" y="0"/>
                      <a:ext cx="5760410" cy="4610100"/>
                    </a:xfrm>
                    <a:prstGeom prst="rect"/>
                    <a:ln/>
                  </pic:spPr>
                </pic:pic>
              </a:graphicData>
            </a:graphic>
          </wp:inline>
        </w:drawing>
      </w:r>
      <w:r w:rsidDel="00000000" w:rsidR="00000000" w:rsidRPr="00000000">
        <w:rPr>
          <w:rtl w:val="0"/>
        </w:rPr>
      </w:r>
    </w:p>
    <w:p w:rsidR="00000000" w:rsidDel="00000000" w:rsidP="00000000" w:rsidRDefault="00000000" w:rsidRPr="00000000" w14:paraId="0000075A">
      <w:pPr>
        <w:pBdr>
          <w:top w:space="0" w:sz="0" w:val="nil"/>
          <w:left w:space="0" w:sz="0" w:val="nil"/>
          <w:bottom w:space="0" w:sz="0" w:val="nil"/>
          <w:right w:space="0" w:sz="0" w:val="nil"/>
          <w:between w:space="0" w:sz="0" w:val="nil"/>
        </w:pBdr>
        <w:spacing w:after="200" w:line="240" w:lineRule="auto"/>
        <w:rPr>
          <w:b w:val="1"/>
          <w:i w:val="1"/>
          <w:sz w:val="18"/>
          <w:szCs w:val="18"/>
        </w:rPr>
      </w:pPr>
      <w:r w:rsidDel="00000000" w:rsidR="00000000" w:rsidRPr="00000000">
        <w:rPr>
          <w:b w:val="1"/>
          <w:i w:val="1"/>
          <w:sz w:val="18"/>
          <w:szCs w:val="18"/>
          <w:rtl w:val="0"/>
        </w:rPr>
        <w:t xml:space="preserve">Supplementary Figure 2.12, Y-chromosome haplogroup origin probabilities as a function of autosomal aCNE admixture proportion.</w:t>
      </w:r>
    </w:p>
    <w:p w:rsidR="00000000" w:rsidDel="00000000" w:rsidP="00000000" w:rsidRDefault="00000000" w:rsidRPr="00000000" w14:paraId="0000075B">
      <w:pPr>
        <w:pBdr>
          <w:top w:space="0" w:sz="0" w:val="nil"/>
          <w:left w:space="0" w:sz="0" w:val="nil"/>
          <w:bottom w:space="0" w:sz="0" w:val="nil"/>
          <w:right w:space="0" w:sz="0" w:val="nil"/>
          <w:between w:space="0" w:sz="0" w:val="nil"/>
        </w:pBdr>
        <w:spacing w:after="180" w:before="180" w:line="240" w:lineRule="auto"/>
        <w:rPr>
          <w:color w:val="000000"/>
        </w:rPr>
      </w:pPr>
      <w:r w:rsidDel="00000000" w:rsidR="00000000" w:rsidRPr="00000000">
        <w:rPr>
          <w:color w:val="000000"/>
          <w:rtl w:val="0"/>
        </w:rPr>
        <w:t xml:space="preserve">To understand this data, we set up a model with two parameters: The first parameter, </w:t>
      </w:r>
      <m:oMath>
        <m:r>
          <m:t>α</m:t>
        </m:r>
      </m:oMath>
      <w:r w:rsidDel="00000000" w:rsidR="00000000" w:rsidRPr="00000000">
        <w:rPr>
          <w:color w:val="000000"/>
          <w:rtl w:val="0"/>
        </w:rPr>
        <w:t xml:space="preserve">, determines the amount of an individual’s CNE ancestry (Source 2). The second parameter, </w:t>
      </w:r>
      <m:oMath>
        <m:r>
          <m:t>β</m:t>
        </m:r>
      </m:oMath>
      <w:r w:rsidDel="00000000" w:rsidR="00000000" w:rsidRPr="00000000">
        <w:rPr>
          <w:color w:val="000000"/>
          <w:rtl w:val="0"/>
        </w:rPr>
        <w:t xml:space="preserve"> determines the proportion of males within Source 2, with </w:t>
      </w:r>
      <m:oMath>
        <m:r>
          <w:rPr>
            <w:rFonts w:ascii="Cambria Math" w:cs="Cambria Math" w:eastAsia="Cambria Math" w:hAnsi="Cambria Math"/>
            <w:color w:val="000000"/>
          </w:rPr>
          <m:t xml:space="preserve">1-β</m:t>
        </m:r>
      </m:oMath>
      <w:r w:rsidDel="00000000" w:rsidR="00000000" w:rsidRPr="00000000">
        <w:rPr>
          <w:color w:val="000000"/>
          <w:rtl w:val="0"/>
        </w:rPr>
        <w:t xml:space="preserve"> being the proportion of males within Source 1. Here is a schematic:</w:t>
      </w:r>
    </w:p>
    <w:p w:rsidR="00000000" w:rsidDel="00000000" w:rsidP="00000000" w:rsidRDefault="00000000" w:rsidRPr="00000000" w14:paraId="0000075C">
      <w:pPr>
        <w:keepNext w:val="1"/>
        <w:pBdr>
          <w:top w:space="0" w:sz="0" w:val="nil"/>
          <w:left w:space="0" w:sz="0" w:val="nil"/>
          <w:bottom w:space="0" w:sz="0" w:val="nil"/>
          <w:right w:space="0" w:sz="0" w:val="nil"/>
          <w:between w:space="0" w:sz="0" w:val="nil"/>
        </w:pBdr>
        <w:spacing w:after="200" w:line="240" w:lineRule="auto"/>
        <w:rPr>
          <w:color w:val="000000"/>
          <w:sz w:val="24"/>
          <w:szCs w:val="24"/>
        </w:rPr>
      </w:pPr>
      <w:r w:rsidDel="00000000" w:rsidR="00000000" w:rsidRPr="00000000">
        <w:rPr>
          <w:color w:val="000000"/>
          <w:sz w:val="24"/>
          <w:szCs w:val="24"/>
        </w:rPr>
        <w:drawing>
          <wp:inline distB="0" distT="0" distL="0" distR="0">
            <wp:extent cx="5334000" cy="2281653"/>
            <wp:effectExtent b="0" l="0" r="0" t="0"/>
            <wp:docPr descr="A schematic of our sex-bias model and its two parameters \alpha and \beta" id="137" name="image22.jpg"/>
            <a:graphic>
              <a:graphicData uri="http://schemas.openxmlformats.org/drawingml/2006/picture">
                <pic:pic>
                  <pic:nvPicPr>
                    <pic:cNvPr descr="A schematic of our sex-bias model and its two parameters \alpha and \beta" id="0" name="image22.jpg"/>
                    <pic:cNvPicPr preferRelativeResize="0"/>
                  </pic:nvPicPr>
                  <pic:blipFill>
                    <a:blip r:embed="rId138"/>
                    <a:srcRect b="0" l="0" r="0" t="0"/>
                    <a:stretch>
                      <a:fillRect/>
                    </a:stretch>
                  </pic:blipFill>
                  <pic:spPr>
                    <a:xfrm>
                      <a:off x="0" y="0"/>
                      <a:ext cx="5334000" cy="2281653"/>
                    </a:xfrm>
                    <a:prstGeom prst="rect"/>
                    <a:ln/>
                  </pic:spPr>
                </pic:pic>
              </a:graphicData>
            </a:graphic>
          </wp:inline>
        </w:drawing>
      </w:r>
      <w:r w:rsidDel="00000000" w:rsidR="00000000" w:rsidRPr="00000000">
        <w:rPr>
          <w:rtl w:val="0"/>
        </w:rPr>
      </w:r>
    </w:p>
    <w:p w:rsidR="00000000" w:rsidDel="00000000" w:rsidP="00000000" w:rsidRDefault="00000000" w:rsidRPr="00000000" w14:paraId="0000075D">
      <w:pPr>
        <w:pBdr>
          <w:top w:space="0" w:sz="0" w:val="nil"/>
          <w:left w:space="0" w:sz="0" w:val="nil"/>
          <w:bottom w:space="0" w:sz="0" w:val="nil"/>
          <w:right w:space="0" w:sz="0" w:val="nil"/>
          <w:between w:space="0" w:sz="0" w:val="nil"/>
        </w:pBdr>
        <w:spacing w:after="200" w:line="240" w:lineRule="auto"/>
        <w:rPr>
          <w:b w:val="1"/>
          <w:i w:val="1"/>
          <w:sz w:val="18"/>
          <w:szCs w:val="18"/>
        </w:rPr>
      </w:pPr>
      <w:r w:rsidDel="00000000" w:rsidR="00000000" w:rsidRPr="00000000">
        <w:rPr>
          <w:b w:val="1"/>
          <w:i w:val="1"/>
          <w:sz w:val="18"/>
          <w:szCs w:val="18"/>
          <w:rtl w:val="0"/>
        </w:rPr>
        <w:t xml:space="preserve">Supplementary Figure 2.13, Schematic of our sex-bias model and its two parameters α and β.</w:t>
      </w:r>
    </w:p>
    <w:p w:rsidR="00000000" w:rsidDel="00000000" w:rsidP="00000000" w:rsidRDefault="00000000" w:rsidRPr="00000000" w14:paraId="0000075E">
      <w:pPr>
        <w:pBdr>
          <w:top w:space="0" w:sz="0" w:val="nil"/>
          <w:left w:space="0" w:sz="0" w:val="nil"/>
          <w:bottom w:space="0" w:sz="0" w:val="nil"/>
          <w:right w:space="0" w:sz="0" w:val="nil"/>
          <w:between w:space="0" w:sz="0" w:val="nil"/>
        </w:pBdr>
        <w:spacing w:after="180" w:before="180" w:line="240" w:lineRule="auto"/>
        <w:rPr>
          <w:color w:val="000000"/>
        </w:rPr>
      </w:pPr>
      <w:r w:rsidDel="00000000" w:rsidR="00000000" w:rsidRPr="00000000">
        <w:rPr>
          <w:color w:val="000000"/>
          <w:rtl w:val="0"/>
        </w:rPr>
        <w:t xml:space="preserve">This leads to a simple calculation of male Source2-related ancestry over total male ancestry, </w:t>
      </w:r>
      <m:oMath>
        <m:r>
          <m:t>γ</m:t>
        </m:r>
      </m:oMath>
      <w:r w:rsidDel="00000000" w:rsidR="00000000" w:rsidRPr="00000000">
        <w:rPr>
          <w:color w:val="000000"/>
          <w:rtl w:val="0"/>
        </w:rPr>
        <w:t xml:space="preserve">:</w:t>
      </w:r>
    </w:p>
    <w:p w:rsidR="00000000" w:rsidDel="00000000" w:rsidP="00000000" w:rsidRDefault="00000000" w:rsidRPr="00000000" w14:paraId="0000075F">
      <w:pPr>
        <w:jc w:val="center"/>
        <w:rPr>
          <w:rFonts w:ascii="Cambria Math" w:cs="Cambria Math" w:eastAsia="Cambria Math" w:hAnsi="Cambria Math"/>
          <w:color w:val="000000"/>
          <w:sz w:val="24"/>
          <w:szCs w:val="24"/>
        </w:rPr>
      </w:pPr>
      <m:oMath>
        <m:r>
          <m:t>γ</m:t>
        </m:r>
        <m:d>
          <m:dPr>
            <m:begChr m:val="("/>
            <m:endChr m:val=")"/>
            <m:ctrlPr>
              <w:rPr>
                <w:rFonts w:ascii="Cambria Math" w:cs="Cambria Math" w:eastAsia="Cambria Math" w:hAnsi="Cambria Math"/>
                <w:color w:val="000000"/>
                <w:sz w:val="24"/>
                <w:szCs w:val="24"/>
              </w:rPr>
            </m:ctrlPr>
          </m:dPr>
          <m:e>
            <m:r>
              <m:t>α</m:t>
            </m:r>
            <m:r>
              <w:rPr>
                <w:rFonts w:ascii="Cambria Math" w:cs="Cambria Math" w:eastAsia="Cambria Math" w:hAnsi="Cambria Math"/>
                <w:color w:val="000000"/>
                <w:sz w:val="24"/>
                <w:szCs w:val="24"/>
              </w:rPr>
              <m:t xml:space="preserve">,β</m:t>
            </m:r>
          </m:e>
        </m:d>
        <m:r>
          <w:rPr>
            <w:rFonts w:ascii="Cambria Math" w:cs="Cambria Math" w:eastAsia="Cambria Math" w:hAnsi="Cambria Math"/>
            <w:color w:val="000000"/>
            <w:sz w:val="24"/>
            <w:szCs w:val="24"/>
          </w:rPr>
          <m:t xml:space="preserve">=</m:t>
        </m:r>
        <m:f>
          <m:fPr>
            <m:ctrlPr>
              <w:rPr>
                <w:rFonts w:ascii="Cambria Math" w:cs="Cambria Math" w:eastAsia="Cambria Math" w:hAnsi="Cambria Math"/>
                <w:color w:val="000000"/>
                <w:sz w:val="24"/>
                <w:szCs w:val="24"/>
              </w:rPr>
            </m:ctrlPr>
          </m:fPr>
          <m:num>
            <m:r>
              <w:rPr>
                <w:rFonts w:ascii="Cambria Math" w:cs="Cambria Math" w:eastAsia="Cambria Math" w:hAnsi="Cambria Math"/>
                <w:color w:val="000000"/>
                <w:sz w:val="24"/>
                <w:szCs w:val="24"/>
              </w:rPr>
              <m:t xml:space="preserve">βα</m:t>
            </m:r>
          </m:num>
          <m:den>
            <m:r>
              <w:rPr>
                <w:rFonts w:ascii="Cambria Math" w:cs="Cambria Math" w:eastAsia="Cambria Math" w:hAnsi="Cambria Math"/>
                <w:color w:val="000000"/>
                <w:sz w:val="24"/>
                <w:szCs w:val="24"/>
              </w:rPr>
              <m:t xml:space="preserve">βα+</m:t>
            </m:r>
            <m:d>
              <m:dPr>
                <m:begChr m:val="("/>
                <m:endChr m:val=")"/>
                <m:ctrlPr>
                  <w:rPr>
                    <w:rFonts w:ascii="Cambria Math" w:cs="Cambria Math" w:eastAsia="Cambria Math" w:hAnsi="Cambria Math"/>
                    <w:color w:val="000000"/>
                    <w:sz w:val="24"/>
                    <w:szCs w:val="24"/>
                  </w:rPr>
                </m:ctrlPr>
              </m:dPr>
              <m:e>
                <m:r>
                  <w:rPr>
                    <w:rFonts w:ascii="Cambria Math" w:cs="Cambria Math" w:eastAsia="Cambria Math" w:hAnsi="Cambria Math"/>
                    <w:color w:val="000000"/>
                    <w:sz w:val="24"/>
                    <w:szCs w:val="24"/>
                  </w:rPr>
                  <m:t xml:space="preserve">1-β</m:t>
                </m:r>
              </m:e>
            </m:d>
            <m:d>
              <m:dPr>
                <m:begChr m:val="("/>
                <m:endChr m:val=")"/>
                <m:ctrlPr>
                  <w:rPr>
                    <w:rFonts w:ascii="Cambria Math" w:cs="Cambria Math" w:eastAsia="Cambria Math" w:hAnsi="Cambria Math"/>
                    <w:color w:val="000000"/>
                    <w:sz w:val="24"/>
                    <w:szCs w:val="24"/>
                  </w:rPr>
                </m:ctrlPr>
              </m:dPr>
              <m:e>
                <m:r>
                  <w:rPr>
                    <w:rFonts w:ascii="Cambria Math" w:cs="Cambria Math" w:eastAsia="Cambria Math" w:hAnsi="Cambria Math"/>
                    <w:color w:val="000000"/>
                    <w:sz w:val="24"/>
                    <w:szCs w:val="24"/>
                  </w:rPr>
                  <m:t xml:space="preserve">1-α</m:t>
                </m:r>
              </m:e>
            </m:d>
          </m:den>
        </m:f>
      </m:oMath>
      <w:r w:rsidDel="00000000" w:rsidR="00000000" w:rsidRPr="00000000">
        <w:rPr>
          <w:rtl w:val="0"/>
        </w:rPr>
      </w:r>
    </w:p>
    <w:p w:rsidR="00000000" w:rsidDel="00000000" w:rsidP="00000000" w:rsidRDefault="00000000" w:rsidRPr="00000000" w14:paraId="00000760">
      <w:pPr>
        <w:pBdr>
          <w:top w:space="0" w:sz="0" w:val="nil"/>
          <w:left w:space="0" w:sz="0" w:val="nil"/>
          <w:bottom w:space="0" w:sz="0" w:val="nil"/>
          <w:right w:space="0" w:sz="0" w:val="nil"/>
          <w:between w:space="0" w:sz="0" w:val="nil"/>
        </w:pBdr>
        <w:spacing w:after="180" w:before="180" w:line="240" w:lineRule="auto"/>
        <w:rPr>
          <w:color w:val="000000"/>
        </w:rPr>
      </w:pPr>
      <w:r w:rsidDel="00000000" w:rsidR="00000000" w:rsidRPr="00000000">
        <w:rPr>
          <w:color w:val="000000"/>
          <w:rtl w:val="0"/>
        </w:rPr>
        <w:t xml:space="preserve">We can visualize this model as follows:</w:t>
      </w:r>
    </w:p>
    <w:p w:rsidR="00000000" w:rsidDel="00000000" w:rsidP="00000000" w:rsidRDefault="00000000" w:rsidRPr="00000000" w14:paraId="00000761">
      <w:pPr>
        <w:keepNext w:val="1"/>
        <w:pBdr>
          <w:top w:space="0" w:sz="0" w:val="nil"/>
          <w:left w:space="0" w:sz="0" w:val="nil"/>
          <w:bottom w:space="0" w:sz="0" w:val="nil"/>
          <w:right w:space="0" w:sz="0" w:val="nil"/>
          <w:between w:space="0" w:sz="0" w:val="nil"/>
        </w:pBdr>
        <w:spacing w:after="180" w:before="180" w:line="240" w:lineRule="auto"/>
        <w:rPr>
          <w:color w:val="000000"/>
          <w:sz w:val="24"/>
          <w:szCs w:val="24"/>
        </w:rPr>
      </w:pPr>
      <w:r w:rsidDel="00000000" w:rsidR="00000000" w:rsidRPr="00000000">
        <w:rPr>
          <w:sz w:val="24"/>
          <w:szCs w:val="24"/>
        </w:rPr>
        <w:drawing>
          <wp:inline distB="114300" distT="114300" distL="114300" distR="114300">
            <wp:extent cx="5760410" cy="4610100"/>
            <wp:effectExtent b="0" l="0" r="0" t="0"/>
            <wp:docPr id="139" name="image24.jpg"/>
            <a:graphic>
              <a:graphicData uri="http://schemas.openxmlformats.org/drawingml/2006/picture">
                <pic:pic>
                  <pic:nvPicPr>
                    <pic:cNvPr id="0" name="image24.jpg"/>
                    <pic:cNvPicPr preferRelativeResize="0"/>
                  </pic:nvPicPr>
                  <pic:blipFill>
                    <a:blip r:embed="rId139"/>
                    <a:srcRect b="0" l="0" r="0" t="0"/>
                    <a:stretch>
                      <a:fillRect/>
                    </a:stretch>
                  </pic:blipFill>
                  <pic:spPr>
                    <a:xfrm>
                      <a:off x="0" y="0"/>
                      <a:ext cx="5760410" cy="4610100"/>
                    </a:xfrm>
                    <a:prstGeom prst="rect"/>
                    <a:ln/>
                  </pic:spPr>
                </pic:pic>
              </a:graphicData>
            </a:graphic>
          </wp:inline>
        </w:drawing>
      </w:r>
      <w:r w:rsidDel="00000000" w:rsidR="00000000" w:rsidRPr="00000000">
        <w:rPr>
          <w:rtl w:val="0"/>
        </w:rPr>
      </w:r>
    </w:p>
    <w:p w:rsidR="00000000" w:rsidDel="00000000" w:rsidP="00000000" w:rsidRDefault="00000000" w:rsidRPr="00000000" w14:paraId="00000762">
      <w:pPr>
        <w:pBdr>
          <w:top w:space="0" w:sz="0" w:val="nil"/>
          <w:left w:space="0" w:sz="0" w:val="nil"/>
          <w:bottom w:space="0" w:sz="0" w:val="nil"/>
          <w:right w:space="0" w:sz="0" w:val="nil"/>
          <w:between w:space="0" w:sz="0" w:val="nil"/>
        </w:pBdr>
        <w:spacing w:after="200" w:line="240" w:lineRule="auto"/>
        <w:rPr>
          <w:b w:val="1"/>
          <w:i w:val="1"/>
          <w:sz w:val="18"/>
          <w:szCs w:val="18"/>
        </w:rPr>
      </w:pPr>
      <w:r w:rsidDel="00000000" w:rsidR="00000000" w:rsidRPr="00000000">
        <w:rPr>
          <w:b w:val="1"/>
          <w:i w:val="1"/>
          <w:sz w:val="18"/>
          <w:szCs w:val="18"/>
          <w:rtl w:val="0"/>
        </w:rPr>
        <w:t xml:space="preserve">Supplementary Figure 2.14, showing the proportion of male ancestry from Source 2 over total male ancestry, as a function of the admixture proportion alpha, for different values of the sex-bias parameter beta.</w:t>
      </w:r>
    </w:p>
    <w:p w:rsidR="00000000" w:rsidDel="00000000" w:rsidP="00000000" w:rsidRDefault="00000000" w:rsidRPr="00000000" w14:paraId="00000763">
      <w:pPr>
        <w:pBdr>
          <w:top w:space="0" w:sz="0" w:val="nil"/>
          <w:left w:space="0" w:sz="0" w:val="nil"/>
          <w:bottom w:space="0" w:sz="0" w:val="nil"/>
          <w:right w:space="0" w:sz="0" w:val="nil"/>
          <w:between w:space="0" w:sz="0" w:val="nil"/>
        </w:pBdr>
        <w:spacing w:after="180" w:before="180" w:line="240" w:lineRule="auto"/>
        <w:rPr>
          <w:color w:val="000000"/>
        </w:rPr>
      </w:pPr>
      <w:r w:rsidDel="00000000" w:rsidR="00000000" w:rsidRPr="00000000">
        <w:rPr>
          <w:color w:val="000000"/>
          <w:rtl w:val="0"/>
        </w:rPr>
        <w:t xml:space="preserve">which shows that values of </w:t>
      </w:r>
      <m:oMath>
        <m:r>
          <m:t>β</m:t>
        </m:r>
      </m:oMath>
      <w:r w:rsidDel="00000000" w:rsidR="00000000" w:rsidRPr="00000000">
        <w:rPr>
          <w:color w:val="000000"/>
          <w:rtl w:val="0"/>
        </w:rPr>
        <w:t xml:space="preserve"> different from 0.5 can increase or decrease the male admixture proportion and deviate the curve from a model without sex-bias (a straight line).</w:t>
      </w:r>
    </w:p>
    <w:p w:rsidR="00000000" w:rsidDel="00000000" w:rsidP="00000000" w:rsidRDefault="00000000" w:rsidRPr="00000000" w14:paraId="00000764">
      <w:pPr>
        <w:pBdr>
          <w:top w:space="0" w:sz="0" w:val="nil"/>
          <w:left w:space="0" w:sz="0" w:val="nil"/>
          <w:bottom w:space="0" w:sz="0" w:val="nil"/>
          <w:right w:space="0" w:sz="0" w:val="nil"/>
          <w:between w:space="0" w:sz="0" w:val="nil"/>
        </w:pBdr>
        <w:spacing w:after="180" w:before="180" w:line="240" w:lineRule="auto"/>
        <w:rPr>
          <w:color w:val="000000"/>
        </w:rPr>
      </w:pPr>
      <w:r w:rsidDel="00000000" w:rsidR="00000000" w:rsidRPr="00000000">
        <w:rPr>
          <w:color w:val="000000"/>
          <w:rtl w:val="0"/>
        </w:rPr>
        <w:t xml:space="preserve">In order to estimate </w:t>
      </w:r>
      <m:oMath>
        <m:r>
          <m:t>β</m:t>
        </m:r>
      </m:oMath>
      <w:r w:rsidDel="00000000" w:rsidR="00000000" w:rsidRPr="00000000">
        <w:rPr>
          <w:color w:val="000000"/>
          <w:rtl w:val="0"/>
        </w:rPr>
        <w:t xml:space="preserve"> from the data, we use our above derived individual-based likelihood model of a haplogroup coming from Source2. The likelihood for a single individual with haplogroup H and an autosomal admixture estimate </w:t>
      </w:r>
      <m:oMath>
        <m:r>
          <m:t>α</m:t>
        </m:r>
      </m:oMath>
      <w:r w:rsidDel="00000000" w:rsidR="00000000" w:rsidRPr="00000000">
        <w:rPr>
          <w:color w:val="000000"/>
          <w:rtl w:val="0"/>
        </w:rPr>
        <w:t xml:space="preserve"> is</w:t>
      </w:r>
    </w:p>
    <w:p w:rsidR="00000000" w:rsidDel="00000000" w:rsidP="00000000" w:rsidRDefault="00000000" w:rsidRPr="00000000" w14:paraId="00000765">
      <w:pPr>
        <w:jc w:val="center"/>
        <w:rPr>
          <w:rFonts w:ascii="Cambria Math" w:cs="Cambria Math" w:eastAsia="Cambria Math" w:hAnsi="Cambria Math"/>
          <w:color w:val="000000"/>
          <w:sz w:val="24"/>
          <w:szCs w:val="24"/>
        </w:rPr>
      </w:pPr>
      <m:oMath>
        <m:r>
          <w:rPr>
            <w:rFonts w:ascii="Cambria Math" w:cs="Cambria Math" w:eastAsia="Cambria Math" w:hAnsi="Cambria Math"/>
            <w:color w:val="000000"/>
            <w:sz w:val="24"/>
            <w:szCs w:val="24"/>
          </w:rPr>
          <m:t xml:space="preserve">L</m:t>
        </m:r>
        <m:d>
          <m:dPr>
            <m:begChr m:val="("/>
            <m:endChr m:val=")"/>
            <m:ctrlPr>
              <w:rPr>
                <w:rFonts w:ascii="Cambria Math" w:cs="Cambria Math" w:eastAsia="Cambria Math" w:hAnsi="Cambria Math"/>
                <w:color w:val="000000"/>
                <w:sz w:val="24"/>
                <w:szCs w:val="24"/>
              </w:rPr>
            </m:ctrlPr>
          </m:dPr>
          <m:e>
            <m:r>
              <w:rPr>
                <w:rFonts w:ascii="Cambria Math" w:cs="Cambria Math" w:eastAsia="Cambria Math" w:hAnsi="Cambria Math"/>
                <w:color w:val="000000"/>
                <w:sz w:val="24"/>
                <w:szCs w:val="24"/>
              </w:rPr>
              <m:t xml:space="preserve">H|α,β,N</m:t>
            </m:r>
          </m:e>
        </m:d>
        <m:r>
          <w:rPr>
            <w:rFonts w:ascii="Cambria Math" w:cs="Cambria Math" w:eastAsia="Cambria Math" w:hAnsi="Cambria Math"/>
            <w:color w:val="000000"/>
            <w:sz w:val="24"/>
            <w:szCs w:val="24"/>
          </w:rPr>
          <m:t xml:space="preserve">=γ</m:t>
        </m:r>
        <m:d>
          <m:dPr>
            <m:begChr m:val="("/>
            <m:endChr m:val=")"/>
            <m:ctrlPr>
              <w:rPr>
                <w:rFonts w:ascii="Cambria Math" w:cs="Cambria Math" w:eastAsia="Cambria Math" w:hAnsi="Cambria Math"/>
                <w:color w:val="000000"/>
                <w:sz w:val="24"/>
                <w:szCs w:val="24"/>
              </w:rPr>
            </m:ctrlPr>
          </m:dPr>
          <m:e>
            <m:r>
              <w:rPr>
                <w:rFonts w:ascii="Cambria Math" w:cs="Cambria Math" w:eastAsia="Cambria Math" w:hAnsi="Cambria Math"/>
                <w:color w:val="000000"/>
                <w:sz w:val="24"/>
                <w:szCs w:val="24"/>
              </w:rPr>
              <m:t xml:space="preserve">α,β</m:t>
            </m:r>
          </m:e>
        </m:d>
        <m:r>
          <w:rPr>
            <w:rFonts w:ascii="Cambria Math" w:cs="Cambria Math" w:eastAsia="Cambria Math" w:hAnsi="Cambria Math"/>
            <w:color w:val="000000"/>
            <w:sz w:val="24"/>
            <w:szCs w:val="24"/>
          </w:rPr>
          <m:t xml:space="preserve">p</m:t>
        </m:r>
        <m:d>
          <m:dPr>
            <m:begChr m:val="("/>
            <m:endChr m:val=")"/>
            <m:ctrlPr>
              <w:rPr>
                <w:rFonts w:ascii="Cambria Math" w:cs="Cambria Math" w:eastAsia="Cambria Math" w:hAnsi="Cambria Math"/>
                <w:color w:val="000000"/>
                <w:sz w:val="24"/>
                <w:szCs w:val="24"/>
              </w:rPr>
            </m:ctrlPr>
          </m:dPr>
          <m:e>
            <m:r>
              <w:rPr>
                <w:rFonts w:ascii="Cambria Math" w:cs="Cambria Math" w:eastAsia="Cambria Math" w:hAnsi="Cambria Math"/>
                <w:color w:val="000000"/>
                <w:sz w:val="24"/>
                <w:szCs w:val="24"/>
              </w:rPr>
              <m:t xml:space="preserve">2|N</m:t>
            </m:r>
          </m:e>
        </m:d>
        <m:r>
          <w:rPr>
            <w:rFonts w:ascii="Cambria Math" w:cs="Cambria Math" w:eastAsia="Cambria Math" w:hAnsi="Cambria Math"/>
            <w:color w:val="000000"/>
            <w:sz w:val="24"/>
            <w:szCs w:val="24"/>
          </w:rPr>
          <m:t xml:space="preserve">+</m:t>
        </m:r>
        <m:d>
          <m:dPr>
            <m:begChr m:val="("/>
            <m:endChr m:val=")"/>
            <m:ctrlPr>
              <w:rPr>
                <w:rFonts w:ascii="Cambria Math" w:cs="Cambria Math" w:eastAsia="Cambria Math" w:hAnsi="Cambria Math"/>
                <w:color w:val="000000"/>
                <w:sz w:val="24"/>
                <w:szCs w:val="24"/>
              </w:rPr>
            </m:ctrlPr>
          </m:dPr>
          <m:e>
            <m:r>
              <w:rPr>
                <w:rFonts w:ascii="Cambria Math" w:cs="Cambria Math" w:eastAsia="Cambria Math" w:hAnsi="Cambria Math"/>
                <w:color w:val="000000"/>
                <w:sz w:val="24"/>
                <w:szCs w:val="24"/>
              </w:rPr>
              <m:t xml:space="preserve">1-γ</m:t>
            </m:r>
            <m:d>
              <m:dPr>
                <m:begChr m:val="("/>
                <m:endChr m:val=")"/>
                <m:ctrlPr>
                  <w:rPr>
                    <w:rFonts w:ascii="Cambria Math" w:cs="Cambria Math" w:eastAsia="Cambria Math" w:hAnsi="Cambria Math"/>
                    <w:color w:val="000000"/>
                    <w:sz w:val="24"/>
                    <w:szCs w:val="24"/>
                  </w:rPr>
                </m:ctrlPr>
              </m:dPr>
              <m:e>
                <m:r>
                  <w:rPr>
                    <w:rFonts w:ascii="Cambria Math" w:cs="Cambria Math" w:eastAsia="Cambria Math" w:hAnsi="Cambria Math"/>
                    <w:color w:val="000000"/>
                    <w:sz w:val="24"/>
                    <w:szCs w:val="24"/>
                  </w:rPr>
                  <m:t xml:space="preserve">α,β</m:t>
                </m:r>
              </m:e>
            </m:d>
          </m:e>
        </m:d>
        <m:r>
          <w:rPr>
            <w:rFonts w:ascii="Cambria Math" w:cs="Cambria Math" w:eastAsia="Cambria Math" w:hAnsi="Cambria Math"/>
            <w:color w:val="000000"/>
            <w:sz w:val="24"/>
            <w:szCs w:val="24"/>
          </w:rPr>
          <m:t xml:space="preserve">p</m:t>
        </m:r>
        <m:d>
          <m:dPr>
            <m:begChr m:val="("/>
            <m:endChr m:val=")"/>
            <m:ctrlPr>
              <w:rPr>
                <w:rFonts w:ascii="Cambria Math" w:cs="Cambria Math" w:eastAsia="Cambria Math" w:hAnsi="Cambria Math"/>
                <w:color w:val="000000"/>
                <w:sz w:val="24"/>
                <w:szCs w:val="24"/>
              </w:rPr>
            </m:ctrlPr>
          </m:dPr>
          <m:e>
            <m:r>
              <w:rPr>
                <w:rFonts w:ascii="Cambria Math" w:cs="Cambria Math" w:eastAsia="Cambria Math" w:hAnsi="Cambria Math"/>
                <w:color w:val="000000"/>
                <w:sz w:val="24"/>
                <w:szCs w:val="24"/>
              </w:rPr>
              <m:t xml:space="preserve">1|N</m:t>
            </m:r>
          </m:e>
        </m:d>
      </m:oMath>
      <w:r w:rsidDel="00000000" w:rsidR="00000000" w:rsidRPr="00000000">
        <w:rPr>
          <w:rtl w:val="0"/>
        </w:rPr>
      </w:r>
    </w:p>
    <w:p w:rsidR="00000000" w:rsidDel="00000000" w:rsidP="00000000" w:rsidRDefault="00000000" w:rsidRPr="00000000" w14:paraId="00000766">
      <w:pPr>
        <w:pBdr>
          <w:top w:space="0" w:sz="0" w:val="nil"/>
          <w:left w:space="0" w:sz="0" w:val="nil"/>
          <w:bottom w:space="0" w:sz="0" w:val="nil"/>
          <w:right w:space="0" w:sz="0" w:val="nil"/>
          <w:between w:space="0" w:sz="0" w:val="nil"/>
        </w:pBdr>
        <w:spacing w:after="180" w:before="180" w:line="240" w:lineRule="auto"/>
        <w:rPr>
          <w:color w:val="000000"/>
        </w:rPr>
      </w:pPr>
      <w:r w:rsidDel="00000000" w:rsidR="00000000" w:rsidRPr="00000000">
        <w:rPr>
          <w:color w:val="000000"/>
          <w:rtl w:val="0"/>
        </w:rPr>
        <w:t xml:space="preserve">where we have used the individual-based posterior probability derived </w:t>
      </w:r>
      <w:r w:rsidDel="00000000" w:rsidR="00000000" w:rsidRPr="00000000">
        <w:rPr>
          <w:rtl w:val="0"/>
        </w:rPr>
        <w:t xml:space="preserve">above.</w:t>
      </w:r>
      <w:r w:rsidDel="00000000" w:rsidR="00000000" w:rsidRPr="00000000">
        <w:rPr>
          <w:rtl w:val="0"/>
        </w:rPr>
      </w:r>
    </w:p>
    <w:p w:rsidR="00000000" w:rsidDel="00000000" w:rsidP="00000000" w:rsidRDefault="00000000" w:rsidRPr="00000000" w14:paraId="00000767">
      <w:pPr>
        <w:pBdr>
          <w:top w:space="0" w:sz="0" w:val="nil"/>
          <w:left w:space="0" w:sz="0" w:val="nil"/>
          <w:bottom w:space="0" w:sz="0" w:val="nil"/>
          <w:right w:space="0" w:sz="0" w:val="nil"/>
          <w:between w:space="0" w:sz="0" w:val="nil"/>
        </w:pBdr>
        <w:spacing w:after="180" w:before="180" w:line="240" w:lineRule="auto"/>
        <w:rPr>
          <w:color w:val="000000"/>
        </w:rPr>
      </w:pPr>
      <w:r w:rsidDel="00000000" w:rsidR="00000000" w:rsidRPr="00000000">
        <w:rPr>
          <w:color w:val="000000"/>
          <w:rtl w:val="0"/>
        </w:rPr>
        <w:t xml:space="preserve">We can now compute the log-likelihood as a sum over all male admixed individuals</w:t>
      </w:r>
    </w:p>
    <w:p w:rsidR="00000000" w:rsidDel="00000000" w:rsidP="00000000" w:rsidRDefault="00000000" w:rsidRPr="00000000" w14:paraId="00000768">
      <w:pPr>
        <w:jc w:val="center"/>
        <w:rPr>
          <w:rFonts w:ascii="Cambria Math" w:cs="Cambria Math" w:eastAsia="Cambria Math" w:hAnsi="Cambria Math"/>
          <w:color w:val="000000"/>
          <w:sz w:val="24"/>
          <w:szCs w:val="24"/>
        </w:rPr>
      </w:pPr>
      <m:oMath>
        <m:r>
          <w:rPr>
            <w:rFonts w:ascii="Cambria Math" w:cs="Cambria Math" w:eastAsia="Cambria Math" w:hAnsi="Cambria Math"/>
            <w:color w:val="000000"/>
            <w:sz w:val="24"/>
            <w:szCs w:val="24"/>
          </w:rPr>
          <m:t xml:space="preserve">log L</m:t>
        </m:r>
        <m:d>
          <m:dPr>
            <m:begChr m:val="("/>
            <m:endChr m:val=")"/>
            <m:ctrlPr>
              <w:rPr>
                <w:rFonts w:ascii="Cambria Math" w:cs="Cambria Math" w:eastAsia="Cambria Math" w:hAnsi="Cambria Math"/>
                <w:color w:val="000000"/>
                <w:sz w:val="24"/>
                <w:szCs w:val="24"/>
              </w:rPr>
            </m:ctrlPr>
          </m:dPr>
          <m:e>
            <m:r>
              <w:rPr>
                <w:rFonts w:ascii="Cambria Math" w:cs="Cambria Math" w:eastAsia="Cambria Math" w:hAnsi="Cambria Math"/>
                <w:color w:val="000000"/>
                <w:sz w:val="24"/>
                <w:szCs w:val="24"/>
              </w:rPr>
              <m:t xml:space="preserve">{</m:t>
            </m:r>
            <m:sSub>
              <m:sSubPr>
                <m:ctrlPr>
                  <w:rPr>
                    <w:rFonts w:ascii="Cambria Math" w:cs="Cambria Math" w:eastAsia="Cambria Math" w:hAnsi="Cambria Math"/>
                    <w:color w:val="000000"/>
                    <w:sz w:val="24"/>
                    <w:szCs w:val="24"/>
                  </w:rPr>
                </m:ctrlPr>
              </m:sSubPr>
              <m:e>
                <m:r>
                  <w:rPr>
                    <w:rFonts w:ascii="Cambria Math" w:cs="Cambria Math" w:eastAsia="Cambria Math" w:hAnsi="Cambria Math"/>
                    <w:color w:val="000000"/>
                    <w:sz w:val="24"/>
                    <w:szCs w:val="24"/>
                  </w:rPr>
                  <m:t xml:space="preserve">H</m:t>
                </m:r>
              </m:e>
              <m:sub>
                <m:r>
                  <w:rPr>
                    <w:rFonts w:ascii="Cambria Math" w:cs="Cambria Math" w:eastAsia="Cambria Math" w:hAnsi="Cambria Math"/>
                    <w:color w:val="000000"/>
                    <w:sz w:val="24"/>
                    <w:szCs w:val="24"/>
                  </w:rPr>
                  <m:t xml:space="preserve">k</m:t>
                </m:r>
              </m:sub>
            </m:sSub>
            <m:r>
              <w:rPr>
                <w:rFonts w:ascii="Cambria Math" w:cs="Cambria Math" w:eastAsia="Cambria Math" w:hAnsi="Cambria Math"/>
                <w:color w:val="000000"/>
                <w:sz w:val="24"/>
                <w:szCs w:val="24"/>
              </w:rPr>
              <m:t xml:space="preserve">},{</m:t>
            </m:r>
            <m:sSub>
              <m:sSubPr>
                <m:ctrlPr>
                  <w:rPr>
                    <w:rFonts w:ascii="Cambria Math" w:cs="Cambria Math" w:eastAsia="Cambria Math" w:hAnsi="Cambria Math"/>
                    <w:color w:val="000000"/>
                    <w:sz w:val="24"/>
                    <w:szCs w:val="24"/>
                  </w:rPr>
                </m:ctrlPr>
              </m:sSubPr>
              <m:e>
                <m:r>
                  <w:rPr>
                    <w:rFonts w:ascii="Cambria Math" w:cs="Cambria Math" w:eastAsia="Cambria Math" w:hAnsi="Cambria Math"/>
                    <w:color w:val="000000"/>
                    <w:sz w:val="24"/>
                    <w:szCs w:val="24"/>
                  </w:rPr>
                  <m:t>α</m:t>
                </m:r>
              </m:e>
              <m:sub>
                <m:r>
                  <w:rPr>
                    <w:rFonts w:ascii="Cambria Math" w:cs="Cambria Math" w:eastAsia="Cambria Math" w:hAnsi="Cambria Math"/>
                    <w:color w:val="000000"/>
                    <w:sz w:val="24"/>
                    <w:szCs w:val="24"/>
                  </w:rPr>
                  <m:t xml:space="preserve">k</m:t>
                </m:r>
              </m:sub>
            </m:sSub>
            <m:r>
              <w:rPr>
                <w:rFonts w:ascii="Cambria Math" w:cs="Cambria Math" w:eastAsia="Cambria Math" w:hAnsi="Cambria Math"/>
                <w:color w:val="000000"/>
                <w:sz w:val="24"/>
                <w:szCs w:val="24"/>
              </w:rPr>
              <m:t xml:space="preserve">}|β,N</m:t>
            </m:r>
          </m:e>
        </m:d>
        <m:r>
          <w:rPr>
            <w:rFonts w:ascii="Cambria Math" w:cs="Cambria Math" w:eastAsia="Cambria Math" w:hAnsi="Cambria Math"/>
            <w:color w:val="000000"/>
            <w:sz w:val="24"/>
            <w:szCs w:val="24"/>
          </w:rPr>
          <m:t xml:space="preserve">=</m:t>
        </m:r>
        <m:nary>
          <m:naryPr>
            <m:chr m:val="∑"/>
            <m:ctrlPr>
              <w:rPr>
                <w:rFonts w:ascii="Cambria Math" w:cs="Cambria Math" w:eastAsia="Cambria Math" w:hAnsi="Cambria Math"/>
                <w:color w:val="000000"/>
                <w:sz w:val="24"/>
                <w:szCs w:val="24"/>
              </w:rPr>
            </m:ctrlPr>
          </m:naryPr>
          <m:sub>
            <m:r>
              <w:rPr>
                <w:rFonts w:ascii="Cambria Math" w:cs="Cambria Math" w:eastAsia="Cambria Math" w:hAnsi="Cambria Math"/>
                <w:color w:val="000000"/>
                <w:sz w:val="24"/>
                <w:szCs w:val="24"/>
              </w:rPr>
              <m:t xml:space="preserve">k</m:t>
            </m:r>
          </m:sub>
          <m:sup/>
        </m:nary>
        <m:r>
          <w:rPr>
            <w:rFonts w:ascii="Cambria Math" w:cs="Cambria Math" w:eastAsia="Cambria Math" w:hAnsi="Cambria Math"/>
            <w:color w:val="000000"/>
            <w:sz w:val="24"/>
            <w:szCs w:val="24"/>
          </w:rPr>
          <m:t xml:space="preserve">log p</m:t>
        </m:r>
        <m:d>
          <m:dPr>
            <m:begChr m:val="("/>
            <m:endChr m:val=")"/>
            <m:ctrlPr>
              <w:rPr>
                <w:rFonts w:ascii="Cambria Math" w:cs="Cambria Math" w:eastAsia="Cambria Math" w:hAnsi="Cambria Math"/>
                <w:color w:val="000000"/>
                <w:sz w:val="24"/>
                <w:szCs w:val="24"/>
              </w:rPr>
            </m:ctrlPr>
          </m:dPr>
          <m:e>
            <m:sSub>
              <m:sSubPr>
                <m:ctrlPr>
                  <w:rPr>
                    <w:rFonts w:ascii="Cambria Math" w:cs="Cambria Math" w:eastAsia="Cambria Math" w:hAnsi="Cambria Math"/>
                    <w:color w:val="000000"/>
                    <w:sz w:val="24"/>
                    <w:szCs w:val="24"/>
                  </w:rPr>
                </m:ctrlPr>
              </m:sSubPr>
              <m:e>
                <m:r>
                  <w:rPr>
                    <w:rFonts w:ascii="Cambria Math" w:cs="Cambria Math" w:eastAsia="Cambria Math" w:hAnsi="Cambria Math"/>
                    <w:color w:val="000000"/>
                    <w:sz w:val="24"/>
                    <w:szCs w:val="24"/>
                  </w:rPr>
                  <m:t xml:space="preserve">H</m:t>
                </m:r>
              </m:e>
              <m:sub>
                <m:r>
                  <w:rPr>
                    <w:rFonts w:ascii="Cambria Math" w:cs="Cambria Math" w:eastAsia="Cambria Math" w:hAnsi="Cambria Math"/>
                    <w:color w:val="000000"/>
                    <w:sz w:val="24"/>
                    <w:szCs w:val="24"/>
                  </w:rPr>
                  <m:t xml:space="preserve">k</m:t>
                </m:r>
              </m:sub>
            </m:sSub>
            <m:r>
              <w:rPr>
                <w:rFonts w:ascii="Cambria Math" w:cs="Cambria Math" w:eastAsia="Cambria Math" w:hAnsi="Cambria Math"/>
                <w:color w:val="000000"/>
                <w:sz w:val="24"/>
                <w:szCs w:val="24"/>
              </w:rPr>
              <m:t xml:space="preserve">|</m:t>
            </m:r>
            <m:sSub>
              <m:sSubPr>
                <m:ctrlPr>
                  <w:rPr>
                    <w:rFonts w:ascii="Cambria Math" w:cs="Cambria Math" w:eastAsia="Cambria Math" w:hAnsi="Cambria Math"/>
                    <w:color w:val="000000"/>
                    <w:sz w:val="24"/>
                    <w:szCs w:val="24"/>
                  </w:rPr>
                </m:ctrlPr>
              </m:sSubPr>
              <m:e>
                <m:r>
                  <w:rPr>
                    <w:rFonts w:ascii="Cambria Math" w:cs="Cambria Math" w:eastAsia="Cambria Math" w:hAnsi="Cambria Math"/>
                    <w:color w:val="000000"/>
                    <w:sz w:val="24"/>
                    <w:szCs w:val="24"/>
                  </w:rPr>
                  <m:t>α</m:t>
                </m:r>
              </m:e>
              <m:sub>
                <m:r>
                  <w:rPr>
                    <w:rFonts w:ascii="Cambria Math" w:cs="Cambria Math" w:eastAsia="Cambria Math" w:hAnsi="Cambria Math"/>
                    <w:color w:val="000000"/>
                    <w:sz w:val="24"/>
                    <w:szCs w:val="24"/>
                  </w:rPr>
                  <m:t xml:space="preserve">k</m:t>
                </m:r>
              </m:sub>
            </m:sSub>
            <m:r>
              <w:rPr>
                <w:rFonts w:ascii="Cambria Math" w:cs="Cambria Math" w:eastAsia="Cambria Math" w:hAnsi="Cambria Math"/>
                <w:color w:val="000000"/>
                <w:sz w:val="24"/>
                <w:szCs w:val="24"/>
              </w:rPr>
              <m:t xml:space="preserve">,β,N</m:t>
            </m:r>
          </m:e>
        </m:d>
      </m:oMath>
      <w:r w:rsidDel="00000000" w:rsidR="00000000" w:rsidRPr="00000000">
        <w:rPr>
          <w:rtl w:val="0"/>
        </w:rPr>
      </w:r>
    </w:p>
    <w:p w:rsidR="00000000" w:rsidDel="00000000" w:rsidP="00000000" w:rsidRDefault="00000000" w:rsidRPr="00000000" w14:paraId="00000769">
      <w:pPr>
        <w:pBdr>
          <w:top w:space="0" w:sz="0" w:val="nil"/>
          <w:left w:space="0" w:sz="0" w:val="nil"/>
          <w:bottom w:space="0" w:sz="0" w:val="nil"/>
          <w:right w:space="0" w:sz="0" w:val="nil"/>
          <w:between w:space="0" w:sz="0" w:val="nil"/>
        </w:pBdr>
        <w:spacing w:after="180" w:before="180" w:line="240" w:lineRule="auto"/>
        <w:rPr>
          <w:color w:val="000000"/>
        </w:rPr>
      </w:pPr>
      <w:r w:rsidDel="00000000" w:rsidR="00000000" w:rsidRPr="00000000">
        <w:rPr>
          <w:color w:val="000000"/>
          <w:rtl w:val="0"/>
        </w:rPr>
        <w:t xml:space="preserve">where index </w:t>
      </w:r>
      <m:oMath>
        <m:r>
          <w:rPr>
            <w:rFonts w:ascii="Cambria Math" w:cs="Cambria Math" w:eastAsia="Cambria Math" w:hAnsi="Cambria Math"/>
            <w:color w:val="000000"/>
          </w:rPr>
          <m:t xml:space="preserve">k</m:t>
        </m:r>
      </m:oMath>
      <w:r w:rsidDel="00000000" w:rsidR="00000000" w:rsidRPr="00000000">
        <w:rPr>
          <w:color w:val="000000"/>
          <w:rtl w:val="0"/>
        </w:rPr>
        <w:t xml:space="preserve"> runs over all individuals with haplotype </w:t>
      </w:r>
      <m:oMath>
        <m:sSub>
          <m:sSubPr>
            <m:ctrlPr>
              <w:rPr>
                <w:rFonts w:ascii="Cambria Math" w:cs="Cambria Math" w:eastAsia="Cambria Math" w:hAnsi="Cambria Math"/>
                <w:color w:val="000000"/>
              </w:rPr>
            </m:ctrlPr>
          </m:sSubPr>
          <m:e>
            <m:r>
              <w:rPr>
                <w:rFonts w:ascii="Cambria Math" w:cs="Cambria Math" w:eastAsia="Cambria Math" w:hAnsi="Cambria Math"/>
                <w:color w:val="000000"/>
              </w:rPr>
              <m:t xml:space="preserve">H</m:t>
            </m:r>
          </m:e>
          <m:sub>
            <m:r>
              <w:rPr>
                <w:rFonts w:ascii="Cambria Math" w:cs="Cambria Math" w:eastAsia="Cambria Math" w:hAnsi="Cambria Math"/>
                <w:color w:val="000000"/>
              </w:rPr>
              <m:t xml:space="preserve">K</m:t>
            </m:r>
          </m:sub>
        </m:sSub>
      </m:oMath>
      <w:r w:rsidDel="00000000" w:rsidR="00000000" w:rsidRPr="00000000">
        <w:rPr>
          <w:color w:val="000000"/>
          <w:rtl w:val="0"/>
        </w:rPr>
        <w:t xml:space="preserve"> and autosomal admixture estimate </w:t>
      </w:r>
      <m:oMath>
        <m:sSub>
          <m:sSubPr>
            <m:ctrlPr>
              <w:rPr>
                <w:rFonts w:ascii="Cambria Math" w:cs="Cambria Math" w:eastAsia="Cambria Math" w:hAnsi="Cambria Math"/>
                <w:color w:val="000000"/>
              </w:rPr>
            </m:ctrlPr>
          </m:sSubPr>
          <m:e>
            <m:r>
              <m:t>α</m:t>
            </m:r>
          </m:e>
          <m:sub>
            <m:r>
              <w:rPr>
                <w:rFonts w:ascii="Cambria Math" w:cs="Cambria Math" w:eastAsia="Cambria Math" w:hAnsi="Cambria Math"/>
                <w:color w:val="000000"/>
              </w:rPr>
              <m:t xml:space="preserve">k</m:t>
            </m:r>
          </m:sub>
        </m:sSub>
      </m:oMath>
      <w:r w:rsidDel="00000000" w:rsidR="00000000" w:rsidRPr="00000000">
        <w:rPr>
          <w:color w:val="000000"/>
          <w:rtl w:val="0"/>
        </w:rPr>
        <w:t xml:space="preserve">.</w:t>
      </w:r>
    </w:p>
    <w:p w:rsidR="00000000" w:rsidDel="00000000" w:rsidP="00000000" w:rsidRDefault="00000000" w:rsidRPr="00000000" w14:paraId="0000076A">
      <w:pPr>
        <w:pBdr>
          <w:top w:space="0" w:sz="0" w:val="nil"/>
          <w:left w:space="0" w:sz="0" w:val="nil"/>
          <w:bottom w:space="0" w:sz="0" w:val="nil"/>
          <w:right w:space="0" w:sz="0" w:val="nil"/>
          <w:between w:space="0" w:sz="0" w:val="nil"/>
        </w:pBdr>
        <w:spacing w:after="180" w:before="180" w:line="240" w:lineRule="auto"/>
        <w:rPr>
          <w:color w:val="000000"/>
        </w:rPr>
      </w:pPr>
      <w:r w:rsidDel="00000000" w:rsidR="00000000" w:rsidRPr="00000000">
        <w:rPr>
          <w:color w:val="000000"/>
          <w:rtl w:val="0"/>
        </w:rPr>
        <w:t xml:space="preserve">We can estimate the maximum of that likelihood function under variation of </w:t>
      </w:r>
      <m:oMath>
        <m:r>
          <m:t>β</m:t>
        </m:r>
      </m:oMath>
      <w:r w:rsidDel="00000000" w:rsidR="00000000" w:rsidRPr="00000000">
        <w:rPr>
          <w:color w:val="000000"/>
          <w:rtl w:val="0"/>
        </w:rPr>
        <w:t xml:space="preserve"> numerically, and find</w:t>
      </w:r>
    </w:p>
    <w:p w:rsidR="00000000" w:rsidDel="00000000" w:rsidP="00000000" w:rsidRDefault="00000000" w:rsidRPr="00000000" w14:paraId="0000076B">
      <w:pPr>
        <w:shd w:fill="f8f8f8" w:val="clear"/>
        <w:spacing w:after="200" w:line="240" w:lineRule="auto"/>
        <w:rPr>
          <w:shd w:fill="f8f8f8" w:val="clear"/>
        </w:rPr>
      </w:pPr>
      <w:r w:rsidDel="00000000" w:rsidR="00000000" w:rsidRPr="00000000">
        <w:rPr>
          <w:rFonts w:ascii="Consolas" w:cs="Consolas" w:eastAsia="Consolas" w:hAnsi="Consolas"/>
          <w:rtl w:val="0"/>
        </w:rPr>
        <w:t xml:space="preserve">## $maximum</w:t>
      </w:r>
      <w:r w:rsidDel="00000000" w:rsidR="00000000" w:rsidRPr="00000000">
        <w:rPr>
          <w:rFonts w:ascii="Cambria" w:cs="Cambria" w:eastAsia="Cambria" w:hAnsi="Cambria"/>
          <w:sz w:val="24"/>
          <w:szCs w:val="24"/>
          <w:rtl w:val="0"/>
        </w:rPr>
        <w:br w:type="textWrapping"/>
      </w:r>
      <w:r w:rsidDel="00000000" w:rsidR="00000000" w:rsidRPr="00000000">
        <w:rPr>
          <w:rFonts w:ascii="Consolas" w:cs="Consolas" w:eastAsia="Consolas" w:hAnsi="Consolas"/>
          <w:rtl w:val="0"/>
        </w:rPr>
        <w:t xml:space="preserve">## [1] 0.7242914</w:t>
      </w:r>
      <w:r w:rsidDel="00000000" w:rsidR="00000000" w:rsidRPr="00000000">
        <w:rPr>
          <w:rFonts w:ascii="Cambria" w:cs="Cambria" w:eastAsia="Cambria" w:hAnsi="Cambria"/>
          <w:sz w:val="24"/>
          <w:szCs w:val="24"/>
          <w:rtl w:val="0"/>
        </w:rPr>
        <w:br w:type="textWrapping"/>
      </w:r>
      <w:r w:rsidDel="00000000" w:rsidR="00000000" w:rsidRPr="00000000">
        <w:rPr>
          <w:rFonts w:ascii="Consolas" w:cs="Consolas" w:eastAsia="Consolas" w:hAnsi="Consolas"/>
          <w:rtl w:val="0"/>
        </w:rPr>
        <w:t xml:space="preserve">## </w:t>
      </w:r>
      <w:r w:rsidDel="00000000" w:rsidR="00000000" w:rsidRPr="00000000">
        <w:rPr>
          <w:rFonts w:ascii="Cambria" w:cs="Cambria" w:eastAsia="Cambria" w:hAnsi="Cambria"/>
          <w:sz w:val="24"/>
          <w:szCs w:val="24"/>
          <w:rtl w:val="0"/>
        </w:rPr>
        <w:br w:type="textWrapping"/>
      </w:r>
      <w:r w:rsidDel="00000000" w:rsidR="00000000" w:rsidRPr="00000000">
        <w:rPr>
          <w:rFonts w:ascii="Consolas" w:cs="Consolas" w:eastAsia="Consolas" w:hAnsi="Consolas"/>
          <w:rtl w:val="0"/>
        </w:rPr>
        <w:t xml:space="preserve">## $objective</w:t>
      </w:r>
      <w:r w:rsidDel="00000000" w:rsidR="00000000" w:rsidRPr="00000000">
        <w:rPr>
          <w:rFonts w:ascii="Cambria" w:cs="Cambria" w:eastAsia="Cambria" w:hAnsi="Cambria"/>
          <w:sz w:val="24"/>
          <w:szCs w:val="24"/>
          <w:rtl w:val="0"/>
        </w:rPr>
        <w:br w:type="textWrapping"/>
      </w:r>
      <w:r w:rsidDel="00000000" w:rsidR="00000000" w:rsidRPr="00000000">
        <w:rPr>
          <w:rFonts w:ascii="Consolas" w:cs="Consolas" w:eastAsia="Consolas" w:hAnsi="Consolas"/>
          <w:rtl w:val="0"/>
        </w:rPr>
        <w:t xml:space="preserve">## [1] -20.51125</w:t>
      </w:r>
      <w:r w:rsidDel="00000000" w:rsidR="00000000" w:rsidRPr="00000000">
        <w:rPr>
          <w:rtl w:val="0"/>
        </w:rPr>
      </w:r>
    </w:p>
    <w:p w:rsidR="00000000" w:rsidDel="00000000" w:rsidP="00000000" w:rsidRDefault="00000000" w:rsidRPr="00000000" w14:paraId="0000076C">
      <w:pPr>
        <w:pBdr>
          <w:top w:space="0" w:sz="0" w:val="nil"/>
          <w:left w:space="0" w:sz="0" w:val="nil"/>
          <w:bottom w:space="0" w:sz="0" w:val="nil"/>
          <w:right w:space="0" w:sz="0" w:val="nil"/>
          <w:between w:space="0" w:sz="0" w:val="nil"/>
        </w:pBdr>
        <w:spacing w:after="180" w:before="180" w:line="240" w:lineRule="auto"/>
        <w:rPr>
          <w:color w:val="000000"/>
        </w:rPr>
      </w:pPr>
      <w:r w:rsidDel="00000000" w:rsidR="00000000" w:rsidRPr="00000000">
        <w:rPr>
          <w:color w:val="000000"/>
          <w:rtl w:val="0"/>
        </w:rPr>
        <w:t xml:space="preserve">We can plot that model together with our frequency-based estimates:</w:t>
      </w:r>
    </w:p>
    <w:p w:rsidR="00000000" w:rsidDel="00000000" w:rsidP="00000000" w:rsidRDefault="00000000" w:rsidRPr="00000000" w14:paraId="0000076D">
      <w:pPr>
        <w:keepNext w:val="1"/>
        <w:pBdr>
          <w:top w:space="0" w:sz="0" w:val="nil"/>
          <w:left w:space="0" w:sz="0" w:val="nil"/>
          <w:bottom w:space="0" w:sz="0" w:val="nil"/>
          <w:right w:space="0" w:sz="0" w:val="nil"/>
          <w:between w:space="0" w:sz="0" w:val="nil"/>
        </w:pBdr>
        <w:spacing w:after="180" w:before="180" w:line="240" w:lineRule="auto"/>
        <w:rPr>
          <w:color w:val="000000"/>
          <w:sz w:val="24"/>
          <w:szCs w:val="24"/>
        </w:rPr>
      </w:pPr>
      <w:r w:rsidDel="00000000" w:rsidR="00000000" w:rsidRPr="00000000">
        <w:rPr>
          <w:sz w:val="24"/>
          <w:szCs w:val="24"/>
        </w:rPr>
        <w:drawing>
          <wp:inline distB="114300" distT="114300" distL="114300" distR="114300">
            <wp:extent cx="5760410" cy="4610100"/>
            <wp:effectExtent b="0" l="0" r="0" t="0"/>
            <wp:docPr id="141" name="image19.png"/>
            <a:graphic>
              <a:graphicData uri="http://schemas.openxmlformats.org/drawingml/2006/picture">
                <pic:pic>
                  <pic:nvPicPr>
                    <pic:cNvPr id="0" name="image19.png"/>
                    <pic:cNvPicPr preferRelativeResize="0"/>
                  </pic:nvPicPr>
                  <pic:blipFill>
                    <a:blip r:embed="rId140"/>
                    <a:srcRect b="0" l="0" r="0" t="0"/>
                    <a:stretch>
                      <a:fillRect/>
                    </a:stretch>
                  </pic:blipFill>
                  <pic:spPr>
                    <a:xfrm>
                      <a:off x="0" y="0"/>
                      <a:ext cx="5760410" cy="4610100"/>
                    </a:xfrm>
                    <a:prstGeom prst="rect"/>
                    <a:ln/>
                  </pic:spPr>
                </pic:pic>
              </a:graphicData>
            </a:graphic>
          </wp:inline>
        </w:drawing>
      </w:r>
      <w:r w:rsidDel="00000000" w:rsidR="00000000" w:rsidRPr="00000000">
        <w:rPr>
          <w:rtl w:val="0"/>
        </w:rPr>
      </w:r>
    </w:p>
    <w:p w:rsidR="00000000" w:rsidDel="00000000" w:rsidP="00000000" w:rsidRDefault="00000000" w:rsidRPr="00000000" w14:paraId="0000076E">
      <w:pPr>
        <w:pBdr>
          <w:top w:space="0" w:sz="0" w:val="nil"/>
          <w:left w:space="0" w:sz="0" w:val="nil"/>
          <w:bottom w:space="0" w:sz="0" w:val="nil"/>
          <w:right w:space="0" w:sz="0" w:val="nil"/>
          <w:between w:space="0" w:sz="0" w:val="nil"/>
        </w:pBdr>
        <w:spacing w:after="200" w:line="240" w:lineRule="auto"/>
        <w:rPr>
          <w:i w:val="1"/>
          <w:sz w:val="18"/>
          <w:szCs w:val="18"/>
        </w:rPr>
      </w:pPr>
      <w:r w:rsidDel="00000000" w:rsidR="00000000" w:rsidRPr="00000000">
        <w:rPr>
          <w:i w:val="1"/>
          <w:sz w:val="18"/>
          <w:szCs w:val="18"/>
          <w:rtl w:val="0"/>
        </w:rPr>
        <w:t xml:space="preserve">Supplementary Figure 2.15, showing the best-fitting model (solid line), together with a model with no sex bias (dashed line). The fitting model suggests a slight male sex-bias.</w:t>
      </w:r>
    </w:p>
    <w:p w:rsidR="00000000" w:rsidDel="00000000" w:rsidP="00000000" w:rsidRDefault="00000000" w:rsidRPr="00000000" w14:paraId="0000076F">
      <w:pPr>
        <w:pBdr>
          <w:top w:space="0" w:sz="0" w:val="nil"/>
          <w:left w:space="0" w:sz="0" w:val="nil"/>
          <w:bottom w:space="0" w:sz="0" w:val="nil"/>
          <w:right w:space="0" w:sz="0" w:val="nil"/>
          <w:between w:space="0" w:sz="0" w:val="nil"/>
        </w:pBdr>
        <w:spacing w:after="180" w:before="180" w:line="240" w:lineRule="auto"/>
        <w:rPr>
          <w:color w:val="000000"/>
        </w:rPr>
      </w:pPr>
      <w:r w:rsidDel="00000000" w:rsidR="00000000" w:rsidRPr="00000000">
        <w:rPr>
          <w:color w:val="000000"/>
          <w:rtl w:val="0"/>
        </w:rPr>
        <w:t xml:space="preserve">So, this would suggest a moderate male sex-bias in the CNE ancestry. But how significant is this? We can use our likelihood model to compute a posterior probability density over </w:t>
      </w:r>
      <m:oMath>
        <m:r>
          <m:t>β</m:t>
        </m:r>
      </m:oMath>
      <w:r w:rsidDel="00000000" w:rsidR="00000000" w:rsidRPr="00000000">
        <w:rPr>
          <w:color w:val="000000"/>
          <w:rtl w:val="0"/>
        </w:rPr>
        <w:t xml:space="preserve">:</w:t>
      </w:r>
    </w:p>
    <w:p w:rsidR="00000000" w:rsidDel="00000000" w:rsidP="00000000" w:rsidRDefault="00000000" w:rsidRPr="00000000" w14:paraId="00000770">
      <w:pPr>
        <w:jc w:val="center"/>
        <w:rPr>
          <w:rFonts w:ascii="Cambria Math" w:cs="Cambria Math" w:eastAsia="Cambria Math" w:hAnsi="Cambria Math"/>
          <w:color w:val="000000"/>
          <w:sz w:val="24"/>
          <w:szCs w:val="24"/>
        </w:rPr>
      </w:pPr>
      <m:oMath>
        <m:r>
          <w:rPr>
            <w:rFonts w:ascii="Cambria Math" w:cs="Cambria Math" w:eastAsia="Cambria Math" w:hAnsi="Cambria Math"/>
            <w:color w:val="000000"/>
            <w:sz w:val="24"/>
            <w:szCs w:val="24"/>
          </w:rPr>
          <m:t xml:space="preserve">p</m:t>
        </m:r>
        <m:d>
          <m:dPr>
            <m:begChr m:val="("/>
            <m:endChr m:val=")"/>
            <m:ctrlPr>
              <w:rPr>
                <w:rFonts w:ascii="Cambria Math" w:cs="Cambria Math" w:eastAsia="Cambria Math" w:hAnsi="Cambria Math"/>
                <w:color w:val="000000"/>
                <w:sz w:val="24"/>
                <w:szCs w:val="24"/>
              </w:rPr>
            </m:ctrlPr>
          </m:dPr>
          <m:e>
            <m:r>
              <w:rPr>
                <w:rFonts w:ascii="Cambria Math" w:cs="Cambria Math" w:eastAsia="Cambria Math" w:hAnsi="Cambria Math"/>
                <w:color w:val="000000"/>
                <w:sz w:val="24"/>
                <w:szCs w:val="24"/>
              </w:rPr>
              <m:t xml:space="preserve">β|{</m:t>
            </m:r>
            <m:sSub>
              <m:sSubPr>
                <m:ctrlPr>
                  <w:rPr>
                    <w:rFonts w:ascii="Cambria Math" w:cs="Cambria Math" w:eastAsia="Cambria Math" w:hAnsi="Cambria Math"/>
                    <w:color w:val="000000"/>
                    <w:sz w:val="24"/>
                    <w:szCs w:val="24"/>
                  </w:rPr>
                </m:ctrlPr>
              </m:sSubPr>
              <m:e>
                <m:r>
                  <w:rPr>
                    <w:rFonts w:ascii="Cambria Math" w:cs="Cambria Math" w:eastAsia="Cambria Math" w:hAnsi="Cambria Math"/>
                    <w:color w:val="000000"/>
                    <w:sz w:val="24"/>
                    <w:szCs w:val="24"/>
                  </w:rPr>
                  <m:t xml:space="preserve">H</m:t>
                </m:r>
              </m:e>
              <m:sub>
                <m:r>
                  <w:rPr>
                    <w:rFonts w:ascii="Cambria Math" w:cs="Cambria Math" w:eastAsia="Cambria Math" w:hAnsi="Cambria Math"/>
                    <w:color w:val="000000"/>
                    <w:sz w:val="24"/>
                    <w:szCs w:val="24"/>
                  </w:rPr>
                  <m:t xml:space="preserve">k</m:t>
                </m:r>
              </m:sub>
            </m:sSub>
            <m:r>
              <w:rPr>
                <w:rFonts w:ascii="Cambria Math" w:cs="Cambria Math" w:eastAsia="Cambria Math" w:hAnsi="Cambria Math"/>
                <w:color w:val="000000"/>
                <w:sz w:val="24"/>
                <w:szCs w:val="24"/>
              </w:rPr>
              <m:t xml:space="preserve">},{</m:t>
            </m:r>
            <m:sSub>
              <m:sSubPr>
                <m:ctrlPr>
                  <w:rPr>
                    <w:rFonts w:ascii="Cambria Math" w:cs="Cambria Math" w:eastAsia="Cambria Math" w:hAnsi="Cambria Math"/>
                    <w:color w:val="000000"/>
                    <w:sz w:val="24"/>
                    <w:szCs w:val="24"/>
                  </w:rPr>
                </m:ctrlPr>
              </m:sSubPr>
              <m:e>
                <m:r>
                  <w:rPr>
                    <w:rFonts w:ascii="Cambria Math" w:cs="Cambria Math" w:eastAsia="Cambria Math" w:hAnsi="Cambria Math"/>
                    <w:color w:val="000000"/>
                    <w:sz w:val="24"/>
                    <w:szCs w:val="24"/>
                  </w:rPr>
                  <m:t>α</m:t>
                </m:r>
              </m:e>
              <m:sub>
                <m:r>
                  <w:rPr>
                    <w:rFonts w:ascii="Cambria Math" w:cs="Cambria Math" w:eastAsia="Cambria Math" w:hAnsi="Cambria Math"/>
                    <w:color w:val="000000"/>
                    <w:sz w:val="24"/>
                    <w:szCs w:val="24"/>
                  </w:rPr>
                  <m:t xml:space="preserve">k</m:t>
                </m:r>
              </m:sub>
            </m:sSub>
            <m:r>
              <w:rPr>
                <w:rFonts w:ascii="Cambria Math" w:cs="Cambria Math" w:eastAsia="Cambria Math" w:hAnsi="Cambria Math"/>
                <w:color w:val="000000"/>
                <w:sz w:val="24"/>
                <w:szCs w:val="24"/>
              </w:rPr>
              <m:t xml:space="preserve">},N</m:t>
            </m:r>
          </m:e>
        </m:d>
        <m:r>
          <w:rPr>
            <w:rFonts w:ascii="Cambria Math" w:cs="Cambria Math" w:eastAsia="Cambria Math" w:hAnsi="Cambria Math"/>
            <w:color w:val="000000"/>
            <w:sz w:val="24"/>
            <w:szCs w:val="24"/>
          </w:rPr>
          <m:t xml:space="preserve">=</m:t>
        </m:r>
        <m:f>
          <m:fPr>
            <m:ctrlPr>
              <w:rPr>
                <w:rFonts w:ascii="Cambria Math" w:cs="Cambria Math" w:eastAsia="Cambria Math" w:hAnsi="Cambria Math"/>
                <w:color w:val="000000"/>
                <w:sz w:val="24"/>
                <w:szCs w:val="24"/>
              </w:rPr>
            </m:ctrlPr>
          </m:fPr>
          <m:num>
            <m:r>
              <w:rPr>
                <w:rFonts w:ascii="Cambria Math" w:cs="Cambria Math" w:eastAsia="Cambria Math" w:hAnsi="Cambria Math"/>
                <w:color w:val="000000"/>
                <w:sz w:val="24"/>
                <w:szCs w:val="24"/>
              </w:rPr>
              <m:t xml:space="preserve">L</m:t>
            </m:r>
            <m:d>
              <m:dPr>
                <m:begChr m:val="("/>
                <m:endChr m:val=")"/>
                <m:ctrlPr>
                  <w:rPr>
                    <w:rFonts w:ascii="Cambria Math" w:cs="Cambria Math" w:eastAsia="Cambria Math" w:hAnsi="Cambria Math"/>
                    <w:color w:val="000000"/>
                    <w:sz w:val="24"/>
                    <w:szCs w:val="24"/>
                  </w:rPr>
                </m:ctrlPr>
              </m:dPr>
              <m:e>
                <m:r>
                  <w:rPr>
                    <w:rFonts w:ascii="Cambria Math" w:cs="Cambria Math" w:eastAsia="Cambria Math" w:hAnsi="Cambria Math"/>
                    <w:color w:val="000000"/>
                    <w:sz w:val="24"/>
                    <w:szCs w:val="24"/>
                  </w:rPr>
                  <m:t xml:space="preserve">{</m:t>
                </m:r>
                <m:sSub>
                  <m:sSubPr>
                    <m:ctrlPr>
                      <w:rPr>
                        <w:rFonts w:ascii="Cambria Math" w:cs="Cambria Math" w:eastAsia="Cambria Math" w:hAnsi="Cambria Math"/>
                        <w:color w:val="000000"/>
                        <w:sz w:val="24"/>
                        <w:szCs w:val="24"/>
                      </w:rPr>
                    </m:ctrlPr>
                  </m:sSubPr>
                  <m:e>
                    <m:r>
                      <w:rPr>
                        <w:rFonts w:ascii="Cambria Math" w:cs="Cambria Math" w:eastAsia="Cambria Math" w:hAnsi="Cambria Math"/>
                        <w:color w:val="000000"/>
                        <w:sz w:val="24"/>
                        <w:szCs w:val="24"/>
                      </w:rPr>
                      <m:t xml:space="preserve">H</m:t>
                    </m:r>
                  </m:e>
                  <m:sub>
                    <m:r>
                      <w:rPr>
                        <w:rFonts w:ascii="Cambria Math" w:cs="Cambria Math" w:eastAsia="Cambria Math" w:hAnsi="Cambria Math"/>
                        <w:color w:val="000000"/>
                        <w:sz w:val="24"/>
                        <w:szCs w:val="24"/>
                      </w:rPr>
                      <m:t xml:space="preserve">k</m:t>
                    </m:r>
                  </m:sub>
                </m:sSub>
                <m:r>
                  <w:rPr>
                    <w:rFonts w:ascii="Cambria Math" w:cs="Cambria Math" w:eastAsia="Cambria Math" w:hAnsi="Cambria Math"/>
                    <w:color w:val="000000"/>
                    <w:sz w:val="24"/>
                    <w:szCs w:val="24"/>
                  </w:rPr>
                  <m:t xml:space="preserve">},{</m:t>
                </m:r>
                <m:sSub>
                  <m:sSubPr>
                    <m:ctrlPr>
                      <w:rPr>
                        <w:rFonts w:ascii="Cambria Math" w:cs="Cambria Math" w:eastAsia="Cambria Math" w:hAnsi="Cambria Math"/>
                        <w:color w:val="000000"/>
                        <w:sz w:val="24"/>
                        <w:szCs w:val="24"/>
                      </w:rPr>
                    </m:ctrlPr>
                  </m:sSubPr>
                  <m:e>
                    <m:r>
                      <w:rPr>
                        <w:rFonts w:ascii="Cambria Math" w:cs="Cambria Math" w:eastAsia="Cambria Math" w:hAnsi="Cambria Math"/>
                        <w:color w:val="000000"/>
                        <w:sz w:val="24"/>
                        <w:szCs w:val="24"/>
                      </w:rPr>
                      <m:t>α</m:t>
                    </m:r>
                  </m:e>
                  <m:sub>
                    <m:r>
                      <w:rPr>
                        <w:rFonts w:ascii="Cambria Math" w:cs="Cambria Math" w:eastAsia="Cambria Math" w:hAnsi="Cambria Math"/>
                        <w:color w:val="000000"/>
                        <w:sz w:val="24"/>
                        <w:szCs w:val="24"/>
                      </w:rPr>
                      <m:t xml:space="preserve">k</m:t>
                    </m:r>
                  </m:sub>
                </m:sSub>
                <m:r>
                  <w:rPr>
                    <w:rFonts w:ascii="Cambria Math" w:cs="Cambria Math" w:eastAsia="Cambria Math" w:hAnsi="Cambria Math"/>
                    <w:color w:val="000000"/>
                    <w:sz w:val="24"/>
                    <w:szCs w:val="24"/>
                  </w:rPr>
                  <m:t xml:space="preserve">}|β,N</m:t>
                </m:r>
              </m:e>
            </m:d>
          </m:num>
          <m:den>
            <m:nary>
              <m:naryPr>
                <m:chr m:val="∫"/>
                <m:ctrlPr>
                  <w:rPr>
                    <w:rFonts w:ascii="Cambria Math" w:cs="Cambria Math" w:eastAsia="Cambria Math" w:hAnsi="Cambria Math"/>
                    <w:color w:val="000000"/>
                    <w:sz w:val="24"/>
                    <w:szCs w:val="24"/>
                  </w:rPr>
                </m:ctrlPr>
              </m:naryPr>
              <m:sub>
                <m:r>
                  <w:rPr>
                    <w:rFonts w:ascii="Cambria Math" w:cs="Cambria Math" w:eastAsia="Cambria Math" w:hAnsi="Cambria Math"/>
                    <w:color w:val="000000"/>
                    <w:sz w:val="24"/>
                    <w:szCs w:val="24"/>
                  </w:rPr>
                  <m:t xml:space="preserve">0</m:t>
                </m:r>
              </m:sub>
              <m:sup>
                <m:r>
                  <w:rPr>
                    <w:rFonts w:ascii="Cambria Math" w:cs="Cambria Math" w:eastAsia="Cambria Math" w:hAnsi="Cambria Math"/>
                    <w:color w:val="000000"/>
                    <w:sz w:val="24"/>
                    <w:szCs w:val="24"/>
                  </w:rPr>
                  <m:t xml:space="preserve">1</m:t>
                </m:r>
              </m:sup>
            </m:nary>
            <m:r>
              <w:rPr>
                <w:rFonts w:ascii="Cambria Math" w:cs="Cambria Math" w:eastAsia="Cambria Math" w:hAnsi="Cambria Math"/>
                <w:color w:val="000000"/>
                <w:sz w:val="24"/>
                <w:szCs w:val="24"/>
              </w:rPr>
              <m:t xml:space="preserve">L</m:t>
            </m:r>
            <m:d>
              <m:dPr>
                <m:begChr m:val="("/>
                <m:endChr m:val=")"/>
                <m:ctrlPr>
                  <w:rPr>
                    <w:rFonts w:ascii="Cambria Math" w:cs="Cambria Math" w:eastAsia="Cambria Math" w:hAnsi="Cambria Math"/>
                    <w:color w:val="000000"/>
                    <w:sz w:val="24"/>
                    <w:szCs w:val="24"/>
                  </w:rPr>
                </m:ctrlPr>
              </m:dPr>
              <m:e>
                <m:r>
                  <w:rPr>
                    <w:rFonts w:ascii="Cambria Math" w:cs="Cambria Math" w:eastAsia="Cambria Math" w:hAnsi="Cambria Math"/>
                    <w:color w:val="000000"/>
                    <w:sz w:val="24"/>
                    <w:szCs w:val="24"/>
                  </w:rPr>
                  <m:t xml:space="preserve">{</m:t>
                </m:r>
                <m:sSub>
                  <m:sSubPr>
                    <m:ctrlPr>
                      <w:rPr>
                        <w:rFonts w:ascii="Cambria Math" w:cs="Cambria Math" w:eastAsia="Cambria Math" w:hAnsi="Cambria Math"/>
                        <w:color w:val="000000"/>
                        <w:sz w:val="24"/>
                        <w:szCs w:val="24"/>
                      </w:rPr>
                    </m:ctrlPr>
                  </m:sSubPr>
                  <m:e>
                    <m:r>
                      <w:rPr>
                        <w:rFonts w:ascii="Cambria Math" w:cs="Cambria Math" w:eastAsia="Cambria Math" w:hAnsi="Cambria Math"/>
                        <w:color w:val="000000"/>
                        <w:sz w:val="24"/>
                        <w:szCs w:val="24"/>
                      </w:rPr>
                      <m:t xml:space="preserve">H</m:t>
                    </m:r>
                  </m:e>
                  <m:sub>
                    <m:r>
                      <w:rPr>
                        <w:rFonts w:ascii="Cambria Math" w:cs="Cambria Math" w:eastAsia="Cambria Math" w:hAnsi="Cambria Math"/>
                        <w:color w:val="000000"/>
                        <w:sz w:val="24"/>
                        <w:szCs w:val="24"/>
                      </w:rPr>
                      <m:t xml:space="preserve">k</m:t>
                    </m:r>
                  </m:sub>
                </m:sSub>
                <m:r>
                  <w:rPr>
                    <w:rFonts w:ascii="Cambria Math" w:cs="Cambria Math" w:eastAsia="Cambria Math" w:hAnsi="Cambria Math"/>
                    <w:color w:val="000000"/>
                    <w:sz w:val="24"/>
                    <w:szCs w:val="24"/>
                  </w:rPr>
                  <m:t xml:space="preserve">},{</m:t>
                </m:r>
                <m:sSub>
                  <m:sSubPr>
                    <m:ctrlPr>
                      <w:rPr>
                        <w:rFonts w:ascii="Cambria Math" w:cs="Cambria Math" w:eastAsia="Cambria Math" w:hAnsi="Cambria Math"/>
                        <w:color w:val="000000"/>
                        <w:sz w:val="24"/>
                        <w:szCs w:val="24"/>
                      </w:rPr>
                    </m:ctrlPr>
                  </m:sSubPr>
                  <m:e>
                    <m:r>
                      <w:rPr>
                        <w:rFonts w:ascii="Cambria Math" w:cs="Cambria Math" w:eastAsia="Cambria Math" w:hAnsi="Cambria Math"/>
                        <w:color w:val="000000"/>
                        <w:sz w:val="24"/>
                        <w:szCs w:val="24"/>
                      </w:rPr>
                      <m:t>α</m:t>
                    </m:r>
                  </m:e>
                  <m:sub>
                    <m:r>
                      <w:rPr>
                        <w:rFonts w:ascii="Cambria Math" w:cs="Cambria Math" w:eastAsia="Cambria Math" w:hAnsi="Cambria Math"/>
                        <w:color w:val="000000"/>
                        <w:sz w:val="24"/>
                        <w:szCs w:val="24"/>
                      </w:rPr>
                      <m:t xml:space="preserve">k</m:t>
                    </m:r>
                  </m:sub>
                </m:sSub>
                <m:r>
                  <w:rPr>
                    <w:rFonts w:ascii="Cambria Math" w:cs="Cambria Math" w:eastAsia="Cambria Math" w:hAnsi="Cambria Math"/>
                    <w:color w:val="000000"/>
                    <w:sz w:val="24"/>
                    <w:szCs w:val="24"/>
                  </w:rPr>
                  <m:t xml:space="preserve">}|β,N</m:t>
                </m:r>
              </m:e>
            </m:d>
            <m:r>
              <w:rPr>
                <w:rFonts w:ascii="Cambria Math" w:cs="Cambria Math" w:eastAsia="Cambria Math" w:hAnsi="Cambria Math"/>
                <w:color w:val="000000"/>
                <w:sz w:val="24"/>
                <w:szCs w:val="24"/>
              </w:rPr>
              <m:t xml:space="preserve">dβ</m:t>
            </m:r>
          </m:den>
        </m:f>
      </m:oMath>
      <w:r w:rsidDel="00000000" w:rsidR="00000000" w:rsidRPr="00000000">
        <w:rPr>
          <w:rtl w:val="0"/>
        </w:rPr>
      </w:r>
    </w:p>
    <w:p w:rsidR="00000000" w:rsidDel="00000000" w:rsidP="00000000" w:rsidRDefault="00000000" w:rsidRPr="00000000" w14:paraId="00000771">
      <w:pPr>
        <w:pBdr>
          <w:top w:space="0" w:sz="0" w:val="nil"/>
          <w:left w:space="0" w:sz="0" w:val="nil"/>
          <w:bottom w:space="0" w:sz="0" w:val="nil"/>
          <w:right w:space="0" w:sz="0" w:val="nil"/>
          <w:between w:space="0" w:sz="0" w:val="nil"/>
        </w:pBdr>
        <w:spacing w:after="180" w:before="180" w:line="240" w:lineRule="auto"/>
        <w:rPr>
          <w:color w:val="000000"/>
        </w:rPr>
      </w:pPr>
      <w:r w:rsidDel="00000000" w:rsidR="00000000" w:rsidRPr="00000000">
        <w:rPr>
          <w:color w:val="000000"/>
          <w:rtl w:val="0"/>
        </w:rPr>
        <w:t xml:space="preserve">where the integral in the denominator can be approximated using a mesh over </w:t>
      </w:r>
      <m:oMath>
        <m:r>
          <m:t>β</m:t>
        </m:r>
      </m:oMath>
      <w:r w:rsidDel="00000000" w:rsidR="00000000" w:rsidRPr="00000000">
        <w:rPr>
          <w:color w:val="000000"/>
          <w:rtl w:val="0"/>
        </w:rPr>
        <w:t xml:space="preserve">, and we have implicitly taken a uniform prior for </w:t>
      </w:r>
      <m:oMath>
        <m:r>
          <m:t>β</m:t>
        </m:r>
      </m:oMath>
      <w:r w:rsidDel="00000000" w:rsidR="00000000" w:rsidRPr="00000000">
        <w:rPr>
          <w:color w:val="000000"/>
          <w:rtl w:val="0"/>
        </w:rPr>
        <w:t xml:space="preserve"> over the interval from 0 to 1:</w:t>
      </w:r>
    </w:p>
    <w:p w:rsidR="00000000" w:rsidDel="00000000" w:rsidP="00000000" w:rsidRDefault="00000000" w:rsidRPr="00000000" w14:paraId="00000772">
      <w:pPr>
        <w:keepNext w:val="1"/>
        <w:pBdr>
          <w:top w:space="0" w:sz="0" w:val="nil"/>
          <w:left w:space="0" w:sz="0" w:val="nil"/>
          <w:bottom w:space="0" w:sz="0" w:val="nil"/>
          <w:right w:space="0" w:sz="0" w:val="nil"/>
          <w:between w:space="0" w:sz="0" w:val="nil"/>
        </w:pBdr>
        <w:spacing w:after="180" w:before="180" w:line="240" w:lineRule="auto"/>
        <w:rPr>
          <w:color w:val="000000"/>
          <w:sz w:val="24"/>
          <w:szCs w:val="24"/>
        </w:rPr>
      </w:pPr>
      <w:r w:rsidDel="00000000" w:rsidR="00000000" w:rsidRPr="00000000">
        <w:rPr>
          <w:sz w:val="24"/>
          <w:szCs w:val="24"/>
        </w:rPr>
        <w:drawing>
          <wp:inline distB="114300" distT="114300" distL="114300" distR="114300">
            <wp:extent cx="5760410" cy="4610100"/>
            <wp:effectExtent b="0" l="0" r="0" t="0"/>
            <wp:docPr id="143" name="image18.png"/>
            <a:graphic>
              <a:graphicData uri="http://schemas.openxmlformats.org/drawingml/2006/picture">
                <pic:pic>
                  <pic:nvPicPr>
                    <pic:cNvPr id="0" name="image18.png"/>
                    <pic:cNvPicPr preferRelativeResize="0"/>
                  </pic:nvPicPr>
                  <pic:blipFill>
                    <a:blip r:embed="rId141"/>
                    <a:srcRect b="0" l="0" r="0" t="0"/>
                    <a:stretch>
                      <a:fillRect/>
                    </a:stretch>
                  </pic:blipFill>
                  <pic:spPr>
                    <a:xfrm>
                      <a:off x="0" y="0"/>
                      <a:ext cx="5760410" cy="4610100"/>
                    </a:xfrm>
                    <a:prstGeom prst="rect"/>
                    <a:ln/>
                  </pic:spPr>
                </pic:pic>
              </a:graphicData>
            </a:graphic>
          </wp:inline>
        </w:drawing>
      </w:r>
      <w:r w:rsidDel="00000000" w:rsidR="00000000" w:rsidRPr="00000000">
        <w:rPr>
          <w:rtl w:val="0"/>
        </w:rPr>
      </w:r>
    </w:p>
    <w:p w:rsidR="00000000" w:rsidDel="00000000" w:rsidP="00000000" w:rsidRDefault="00000000" w:rsidRPr="00000000" w14:paraId="00000773">
      <w:pPr>
        <w:pBdr>
          <w:top w:space="0" w:sz="0" w:val="nil"/>
          <w:left w:space="0" w:sz="0" w:val="nil"/>
          <w:bottom w:space="0" w:sz="0" w:val="nil"/>
          <w:right w:space="0" w:sz="0" w:val="nil"/>
          <w:between w:space="0" w:sz="0" w:val="nil"/>
        </w:pBdr>
        <w:spacing w:after="200" w:line="240" w:lineRule="auto"/>
        <w:rPr>
          <w:b w:val="1"/>
          <w:i w:val="1"/>
          <w:sz w:val="18"/>
          <w:szCs w:val="18"/>
        </w:rPr>
      </w:pPr>
      <w:r w:rsidDel="00000000" w:rsidR="00000000" w:rsidRPr="00000000">
        <w:rPr>
          <w:b w:val="1"/>
          <w:i w:val="1"/>
          <w:sz w:val="18"/>
          <w:szCs w:val="18"/>
          <w:rtl w:val="0"/>
        </w:rPr>
        <w:t xml:space="preserve">Supplementary Figure 2.16, Posterior distribution for β, including β=0.5 which is a model without sex-bias.</w:t>
      </w:r>
    </w:p>
    <w:p w:rsidR="00000000" w:rsidDel="00000000" w:rsidP="00000000" w:rsidRDefault="00000000" w:rsidRPr="00000000" w14:paraId="00000774">
      <w:pPr>
        <w:pBdr>
          <w:top w:space="0" w:sz="0" w:val="nil"/>
          <w:left w:space="0" w:sz="0" w:val="nil"/>
          <w:bottom w:space="0" w:sz="0" w:val="nil"/>
          <w:right w:space="0" w:sz="0" w:val="nil"/>
          <w:between w:space="0" w:sz="0" w:val="nil"/>
        </w:pBdr>
        <w:spacing w:after="180" w:before="180" w:line="240" w:lineRule="auto"/>
        <w:rPr>
          <w:color w:val="000000"/>
        </w:rPr>
      </w:pPr>
      <w:r w:rsidDel="00000000" w:rsidR="00000000" w:rsidRPr="00000000">
        <w:rPr>
          <w:color w:val="000000"/>
          <w:rtl w:val="0"/>
        </w:rPr>
        <w:t xml:space="preserve">We can now see that the posterior distribution for </w:t>
      </w:r>
      <m:oMath>
        <m:r>
          <m:t>β</m:t>
        </m:r>
      </m:oMath>
      <w:r w:rsidDel="00000000" w:rsidR="00000000" w:rsidRPr="00000000">
        <w:rPr>
          <w:color w:val="000000"/>
          <w:rtl w:val="0"/>
        </w:rPr>
        <w:t xml:space="preserve"> comfortably includes the value </w:t>
      </w:r>
      <m:oMath>
        <m:r>
          <m:t>β</m:t>
        </m:r>
        <m:r>
          <w:rPr>
            <w:rFonts w:ascii="Cambria Math" w:cs="Cambria Math" w:eastAsia="Cambria Math" w:hAnsi="Cambria Math"/>
            <w:color w:val="000000"/>
          </w:rPr>
          <m:t xml:space="preserve">=0.5,</m:t>
        </m:r>
      </m:oMath>
      <w:r w:rsidDel="00000000" w:rsidR="00000000" w:rsidRPr="00000000">
        <w:rPr>
          <w:color w:val="000000"/>
          <w:rtl w:val="0"/>
        </w:rPr>
        <w:t xml:space="preserve"> which means that the 95% credibility interval includes values below and above 0.5, suggesting models of male as well as female sex-bias being consistent with the data. We conclude that the Y haplotype data is not conclusive with respect to sex bias.</w:t>
      </w:r>
    </w:p>
    <w:p w:rsidR="00000000" w:rsidDel="00000000" w:rsidP="00000000" w:rsidRDefault="00000000" w:rsidRPr="00000000" w14:paraId="00000775">
      <w:pPr>
        <w:pBdr>
          <w:top w:space="0" w:sz="0" w:val="nil"/>
          <w:left w:space="0" w:sz="0" w:val="nil"/>
          <w:bottom w:space="0" w:sz="0" w:val="nil"/>
          <w:right w:space="0" w:sz="0" w:val="nil"/>
          <w:between w:space="0" w:sz="0" w:val="nil"/>
        </w:pBdr>
        <w:spacing w:after="180" w:before="180" w:line="240" w:lineRule="auto"/>
        <w:rPr>
          <w:color w:val="000000"/>
          <w:sz w:val="24"/>
          <w:szCs w:val="24"/>
        </w:rPr>
      </w:pPr>
      <w:r w:rsidDel="00000000" w:rsidR="00000000" w:rsidRPr="00000000">
        <w:rPr>
          <w:rtl w:val="0"/>
        </w:rPr>
      </w:r>
    </w:p>
    <w:bookmarkStart w:colFirst="0" w:colLast="0" w:name="bookmark=id.2r0uhxc" w:id="64"/>
    <w:bookmarkEnd w:id="64"/>
    <w:p w:rsidR="00000000" w:rsidDel="00000000" w:rsidP="00000000" w:rsidRDefault="00000000" w:rsidRPr="00000000" w14:paraId="00000776">
      <w:pPr>
        <w:pStyle w:val="Heading4"/>
        <w:rPr>
          <w:color w:val="000000"/>
        </w:rPr>
      </w:pPr>
      <w:bookmarkStart w:colFirst="0" w:colLast="0" w:name="_heading=h.1664s55" w:id="65"/>
      <w:bookmarkEnd w:id="65"/>
      <w:r w:rsidDel="00000000" w:rsidR="00000000" w:rsidRPr="00000000">
        <w:rPr>
          <w:i w:val="0"/>
          <w:color w:val="000000"/>
          <w:rtl w:val="0"/>
        </w:rPr>
        <w:t xml:space="preserve">Mitochondrial haplogroups</w:t>
      </w:r>
      <w:r w:rsidDel="00000000" w:rsidR="00000000" w:rsidRPr="00000000">
        <w:rPr>
          <w:rtl w:val="0"/>
        </w:rPr>
      </w:r>
    </w:p>
    <w:p w:rsidR="00000000" w:rsidDel="00000000" w:rsidP="00000000" w:rsidRDefault="00000000" w:rsidRPr="00000000" w14:paraId="00000777">
      <w:pPr>
        <w:pBdr>
          <w:top w:space="0" w:sz="0" w:val="nil"/>
          <w:left w:space="0" w:sz="0" w:val="nil"/>
          <w:bottom w:space="0" w:sz="0" w:val="nil"/>
          <w:right w:space="0" w:sz="0" w:val="nil"/>
          <w:between w:space="0" w:sz="0" w:val="nil"/>
        </w:pBdr>
        <w:spacing w:after="180" w:before="180" w:line="240" w:lineRule="auto"/>
        <w:rPr>
          <w:color w:val="000000"/>
        </w:rPr>
      </w:pPr>
      <w:r w:rsidDel="00000000" w:rsidR="00000000" w:rsidRPr="00000000">
        <w:rPr>
          <w:color w:val="000000"/>
          <w:rtl w:val="0"/>
        </w:rPr>
        <w:t xml:space="preserve">We can apply the same methodology to mitochondrial (MT) haplotypes, with the main difference being the interpretation of </w:t>
      </w:r>
      <m:oMath>
        <m:r>
          <m:t>γ</m:t>
        </m:r>
        <m:d>
          <m:dPr>
            <m:begChr m:val="("/>
            <m:endChr m:val=")"/>
            <m:ctrlPr>
              <w:rPr>
                <w:rFonts w:ascii="Cambria Math" w:cs="Cambria Math" w:eastAsia="Cambria Math" w:hAnsi="Cambria Math"/>
                <w:color w:val="000000"/>
              </w:rPr>
            </m:ctrlPr>
          </m:dPr>
          <m:e>
            <m:r>
              <m:t>α</m:t>
            </m:r>
            <m:r>
              <w:rPr>
                <w:rFonts w:ascii="Cambria Math" w:cs="Cambria Math" w:eastAsia="Cambria Math" w:hAnsi="Cambria Math"/>
                <w:color w:val="000000"/>
              </w:rPr>
              <m:t xml:space="preserve">,β</m:t>
            </m:r>
          </m:e>
        </m:d>
      </m:oMath>
      <w:r w:rsidDel="00000000" w:rsidR="00000000" w:rsidRPr="00000000">
        <w:rPr>
          <w:color w:val="000000"/>
          <w:rtl w:val="0"/>
        </w:rPr>
        <w:t xml:space="preserve"> now describing the proportion of </w:t>
      </w:r>
      <w:r w:rsidDel="00000000" w:rsidR="00000000" w:rsidRPr="00000000">
        <w:rPr>
          <w:i w:val="1"/>
          <w:color w:val="000000"/>
          <w:rtl w:val="0"/>
        </w:rPr>
        <w:t xml:space="preserve">female</w:t>
      </w:r>
      <w:r w:rsidDel="00000000" w:rsidR="00000000" w:rsidRPr="00000000">
        <w:rPr>
          <w:color w:val="000000"/>
          <w:rtl w:val="0"/>
        </w:rPr>
        <w:t xml:space="preserve"> Source2 ancestry over total female ancestry.</w:t>
      </w:r>
    </w:p>
    <w:p w:rsidR="00000000" w:rsidDel="00000000" w:rsidP="00000000" w:rsidRDefault="00000000" w:rsidRPr="00000000" w14:paraId="00000778">
      <w:pPr>
        <w:pBdr>
          <w:top w:space="0" w:sz="0" w:val="nil"/>
          <w:left w:space="0" w:sz="0" w:val="nil"/>
          <w:bottom w:space="0" w:sz="0" w:val="nil"/>
          <w:right w:space="0" w:sz="0" w:val="nil"/>
          <w:between w:space="0" w:sz="0" w:val="nil"/>
        </w:pBdr>
        <w:spacing w:after="180" w:before="180" w:line="240" w:lineRule="auto"/>
        <w:rPr>
          <w:color w:val="000000"/>
        </w:rPr>
      </w:pPr>
      <w:r w:rsidDel="00000000" w:rsidR="00000000" w:rsidRPr="00000000">
        <w:rPr>
          <w:color w:val="000000"/>
          <w:rtl w:val="0"/>
        </w:rPr>
        <w:t xml:space="preserve">We get a similar table of posterior </w:t>
      </w:r>
      <w:r w:rsidDel="00000000" w:rsidR="00000000" w:rsidRPr="00000000">
        <w:rPr>
          <w:rtl w:val="0"/>
        </w:rPr>
        <w:t xml:space="preserve">probabilities</w:t>
      </w:r>
      <w:r w:rsidDel="00000000" w:rsidR="00000000" w:rsidRPr="00000000">
        <w:rPr>
          <w:color w:val="000000"/>
          <w:rtl w:val="0"/>
        </w:rPr>
        <w:t xml:space="preserve"> for every </w:t>
      </w:r>
      <w:r w:rsidDel="00000000" w:rsidR="00000000" w:rsidRPr="00000000">
        <w:rPr>
          <w:rtl w:val="0"/>
        </w:rPr>
        <w:t xml:space="preserve">mtDNA </w:t>
      </w:r>
      <w:r w:rsidDel="00000000" w:rsidR="00000000" w:rsidRPr="00000000">
        <w:rPr>
          <w:color w:val="000000"/>
          <w:rtl w:val="0"/>
        </w:rPr>
        <w:t xml:space="preserve">haplogroup coming from source 2:</w:t>
      </w:r>
    </w:p>
    <w:p w:rsidR="00000000" w:rsidDel="00000000" w:rsidP="00000000" w:rsidRDefault="00000000" w:rsidRPr="00000000" w14:paraId="00000779">
      <w:pPr>
        <w:shd w:fill="f8f8f8" w:val="clear"/>
        <w:spacing w:after="200" w:line="240" w:lineRule="auto"/>
        <w:rPr>
          <w:shd w:fill="f8f8f8" w:val="clear"/>
        </w:rPr>
      </w:pPr>
      <w:r w:rsidDel="00000000" w:rsidR="00000000" w:rsidRPr="00000000">
        <w:rPr>
          <w:rFonts w:ascii="Consolas" w:cs="Consolas" w:eastAsia="Consolas" w:hAnsi="Consolas"/>
          <w:rtl w:val="0"/>
        </w:rPr>
        <w:t xml:space="preserve">## # A tibble: 12 × 4</w:t>
      </w:r>
      <w:r w:rsidDel="00000000" w:rsidR="00000000" w:rsidRPr="00000000">
        <w:rPr>
          <w:rFonts w:ascii="Cambria" w:cs="Cambria" w:eastAsia="Cambria" w:hAnsi="Cambria"/>
          <w:sz w:val="24"/>
          <w:szCs w:val="24"/>
          <w:rtl w:val="0"/>
        </w:rPr>
        <w:br w:type="textWrapping"/>
      </w:r>
      <w:r w:rsidDel="00000000" w:rsidR="00000000" w:rsidRPr="00000000">
        <w:rPr>
          <w:rFonts w:ascii="Consolas" w:cs="Consolas" w:eastAsia="Consolas" w:hAnsi="Consolas"/>
          <w:rtl w:val="0"/>
        </w:rPr>
        <w:t xml:space="preserve">##    mtDNA_simple    n1    n2 source2_prob</w:t>
      </w:r>
      <w:r w:rsidDel="00000000" w:rsidR="00000000" w:rsidRPr="00000000">
        <w:rPr>
          <w:rFonts w:ascii="Cambria" w:cs="Cambria" w:eastAsia="Cambria" w:hAnsi="Cambria"/>
          <w:sz w:val="24"/>
          <w:szCs w:val="24"/>
          <w:rtl w:val="0"/>
        </w:rPr>
        <w:br w:type="textWrapping"/>
      </w:r>
      <w:r w:rsidDel="00000000" w:rsidR="00000000" w:rsidRPr="00000000">
        <w:rPr>
          <w:rFonts w:ascii="Consolas" w:cs="Consolas" w:eastAsia="Consolas" w:hAnsi="Consolas"/>
          <w:rtl w:val="0"/>
        </w:rPr>
        <w:t xml:space="preserve">##    &lt;chr&gt;        &lt;int&gt; &lt;int&gt;        &lt;dbl&gt;</w:t>
      </w:r>
      <w:r w:rsidDel="00000000" w:rsidR="00000000" w:rsidRPr="00000000">
        <w:rPr>
          <w:rFonts w:ascii="Cambria" w:cs="Cambria" w:eastAsia="Cambria" w:hAnsi="Cambria"/>
          <w:sz w:val="24"/>
          <w:szCs w:val="24"/>
          <w:rtl w:val="0"/>
        </w:rPr>
        <w:br w:type="textWrapping"/>
      </w:r>
      <w:r w:rsidDel="00000000" w:rsidR="00000000" w:rsidRPr="00000000">
        <w:rPr>
          <w:rFonts w:ascii="Consolas" w:cs="Consolas" w:eastAsia="Consolas" w:hAnsi="Consolas"/>
          <w:rtl w:val="0"/>
        </w:rPr>
        <w:t xml:space="preserve">##  1 H              206   134        0.484</w:t>
      </w:r>
      <w:r w:rsidDel="00000000" w:rsidR="00000000" w:rsidRPr="00000000">
        <w:rPr>
          <w:rFonts w:ascii="Cambria" w:cs="Cambria" w:eastAsia="Cambria" w:hAnsi="Cambria"/>
          <w:sz w:val="24"/>
          <w:szCs w:val="24"/>
          <w:rtl w:val="0"/>
        </w:rPr>
        <w:br w:type="textWrapping"/>
      </w:r>
      <w:r w:rsidDel="00000000" w:rsidR="00000000" w:rsidRPr="00000000">
        <w:rPr>
          <w:rFonts w:ascii="Consolas" w:cs="Consolas" w:eastAsia="Consolas" w:hAnsi="Consolas"/>
          <w:rtl w:val="0"/>
        </w:rPr>
        <w:t xml:space="preserve">##  2 HV               5     9        0.705</w:t>
      </w:r>
      <w:r w:rsidDel="00000000" w:rsidR="00000000" w:rsidRPr="00000000">
        <w:rPr>
          <w:rFonts w:ascii="Cambria" w:cs="Cambria" w:eastAsia="Cambria" w:hAnsi="Cambria"/>
          <w:sz w:val="24"/>
          <w:szCs w:val="24"/>
          <w:rtl w:val="0"/>
        </w:rPr>
        <w:br w:type="textWrapping"/>
      </w:r>
      <w:r w:rsidDel="00000000" w:rsidR="00000000" w:rsidRPr="00000000">
        <w:rPr>
          <w:rFonts w:ascii="Consolas" w:cs="Consolas" w:eastAsia="Consolas" w:hAnsi="Consolas"/>
          <w:rtl w:val="0"/>
        </w:rPr>
        <w:t xml:space="preserve">##  3 I               11     8        0.519</w:t>
      </w:r>
      <w:r w:rsidDel="00000000" w:rsidR="00000000" w:rsidRPr="00000000">
        <w:rPr>
          <w:rFonts w:ascii="Cambria" w:cs="Cambria" w:eastAsia="Cambria" w:hAnsi="Cambria"/>
          <w:sz w:val="24"/>
          <w:szCs w:val="24"/>
          <w:rtl w:val="0"/>
        </w:rPr>
        <w:br w:type="textWrapping"/>
      </w:r>
      <w:r w:rsidDel="00000000" w:rsidR="00000000" w:rsidRPr="00000000">
        <w:rPr>
          <w:rFonts w:ascii="Consolas" w:cs="Consolas" w:eastAsia="Consolas" w:hAnsi="Consolas"/>
          <w:rtl w:val="0"/>
        </w:rPr>
        <w:t xml:space="preserve">##  4 J               52    47        0.565</w:t>
      </w:r>
      <w:r w:rsidDel="00000000" w:rsidR="00000000" w:rsidRPr="00000000">
        <w:rPr>
          <w:rFonts w:ascii="Cambria" w:cs="Cambria" w:eastAsia="Cambria" w:hAnsi="Cambria"/>
          <w:sz w:val="24"/>
          <w:szCs w:val="24"/>
          <w:rtl w:val="0"/>
        </w:rPr>
        <w:br w:type="textWrapping"/>
      </w:r>
      <w:r w:rsidDel="00000000" w:rsidR="00000000" w:rsidRPr="00000000">
        <w:rPr>
          <w:rFonts w:ascii="Consolas" w:cs="Consolas" w:eastAsia="Consolas" w:hAnsi="Consolas"/>
          <w:rtl w:val="0"/>
        </w:rPr>
        <w:t xml:space="preserve">##  5 K               66    35        0.436</w:t>
      </w:r>
      <w:r w:rsidDel="00000000" w:rsidR="00000000" w:rsidRPr="00000000">
        <w:rPr>
          <w:rFonts w:ascii="Cambria" w:cs="Cambria" w:eastAsia="Cambria" w:hAnsi="Cambria"/>
          <w:sz w:val="24"/>
          <w:szCs w:val="24"/>
          <w:rtl w:val="0"/>
        </w:rPr>
        <w:br w:type="textWrapping"/>
      </w:r>
      <w:r w:rsidDel="00000000" w:rsidR="00000000" w:rsidRPr="00000000">
        <w:rPr>
          <w:rFonts w:ascii="Consolas" w:cs="Consolas" w:eastAsia="Consolas" w:hAnsi="Consolas"/>
          <w:rtl w:val="0"/>
        </w:rPr>
        <w:t xml:space="preserve">##  6 N                2     1        0.489</w:t>
      </w:r>
      <w:r w:rsidDel="00000000" w:rsidR="00000000" w:rsidRPr="00000000">
        <w:rPr>
          <w:rFonts w:ascii="Cambria" w:cs="Cambria" w:eastAsia="Cambria" w:hAnsi="Cambria"/>
          <w:sz w:val="24"/>
          <w:szCs w:val="24"/>
          <w:rtl w:val="0"/>
        </w:rPr>
        <w:br w:type="textWrapping"/>
      </w:r>
      <w:r w:rsidDel="00000000" w:rsidR="00000000" w:rsidRPr="00000000">
        <w:rPr>
          <w:rFonts w:ascii="Consolas" w:cs="Consolas" w:eastAsia="Consolas" w:hAnsi="Consolas"/>
          <w:rtl w:val="0"/>
        </w:rPr>
        <w:t xml:space="preserve">##  7 R                7     1        0.264</w:t>
      </w:r>
      <w:r w:rsidDel="00000000" w:rsidR="00000000" w:rsidRPr="00000000">
        <w:rPr>
          <w:rFonts w:ascii="Cambria" w:cs="Cambria" w:eastAsia="Cambria" w:hAnsi="Cambria"/>
          <w:sz w:val="24"/>
          <w:szCs w:val="24"/>
          <w:rtl w:val="0"/>
        </w:rPr>
        <w:br w:type="textWrapping"/>
      </w:r>
      <w:r w:rsidDel="00000000" w:rsidR="00000000" w:rsidRPr="00000000">
        <w:rPr>
          <w:rFonts w:ascii="Consolas" w:cs="Consolas" w:eastAsia="Consolas" w:hAnsi="Consolas"/>
          <w:rtl w:val="0"/>
        </w:rPr>
        <w:t xml:space="preserve">##  8 T               54    41        0.523</w:t>
      </w:r>
      <w:r w:rsidDel="00000000" w:rsidR="00000000" w:rsidRPr="00000000">
        <w:rPr>
          <w:rFonts w:ascii="Cambria" w:cs="Cambria" w:eastAsia="Cambria" w:hAnsi="Cambria"/>
          <w:sz w:val="24"/>
          <w:szCs w:val="24"/>
          <w:rtl w:val="0"/>
        </w:rPr>
        <w:br w:type="textWrapping"/>
      </w:r>
      <w:r w:rsidDel="00000000" w:rsidR="00000000" w:rsidRPr="00000000">
        <w:rPr>
          <w:rFonts w:ascii="Consolas" w:cs="Consolas" w:eastAsia="Consolas" w:hAnsi="Consolas"/>
          <w:rtl w:val="0"/>
        </w:rPr>
        <w:t xml:space="preserve">##  9 U               91    55        0.466</w:t>
      </w:r>
      <w:r w:rsidDel="00000000" w:rsidR="00000000" w:rsidRPr="00000000">
        <w:rPr>
          <w:rFonts w:ascii="Cambria" w:cs="Cambria" w:eastAsia="Cambria" w:hAnsi="Cambria"/>
          <w:sz w:val="24"/>
          <w:szCs w:val="24"/>
          <w:rtl w:val="0"/>
        </w:rPr>
        <w:br w:type="textWrapping"/>
      </w:r>
      <w:r w:rsidDel="00000000" w:rsidR="00000000" w:rsidRPr="00000000">
        <w:rPr>
          <w:rFonts w:ascii="Consolas" w:cs="Consolas" w:eastAsia="Consolas" w:hAnsi="Consolas"/>
          <w:rtl w:val="0"/>
        </w:rPr>
        <w:t xml:space="preserve">## 10 V               18    11        0.476</w:t>
      </w:r>
      <w:r w:rsidDel="00000000" w:rsidR="00000000" w:rsidRPr="00000000">
        <w:rPr>
          <w:rFonts w:ascii="Cambria" w:cs="Cambria" w:eastAsia="Cambria" w:hAnsi="Cambria"/>
          <w:sz w:val="24"/>
          <w:szCs w:val="24"/>
          <w:rtl w:val="0"/>
        </w:rPr>
        <w:br w:type="textWrapping"/>
      </w:r>
      <w:r w:rsidDel="00000000" w:rsidR="00000000" w:rsidRPr="00000000">
        <w:rPr>
          <w:rFonts w:ascii="Consolas" w:cs="Consolas" w:eastAsia="Consolas" w:hAnsi="Consolas"/>
          <w:rtl w:val="0"/>
        </w:rPr>
        <w:t xml:space="preserve">## 11 W                7     4        0.473</w:t>
      </w:r>
      <w:r w:rsidDel="00000000" w:rsidR="00000000" w:rsidRPr="00000000">
        <w:rPr>
          <w:rFonts w:ascii="Cambria" w:cs="Cambria" w:eastAsia="Cambria" w:hAnsi="Cambria"/>
          <w:sz w:val="24"/>
          <w:szCs w:val="24"/>
          <w:rtl w:val="0"/>
        </w:rPr>
        <w:br w:type="textWrapping"/>
      </w:r>
      <w:r w:rsidDel="00000000" w:rsidR="00000000" w:rsidRPr="00000000">
        <w:rPr>
          <w:rFonts w:ascii="Consolas" w:cs="Consolas" w:eastAsia="Consolas" w:hAnsi="Consolas"/>
          <w:rtl w:val="0"/>
        </w:rPr>
        <w:t xml:space="preserve">## 12 X               11     5        0.418</w:t>
      </w:r>
      <w:r w:rsidDel="00000000" w:rsidR="00000000" w:rsidRPr="00000000">
        <w:rPr>
          <w:rtl w:val="0"/>
        </w:rPr>
      </w:r>
    </w:p>
    <w:p w:rsidR="00000000" w:rsidDel="00000000" w:rsidP="00000000" w:rsidRDefault="00000000" w:rsidRPr="00000000" w14:paraId="0000077A">
      <w:pPr>
        <w:keepNext w:val="1"/>
        <w:pBdr>
          <w:top w:space="0" w:sz="0" w:val="nil"/>
          <w:left w:space="0" w:sz="0" w:val="nil"/>
          <w:bottom w:space="0" w:sz="0" w:val="nil"/>
          <w:right w:space="0" w:sz="0" w:val="nil"/>
          <w:between w:space="0" w:sz="0" w:val="nil"/>
        </w:pBdr>
        <w:spacing w:after="180" w:before="180" w:line="240" w:lineRule="auto"/>
        <w:rPr>
          <w:sz w:val="24"/>
          <w:szCs w:val="24"/>
        </w:rPr>
      </w:pPr>
      <w:r w:rsidDel="00000000" w:rsidR="00000000" w:rsidRPr="00000000">
        <w:rPr>
          <w:color w:val="000000"/>
          <w:rtl w:val="0"/>
        </w:rPr>
        <w:t xml:space="preserve">which for our admixed individuals can be visualised again: </w:t>
      </w:r>
      <w:r w:rsidDel="00000000" w:rsidR="00000000" w:rsidRPr="00000000">
        <w:rPr>
          <w:rtl w:val="0"/>
        </w:rPr>
      </w:r>
    </w:p>
    <w:p w:rsidR="00000000" w:rsidDel="00000000" w:rsidP="00000000" w:rsidRDefault="00000000" w:rsidRPr="00000000" w14:paraId="0000077B">
      <w:pPr>
        <w:keepNext w:val="1"/>
        <w:pBdr>
          <w:top w:space="0" w:sz="0" w:val="nil"/>
          <w:left w:space="0" w:sz="0" w:val="nil"/>
          <w:bottom w:space="0" w:sz="0" w:val="nil"/>
          <w:right w:space="0" w:sz="0" w:val="nil"/>
          <w:between w:space="0" w:sz="0" w:val="nil"/>
        </w:pBdr>
        <w:spacing w:after="180" w:before="180" w:line="240" w:lineRule="auto"/>
        <w:rPr>
          <w:sz w:val="24"/>
          <w:szCs w:val="24"/>
        </w:rPr>
      </w:pPr>
      <w:r w:rsidDel="00000000" w:rsidR="00000000" w:rsidRPr="00000000">
        <w:rPr>
          <w:sz w:val="24"/>
          <w:szCs w:val="24"/>
        </w:rPr>
        <w:drawing>
          <wp:inline distB="114300" distT="114300" distL="114300" distR="114300">
            <wp:extent cx="5760410" cy="4610100"/>
            <wp:effectExtent b="0" l="0" r="0" t="0"/>
            <wp:docPr id="145" name="image30.png"/>
            <a:graphic>
              <a:graphicData uri="http://schemas.openxmlformats.org/drawingml/2006/picture">
                <pic:pic>
                  <pic:nvPicPr>
                    <pic:cNvPr id="0" name="image30.png"/>
                    <pic:cNvPicPr preferRelativeResize="0"/>
                  </pic:nvPicPr>
                  <pic:blipFill>
                    <a:blip r:embed="rId142"/>
                    <a:srcRect b="0" l="0" r="0" t="0"/>
                    <a:stretch>
                      <a:fillRect/>
                    </a:stretch>
                  </pic:blipFill>
                  <pic:spPr>
                    <a:xfrm>
                      <a:off x="0" y="0"/>
                      <a:ext cx="5760410" cy="4610100"/>
                    </a:xfrm>
                    <a:prstGeom prst="rect"/>
                    <a:ln/>
                  </pic:spPr>
                </pic:pic>
              </a:graphicData>
            </a:graphic>
          </wp:inline>
        </w:drawing>
      </w:r>
      <w:r w:rsidDel="00000000" w:rsidR="00000000" w:rsidRPr="00000000">
        <w:rPr>
          <w:rtl w:val="0"/>
        </w:rPr>
      </w:r>
    </w:p>
    <w:p w:rsidR="00000000" w:rsidDel="00000000" w:rsidP="00000000" w:rsidRDefault="00000000" w:rsidRPr="00000000" w14:paraId="0000077C">
      <w:pPr>
        <w:pBdr>
          <w:top w:space="0" w:sz="0" w:val="nil"/>
          <w:left w:space="0" w:sz="0" w:val="nil"/>
          <w:bottom w:space="0" w:sz="0" w:val="nil"/>
          <w:right w:space="0" w:sz="0" w:val="nil"/>
          <w:between w:space="0" w:sz="0" w:val="nil"/>
        </w:pBdr>
        <w:spacing w:after="200" w:line="240" w:lineRule="auto"/>
        <w:rPr>
          <w:b w:val="1"/>
          <w:i w:val="1"/>
          <w:sz w:val="18"/>
          <w:szCs w:val="18"/>
        </w:rPr>
      </w:pPr>
      <w:r w:rsidDel="00000000" w:rsidR="00000000" w:rsidRPr="00000000">
        <w:rPr>
          <w:b w:val="1"/>
          <w:i w:val="1"/>
          <w:sz w:val="18"/>
          <w:szCs w:val="18"/>
          <w:rtl w:val="0"/>
        </w:rPr>
        <w:t xml:space="preserve">Supplementary Figure 2.17, mtDNA haplogroup origin probabilities as a function of autosomal aCNE admixture proportion.</w:t>
      </w:r>
    </w:p>
    <w:p w:rsidR="00000000" w:rsidDel="00000000" w:rsidP="00000000" w:rsidRDefault="00000000" w:rsidRPr="00000000" w14:paraId="0000077D">
      <w:pPr>
        <w:pBdr>
          <w:top w:space="0" w:sz="0" w:val="nil"/>
          <w:left w:space="0" w:sz="0" w:val="nil"/>
          <w:bottom w:space="0" w:sz="0" w:val="nil"/>
          <w:right w:space="0" w:sz="0" w:val="nil"/>
          <w:between w:space="0" w:sz="0" w:val="nil"/>
        </w:pBdr>
        <w:spacing w:after="180" w:before="180" w:line="240" w:lineRule="auto"/>
        <w:rPr>
          <w:color w:val="000000"/>
        </w:rPr>
      </w:pPr>
      <w:r w:rsidDel="00000000" w:rsidR="00000000" w:rsidRPr="00000000">
        <w:rPr>
          <w:color w:val="000000"/>
          <w:rtl w:val="0"/>
        </w:rPr>
        <w:t xml:space="preserve">but with all probabilities around 50%, the MT data conveys almost no information at all about source origin, since haplogroup frequencies are too similar in the two source populations.</w:t>
      </w:r>
    </w:p>
    <w:p w:rsidR="00000000" w:rsidDel="00000000" w:rsidP="00000000" w:rsidRDefault="00000000" w:rsidRPr="00000000" w14:paraId="0000077E">
      <w:pPr>
        <w:pBdr>
          <w:top w:space="0" w:sz="0" w:val="nil"/>
          <w:left w:space="0" w:sz="0" w:val="nil"/>
          <w:bottom w:space="0" w:sz="0" w:val="nil"/>
          <w:right w:space="0" w:sz="0" w:val="nil"/>
          <w:between w:space="0" w:sz="0" w:val="nil"/>
        </w:pBdr>
        <w:spacing w:after="180" w:before="180" w:line="240" w:lineRule="auto"/>
        <w:rPr>
          <w:sz w:val="24"/>
          <w:szCs w:val="24"/>
        </w:rPr>
      </w:pPr>
      <w:r w:rsidDel="00000000" w:rsidR="00000000" w:rsidRPr="00000000">
        <w:rPr>
          <w:color w:val="000000"/>
          <w:sz w:val="24"/>
          <w:szCs w:val="24"/>
          <w:rtl w:val="0"/>
        </w:rPr>
        <w:t xml:space="preserve">Indeed, the posterior distribution of </w:t>
      </w:r>
      <m:oMath>
        <m:r>
          <m:t>β</m:t>
        </m:r>
      </m:oMath>
      <w:r w:rsidDel="00000000" w:rsidR="00000000" w:rsidRPr="00000000">
        <w:rPr>
          <w:color w:val="000000"/>
          <w:sz w:val="24"/>
          <w:szCs w:val="24"/>
          <w:rtl w:val="0"/>
        </w:rPr>
        <w:t xml:space="preserve"> in this case yields: </w:t>
      </w:r>
      <w:r w:rsidDel="00000000" w:rsidR="00000000" w:rsidRPr="00000000">
        <w:rPr>
          <w:rtl w:val="0"/>
        </w:rPr>
      </w:r>
    </w:p>
    <w:p w:rsidR="00000000" w:rsidDel="00000000" w:rsidP="00000000" w:rsidRDefault="00000000" w:rsidRPr="00000000" w14:paraId="0000077F">
      <w:pPr>
        <w:pBdr>
          <w:top w:space="0" w:sz="0" w:val="nil"/>
          <w:left w:space="0" w:sz="0" w:val="nil"/>
          <w:bottom w:space="0" w:sz="0" w:val="nil"/>
          <w:right w:space="0" w:sz="0" w:val="nil"/>
          <w:between w:space="0" w:sz="0" w:val="nil"/>
        </w:pBdr>
        <w:spacing w:after="180" w:before="180" w:line="240" w:lineRule="auto"/>
        <w:rPr>
          <w:sz w:val="24"/>
          <w:szCs w:val="24"/>
        </w:rPr>
      </w:pPr>
      <w:r w:rsidDel="00000000" w:rsidR="00000000" w:rsidRPr="00000000">
        <w:rPr>
          <w:sz w:val="24"/>
          <w:szCs w:val="24"/>
        </w:rPr>
        <w:drawing>
          <wp:inline distB="114300" distT="114300" distL="114300" distR="114300">
            <wp:extent cx="5760410" cy="4610100"/>
            <wp:effectExtent b="0" l="0" r="0" t="0"/>
            <wp:docPr id="147" name="image28.png"/>
            <a:graphic>
              <a:graphicData uri="http://schemas.openxmlformats.org/drawingml/2006/picture">
                <pic:pic>
                  <pic:nvPicPr>
                    <pic:cNvPr id="0" name="image28.png"/>
                    <pic:cNvPicPr preferRelativeResize="0"/>
                  </pic:nvPicPr>
                  <pic:blipFill>
                    <a:blip r:embed="rId143"/>
                    <a:srcRect b="0" l="0" r="0" t="0"/>
                    <a:stretch>
                      <a:fillRect/>
                    </a:stretch>
                  </pic:blipFill>
                  <pic:spPr>
                    <a:xfrm>
                      <a:off x="0" y="0"/>
                      <a:ext cx="5760410" cy="4610100"/>
                    </a:xfrm>
                    <a:prstGeom prst="rect"/>
                    <a:ln/>
                  </pic:spPr>
                </pic:pic>
              </a:graphicData>
            </a:graphic>
          </wp:inline>
        </w:drawing>
      </w:r>
      <w:r w:rsidDel="00000000" w:rsidR="00000000" w:rsidRPr="00000000">
        <w:rPr>
          <w:rtl w:val="0"/>
        </w:rPr>
      </w:r>
    </w:p>
    <w:p w:rsidR="00000000" w:rsidDel="00000000" w:rsidP="00000000" w:rsidRDefault="00000000" w:rsidRPr="00000000" w14:paraId="00000780">
      <w:pPr>
        <w:spacing w:after="200" w:line="240" w:lineRule="auto"/>
        <w:rPr>
          <w:b w:val="1"/>
          <w:sz w:val="24"/>
          <w:szCs w:val="24"/>
        </w:rPr>
      </w:pPr>
      <w:r w:rsidDel="00000000" w:rsidR="00000000" w:rsidRPr="00000000">
        <w:rPr>
          <w:b w:val="1"/>
          <w:i w:val="1"/>
          <w:sz w:val="18"/>
          <w:szCs w:val="18"/>
          <w:rtl w:val="0"/>
        </w:rPr>
        <w:t xml:space="preserve">Supplementary Figure 2.18, Posterior distribution for β.</w:t>
      </w:r>
      <w:r w:rsidDel="00000000" w:rsidR="00000000" w:rsidRPr="00000000">
        <w:rPr>
          <w:rtl w:val="0"/>
        </w:rPr>
      </w:r>
    </w:p>
    <w:p w:rsidR="00000000" w:rsidDel="00000000" w:rsidP="00000000" w:rsidRDefault="00000000" w:rsidRPr="00000000" w14:paraId="00000781">
      <w:pPr>
        <w:pBdr>
          <w:top w:space="0" w:sz="0" w:val="nil"/>
          <w:left w:space="0" w:sz="0" w:val="nil"/>
          <w:bottom w:space="0" w:sz="0" w:val="nil"/>
          <w:right w:space="0" w:sz="0" w:val="nil"/>
          <w:between w:space="0" w:sz="0" w:val="nil"/>
        </w:pBdr>
        <w:spacing w:after="180" w:before="180" w:line="240" w:lineRule="auto"/>
        <w:rPr>
          <w:color w:val="000000"/>
        </w:rPr>
      </w:pPr>
      <w:r w:rsidDel="00000000" w:rsidR="00000000" w:rsidRPr="00000000">
        <w:rPr>
          <w:color w:val="000000"/>
          <w:rtl w:val="0"/>
        </w:rPr>
        <w:t xml:space="preserve">which is even broader than the already insignificant results from the Y</w:t>
      </w:r>
      <w:r w:rsidDel="00000000" w:rsidR="00000000" w:rsidRPr="00000000">
        <w:rPr>
          <w:rtl w:val="0"/>
        </w:rPr>
        <w:t xml:space="preserve">-</w:t>
      </w:r>
      <w:r w:rsidDel="00000000" w:rsidR="00000000" w:rsidRPr="00000000">
        <w:rPr>
          <w:color w:val="000000"/>
          <w:rtl w:val="0"/>
        </w:rPr>
        <w:t xml:space="preserve">chromosomal haplogroups, again showing that the data is consistent with models of both female and male sex-bias.</w:t>
      </w:r>
    </w:p>
    <w:p w:rsidR="00000000" w:rsidDel="00000000" w:rsidP="00000000" w:rsidRDefault="00000000" w:rsidRPr="00000000" w14:paraId="00000782">
      <w:pPr>
        <w:pBdr>
          <w:top w:space="0" w:sz="0" w:val="nil"/>
          <w:left w:space="0" w:sz="0" w:val="nil"/>
          <w:bottom w:space="0" w:sz="0" w:val="nil"/>
          <w:right w:space="0" w:sz="0" w:val="nil"/>
          <w:between w:space="0" w:sz="0" w:val="nil"/>
        </w:pBdr>
        <w:spacing w:after="180" w:before="180" w:line="240" w:lineRule="auto"/>
        <w:rPr/>
      </w:pPr>
      <w:r w:rsidDel="00000000" w:rsidR="00000000" w:rsidRPr="00000000">
        <w:rPr>
          <w:color w:val="000000"/>
          <w:rtl w:val="0"/>
        </w:rPr>
        <w:t xml:space="preserve">Note: The code used here can be found at </w:t>
      </w:r>
      <w:hyperlink r:id="rId144">
        <w:r w:rsidDel="00000000" w:rsidR="00000000" w:rsidRPr="00000000">
          <w:rPr>
            <w:color w:val="0563c1"/>
            <w:sz w:val="24"/>
            <w:szCs w:val="24"/>
            <w:u w:val="single"/>
            <w:rtl w:val="0"/>
          </w:rPr>
          <w:t xml:space="preserve">https://github.com/stschiff/AngloSaxon_Y-chrom_sex-bias</w:t>
        </w:r>
      </w:hyperlink>
      <w:r w:rsidDel="00000000" w:rsidR="00000000" w:rsidRPr="00000000">
        <w:rPr>
          <w:rtl w:val="0"/>
        </w:rPr>
      </w:r>
    </w:p>
    <w:p w:rsidR="00000000" w:rsidDel="00000000" w:rsidP="00000000" w:rsidRDefault="00000000" w:rsidRPr="00000000" w14:paraId="00000783">
      <w:pPr>
        <w:pStyle w:val="Heading1"/>
        <w:rPr>
          <w:color w:val="000000"/>
          <w:sz w:val="28"/>
          <w:szCs w:val="28"/>
        </w:rPr>
      </w:pPr>
      <w:bookmarkStart w:colFirst="0" w:colLast="0" w:name="_heading=h.3q5sasy" w:id="66"/>
      <w:bookmarkEnd w:id="66"/>
      <w:r w:rsidDel="00000000" w:rsidR="00000000" w:rsidRPr="00000000">
        <w:rPr>
          <w:rtl w:val="0"/>
        </w:rPr>
      </w:r>
    </w:p>
    <w:p w:rsidR="00000000" w:rsidDel="00000000" w:rsidP="00000000" w:rsidRDefault="00000000" w:rsidRPr="00000000" w14:paraId="00000784">
      <w:pPr>
        <w:pStyle w:val="Heading1"/>
        <w:rPr>
          <w:color w:val="000000"/>
          <w:sz w:val="28"/>
          <w:szCs w:val="28"/>
        </w:rPr>
      </w:pPr>
      <w:bookmarkStart w:colFirst="0" w:colLast="0" w:name="_heading=h.25b2l0r" w:id="67"/>
      <w:bookmarkEnd w:id="67"/>
      <w:r w:rsidDel="00000000" w:rsidR="00000000" w:rsidRPr="00000000">
        <w:br w:type="page"/>
      </w:r>
      <w:r w:rsidDel="00000000" w:rsidR="00000000" w:rsidRPr="00000000">
        <w:rPr>
          <w:rtl w:val="0"/>
        </w:rPr>
      </w:r>
    </w:p>
    <w:p w:rsidR="00000000" w:rsidDel="00000000" w:rsidP="00000000" w:rsidRDefault="00000000" w:rsidRPr="00000000" w14:paraId="00000785">
      <w:pPr>
        <w:pStyle w:val="Heading1"/>
        <w:rPr>
          <w:i w:val="1"/>
          <w:color w:val="000000"/>
          <w:sz w:val="28"/>
          <w:szCs w:val="28"/>
        </w:rPr>
      </w:pPr>
      <w:bookmarkStart w:colFirst="0" w:colLast="0" w:name="_heading=h.kgcv8k" w:id="68"/>
      <w:bookmarkEnd w:id="68"/>
      <w:r w:rsidDel="00000000" w:rsidR="00000000" w:rsidRPr="00000000">
        <w:rPr>
          <w:color w:val="000000"/>
          <w:sz w:val="28"/>
          <w:szCs w:val="28"/>
          <w:rtl w:val="0"/>
        </w:rPr>
        <w:t xml:space="preserve">Supplementary Note 3 </w:t>
      </w:r>
      <w:r w:rsidDel="00000000" w:rsidR="00000000" w:rsidRPr="00000000">
        <w:rPr>
          <w:i w:val="1"/>
          <w:color w:val="000000"/>
          <w:sz w:val="28"/>
          <w:szCs w:val="28"/>
          <w:rtl w:val="0"/>
        </w:rPr>
        <w:t xml:space="preserve">Continental affinities in early medieval samples from England</w:t>
      </w:r>
    </w:p>
    <w:p w:rsidR="00000000" w:rsidDel="00000000" w:rsidP="00000000" w:rsidRDefault="00000000" w:rsidRPr="00000000" w14:paraId="00000786">
      <w:pPr>
        <w:rPr/>
      </w:pPr>
      <w:r w:rsidDel="00000000" w:rsidR="00000000" w:rsidRPr="00000000">
        <w:rPr>
          <w:rtl w:val="0"/>
        </w:rPr>
        <w:t xml:space="preserve">Our analysis of immigrant vs. local genetic ancestry in early medieval England follows a multi-step approach using a variety of methods. Because of space limitations in the main article, we here describe in full detail the steps involved.</w:t>
      </w:r>
    </w:p>
    <w:p w:rsidR="00000000" w:rsidDel="00000000" w:rsidP="00000000" w:rsidRDefault="00000000" w:rsidRPr="00000000" w14:paraId="00000787">
      <w:pPr>
        <w:pStyle w:val="Heading2"/>
        <w:rPr>
          <w:color w:val="000000"/>
        </w:rPr>
      </w:pPr>
      <w:bookmarkStart w:colFirst="0" w:colLast="0" w:name="_heading=h.34g0dwd" w:id="69"/>
      <w:bookmarkEnd w:id="69"/>
      <w:r w:rsidDel="00000000" w:rsidR="00000000" w:rsidRPr="00000000">
        <w:rPr>
          <w:color w:val="000000"/>
          <w:rtl w:val="0"/>
        </w:rPr>
        <w:t xml:space="preserve">General population genetic affinities</w:t>
      </w:r>
    </w:p>
    <w:p w:rsidR="00000000" w:rsidDel="00000000" w:rsidP="00000000" w:rsidRDefault="00000000" w:rsidRPr="00000000" w14:paraId="00000788">
      <w:pPr>
        <w:rPr>
          <w:i w:val="1"/>
          <w:color w:val="44546a"/>
          <w:sz w:val="18"/>
          <w:szCs w:val="18"/>
        </w:rPr>
      </w:pPr>
      <w:r w:rsidDel="00000000" w:rsidR="00000000" w:rsidRPr="00000000">
        <w:rPr>
          <w:rtl w:val="0"/>
        </w:rPr>
        <w:t xml:space="preserve">To assess the population genetic affinities of early medieval samples from England we performed two principal component analyses</w:t>
      </w:r>
      <w:hyperlink r:id="rId145">
        <w:r w:rsidDel="00000000" w:rsidR="00000000" w:rsidRPr="00000000">
          <w:rPr>
            <w:color w:val="000000"/>
            <w:vertAlign w:val="superscript"/>
            <w:rtl w:val="0"/>
          </w:rPr>
          <w:t xml:space="preserve">78</w:t>
        </w:r>
      </w:hyperlink>
      <w:r w:rsidDel="00000000" w:rsidR="00000000" w:rsidRPr="00000000">
        <w:rPr>
          <w:rtl w:val="0"/>
        </w:rPr>
        <w:t xml:space="preserve">, as described in </w:t>
      </w:r>
      <w:r w:rsidDel="00000000" w:rsidR="00000000" w:rsidRPr="00000000">
        <w:rPr>
          <w:i w:val="1"/>
          <w:rtl w:val="0"/>
        </w:rPr>
        <w:t xml:space="preserve">Methods</w:t>
      </w:r>
      <w:r w:rsidDel="00000000" w:rsidR="00000000" w:rsidRPr="00000000">
        <w:rPr>
          <w:rtl w:val="0"/>
        </w:rPr>
        <w:t xml:space="preserve">. Both the </w:t>
      </w:r>
      <w:r w:rsidDel="00000000" w:rsidR="00000000" w:rsidRPr="00000000">
        <w:rPr>
          <w:i w:val="1"/>
          <w:rtl w:val="0"/>
        </w:rPr>
        <w:t xml:space="preserve">North Sea PCA</w:t>
      </w:r>
      <w:r w:rsidDel="00000000" w:rsidR="00000000" w:rsidRPr="00000000">
        <w:rPr>
          <w:rtl w:val="0"/>
        </w:rPr>
        <w:t xml:space="preserve"> as well as the </w:t>
      </w:r>
      <w:r w:rsidDel="00000000" w:rsidR="00000000" w:rsidRPr="00000000">
        <w:rPr>
          <w:i w:val="1"/>
          <w:rtl w:val="0"/>
        </w:rPr>
        <w:t xml:space="preserve">Northwestern European PCA </w:t>
      </w:r>
      <w:r w:rsidDel="00000000" w:rsidR="00000000" w:rsidRPr="00000000">
        <w:rPr>
          <w:rtl w:val="0"/>
        </w:rPr>
        <w:t xml:space="preserve">imply strong genetic similarity between the early medieval genomes from England and i) present-day genomes of northern Germans and Danish as well as ii) medieval genomes from the Netherlands, northern Germany, and Denmark (Fig. 2, Ext. Data Fig 6). </w:t>
      </w:r>
      <w:r w:rsidDel="00000000" w:rsidR="00000000" w:rsidRPr="00000000">
        <w:rPr>
          <w:rtl w:val="0"/>
        </w:rPr>
      </w:r>
    </w:p>
    <w:p w:rsidR="00000000" w:rsidDel="00000000" w:rsidP="00000000" w:rsidRDefault="00000000" w:rsidRPr="00000000" w14:paraId="00000789">
      <w:pPr>
        <w:rPr/>
      </w:pPr>
      <w:r w:rsidDel="00000000" w:rsidR="00000000" w:rsidRPr="00000000">
        <w:rPr>
          <w:rtl w:val="0"/>
        </w:rPr>
        <w:t xml:space="preserve">The positioning in the Principal Component analyses was also reflected in unsupervised clustering using ADMIXTURE</w:t>
      </w:r>
      <w:hyperlink r:id="rId146">
        <w:r w:rsidDel="00000000" w:rsidR="00000000" w:rsidRPr="00000000">
          <w:rPr>
            <w:color w:val="000000"/>
            <w:vertAlign w:val="superscript"/>
            <w:rtl w:val="0"/>
          </w:rPr>
          <w:t xml:space="preserve">172</w:t>
        </w:r>
      </w:hyperlink>
      <w:r w:rsidDel="00000000" w:rsidR="00000000" w:rsidRPr="00000000">
        <w:rPr>
          <w:rtl w:val="0"/>
        </w:rPr>
        <w:t xml:space="preserve">. We ran unsupervised ADMIXTURE on the present-day data and projected the ancient data on the learned allele frequencies (Supp. Fig. 3.1a for</w:t>
      </w:r>
      <w:r w:rsidDel="00000000" w:rsidR="00000000" w:rsidRPr="00000000">
        <w:rPr>
          <w:i w:val="1"/>
          <w:rtl w:val="0"/>
        </w:rPr>
        <w:t xml:space="preserve"> K </w:t>
      </w:r>
      <w:r w:rsidDel="00000000" w:rsidR="00000000" w:rsidRPr="00000000">
        <w:rPr>
          <w:rtl w:val="0"/>
        </w:rPr>
        <w:t xml:space="preserve">= 5 and Supp. Fig. 3.1b for </w:t>
      </w:r>
      <w:r w:rsidDel="00000000" w:rsidR="00000000" w:rsidRPr="00000000">
        <w:rPr>
          <w:i w:val="1"/>
          <w:rtl w:val="0"/>
        </w:rPr>
        <w:t xml:space="preserve">K </w:t>
      </w:r>
      <w:r w:rsidDel="00000000" w:rsidR="00000000" w:rsidRPr="00000000">
        <w:rPr>
          <w:rtl w:val="0"/>
        </w:rPr>
        <w:t xml:space="preserve">= 6). At </w:t>
      </w:r>
      <w:r w:rsidDel="00000000" w:rsidR="00000000" w:rsidRPr="00000000">
        <w:rPr>
          <w:i w:val="1"/>
          <w:rtl w:val="0"/>
        </w:rPr>
        <w:t xml:space="preserve">K </w:t>
      </w:r>
      <w:r w:rsidDel="00000000" w:rsidR="00000000" w:rsidRPr="00000000">
        <w:rPr>
          <w:rtl w:val="0"/>
        </w:rPr>
        <w:t xml:space="preserve">= 5, early medieval genomes from England harbour two major genetic components, one “central and northern European” component maximized in ancient individuals from Lower Saxony (especially Schortens, Dunum, and Drantum) as well as present-day Scandinavians (Norway and Sweden), and one “Insular Celtic” component maximized in Iron Age English and medieval Irish as well as present-day Irish, Welsh, and Scottish. Hierarchical clustering of Euclidean distances calculated on the inferred proportions using Ward's minimum variance method (ward.D2) verifies that the early medieval English form a clade with medieval and present-day continental northern European populations and not with ancient and/or modern British-Irish populations (Supp. Fig. 3.2a). At </w:t>
      </w:r>
      <w:r w:rsidDel="00000000" w:rsidR="00000000" w:rsidRPr="00000000">
        <w:rPr>
          <w:i w:val="1"/>
          <w:rtl w:val="0"/>
        </w:rPr>
        <w:t xml:space="preserve">K </w:t>
      </w:r>
      <w:r w:rsidDel="00000000" w:rsidR="00000000" w:rsidRPr="00000000">
        <w:rPr>
          <w:rtl w:val="0"/>
        </w:rPr>
        <w:t xml:space="preserve">= 6, the “central and northern European” component splits into a “Scandinavian” component (maximised in modern Swedes and Norwegians) and a “North Sea” component, which is maximised in ancient samples from Lower Saxony, as well as in modern Dutch, Danish, English, and Northern Germans (Supp. Fig.  3.2b). Remarkably, modern English display a mosaic of different components, with the “North Sea” component showing the largest proportion. Furthermore, we detect a large “Scandinavian” and “Insular Celtic” component as well as a substantial “southern European” introgression (Supp. Fig. 3.2b). </w:t>
      </w:r>
    </w:p>
    <w:p w:rsidR="00000000" w:rsidDel="00000000" w:rsidP="00000000" w:rsidRDefault="00000000" w:rsidRPr="00000000" w14:paraId="0000078A">
      <w:pPr>
        <w:rPr/>
      </w:pPr>
      <w:r w:rsidDel="00000000" w:rsidR="00000000" w:rsidRPr="00000000">
        <w:rPr/>
        <w:drawing>
          <wp:inline distB="0" distT="0" distL="0" distR="0">
            <wp:extent cx="5760720" cy="7891145"/>
            <wp:effectExtent b="0" l="0" r="0" t="0"/>
            <wp:docPr descr="A screenshot of a computer&#10;&#10;Description automatically generated with low confidence" id="148" name="image29.png"/>
            <a:graphic>
              <a:graphicData uri="http://schemas.openxmlformats.org/drawingml/2006/picture">
                <pic:pic>
                  <pic:nvPicPr>
                    <pic:cNvPr descr="A screenshot of a computer&#10;&#10;Description automatically generated with low confidence" id="0" name="image29.png"/>
                    <pic:cNvPicPr preferRelativeResize="0"/>
                  </pic:nvPicPr>
                  <pic:blipFill>
                    <a:blip r:embed="rId147"/>
                    <a:srcRect b="0" l="0" r="0" t="0"/>
                    <a:stretch>
                      <a:fillRect/>
                    </a:stretch>
                  </pic:blipFill>
                  <pic:spPr>
                    <a:xfrm>
                      <a:off x="0" y="0"/>
                      <a:ext cx="5760720" cy="7891145"/>
                    </a:xfrm>
                    <a:prstGeom prst="rect"/>
                    <a:ln/>
                  </pic:spPr>
                </pic:pic>
              </a:graphicData>
            </a:graphic>
          </wp:inline>
        </w:drawing>
      </w:r>
      <w:r w:rsidDel="00000000" w:rsidR="00000000" w:rsidRPr="00000000">
        <w:rPr>
          <w:rtl w:val="0"/>
        </w:rPr>
      </w:r>
    </w:p>
    <w:p w:rsidR="00000000" w:rsidDel="00000000" w:rsidP="00000000" w:rsidRDefault="00000000" w:rsidRPr="00000000" w14:paraId="0000078B">
      <w:pPr>
        <w:pBdr>
          <w:top w:space="0" w:sz="0" w:val="nil"/>
          <w:left w:space="0" w:sz="0" w:val="nil"/>
          <w:bottom w:space="0" w:sz="0" w:val="nil"/>
          <w:right w:space="0" w:sz="0" w:val="nil"/>
          <w:between w:space="0" w:sz="0" w:val="nil"/>
        </w:pBdr>
        <w:spacing w:after="200" w:line="240" w:lineRule="auto"/>
        <w:rPr>
          <w:i w:val="1"/>
          <w:sz w:val="18"/>
          <w:szCs w:val="18"/>
        </w:rPr>
      </w:pPr>
      <w:r w:rsidDel="00000000" w:rsidR="00000000" w:rsidRPr="00000000">
        <w:rPr>
          <w:b w:val="1"/>
          <w:i w:val="1"/>
          <w:sz w:val="18"/>
          <w:szCs w:val="18"/>
          <w:rtl w:val="0"/>
        </w:rPr>
        <w:t xml:space="preserve">Supplementary Figure 3.1, Unsupervised ADMIXTURE analysis of present-day samples. </w:t>
      </w:r>
      <w:r w:rsidDel="00000000" w:rsidR="00000000" w:rsidRPr="00000000">
        <w:rPr>
          <w:i w:val="1"/>
          <w:sz w:val="18"/>
          <w:szCs w:val="18"/>
          <w:rtl w:val="0"/>
        </w:rPr>
        <w:t xml:space="preserve">Hierarchical clustering of Euclidean distances calculated on the mean ancestry component proportions from unsupervised ADMIXTURE analysis, using Ward's minimum variance method (ward.D2) presented as a phylogram. The bar chart below each branch shows the mean ancestry proportions from unsupervised ADMIXTURE for the respective population. a) For K = 5. b) For K = 6. </w:t>
      </w:r>
    </w:p>
    <w:p w:rsidR="00000000" w:rsidDel="00000000" w:rsidP="00000000" w:rsidRDefault="00000000" w:rsidRPr="00000000" w14:paraId="0000078C">
      <w:pPr>
        <w:pBdr>
          <w:top w:space="0" w:sz="0" w:val="nil"/>
          <w:left w:space="0" w:sz="0" w:val="nil"/>
          <w:bottom w:space="0" w:sz="0" w:val="nil"/>
          <w:right w:space="0" w:sz="0" w:val="nil"/>
          <w:between w:space="0" w:sz="0" w:val="nil"/>
        </w:pBdr>
        <w:spacing w:after="200" w:line="240" w:lineRule="auto"/>
        <w:rPr>
          <w:i w:val="1"/>
          <w:color w:val="44546a"/>
          <w:sz w:val="18"/>
          <w:szCs w:val="18"/>
        </w:rPr>
      </w:pPr>
      <w:r w:rsidDel="00000000" w:rsidR="00000000" w:rsidRPr="00000000">
        <w:rPr/>
        <w:drawing>
          <wp:inline distB="0" distT="0" distL="0" distR="0">
            <wp:extent cx="5760720" cy="4337050"/>
            <wp:effectExtent b="0" l="0" r="0" t="0"/>
            <wp:docPr descr="A picture containing text, writing implement, stationary, pencil&#10;&#10;Description automatically generated" id="149" name="image31.png"/>
            <a:graphic>
              <a:graphicData uri="http://schemas.openxmlformats.org/drawingml/2006/picture">
                <pic:pic>
                  <pic:nvPicPr>
                    <pic:cNvPr descr="A picture containing text, writing implement, stationary, pencil&#10;&#10;Description automatically generated" id="0" name="image31.png"/>
                    <pic:cNvPicPr preferRelativeResize="0"/>
                  </pic:nvPicPr>
                  <pic:blipFill>
                    <a:blip r:embed="rId148"/>
                    <a:srcRect b="0" l="0" r="0" t="0"/>
                    <a:stretch>
                      <a:fillRect/>
                    </a:stretch>
                  </pic:blipFill>
                  <pic:spPr>
                    <a:xfrm>
                      <a:off x="0" y="0"/>
                      <a:ext cx="5760720" cy="4337050"/>
                    </a:xfrm>
                    <a:prstGeom prst="rect"/>
                    <a:ln/>
                  </pic:spPr>
                </pic:pic>
              </a:graphicData>
            </a:graphic>
          </wp:inline>
        </w:drawing>
      </w:r>
      <w:r w:rsidDel="00000000" w:rsidR="00000000" w:rsidRPr="00000000">
        <w:rPr>
          <w:rtl w:val="0"/>
        </w:rPr>
      </w:r>
    </w:p>
    <w:p w:rsidR="00000000" w:rsidDel="00000000" w:rsidP="00000000" w:rsidRDefault="00000000" w:rsidRPr="00000000" w14:paraId="0000078D">
      <w:pPr>
        <w:spacing w:after="200" w:line="240" w:lineRule="auto"/>
        <w:rPr>
          <w:i w:val="1"/>
          <w:sz w:val="18"/>
          <w:szCs w:val="18"/>
        </w:rPr>
      </w:pPr>
      <w:r w:rsidDel="00000000" w:rsidR="00000000" w:rsidRPr="00000000">
        <w:rPr>
          <w:b w:val="1"/>
          <w:i w:val="1"/>
          <w:sz w:val="18"/>
          <w:szCs w:val="18"/>
          <w:rtl w:val="0"/>
        </w:rPr>
        <w:t xml:space="preserve">Supplementary Figure 3.2, Unsupervised ADMIXTURE analysis of present-day and ancient samples.</w:t>
      </w:r>
      <w:r w:rsidDel="00000000" w:rsidR="00000000" w:rsidRPr="00000000">
        <w:rPr>
          <w:i w:val="1"/>
          <w:sz w:val="18"/>
          <w:szCs w:val="18"/>
          <w:rtl w:val="0"/>
        </w:rPr>
        <w:t xml:space="preserve"> Hierarchical clustering of Euclidean distances calculated on the mean ancestry component proportions from unsupervised ADMIXTURE projection analysis, using Ward's minimum variance method (ward.D2) presented as a phylogram. The bar chart below each branch shows the mean ancestry proportions from unsupervised ADMIXTURE for the respective population. The averaged proportions are also depicted as pie charts on top of their respective geographical origin. a) For K = 5 at the population level. b) For K = 5 at the site level. c) For K = 5 at the population level. d) For K = 5 at the site level. </w:t>
      </w:r>
    </w:p>
    <w:p w:rsidR="00000000" w:rsidDel="00000000" w:rsidP="00000000" w:rsidRDefault="00000000" w:rsidRPr="00000000" w14:paraId="0000078E">
      <w:pPr>
        <w:rPr/>
      </w:pPr>
      <w:r w:rsidDel="00000000" w:rsidR="00000000" w:rsidRPr="00000000">
        <w:rPr>
          <w:rtl w:val="0"/>
        </w:rPr>
        <w:t xml:space="preserve">The affinity to present-day populations from the North Sea area was verified using i) F</w:t>
      </w:r>
      <w:r w:rsidDel="00000000" w:rsidR="00000000" w:rsidRPr="00000000">
        <w:rPr>
          <w:vertAlign w:val="subscript"/>
          <w:rtl w:val="0"/>
        </w:rPr>
        <w:t xml:space="preserve">ST</w:t>
      </w:r>
      <w:r w:rsidDel="00000000" w:rsidR="00000000" w:rsidRPr="00000000">
        <w:rPr>
          <w:rtl w:val="0"/>
        </w:rPr>
        <w:t xml:space="preserve"> (Methods) calculated between all early medieval genomes from England grouped together and a set of present-day European populations (Extended Data Fig. 1a, Supp. Table 3.1), ii) </w:t>
      </w:r>
      <w:r w:rsidDel="00000000" w:rsidR="00000000" w:rsidRPr="00000000">
        <w:rPr>
          <w:i w:val="1"/>
          <w:rtl w:val="0"/>
        </w:rPr>
        <w:t xml:space="preserve">F</w:t>
      </w:r>
      <w:r w:rsidDel="00000000" w:rsidR="00000000" w:rsidRPr="00000000">
        <w:rPr>
          <w:vertAlign w:val="subscript"/>
          <w:rtl w:val="0"/>
        </w:rPr>
        <w:t xml:space="preserve">4</w:t>
      </w:r>
      <w:r w:rsidDel="00000000" w:rsidR="00000000" w:rsidRPr="00000000">
        <w:rPr>
          <w:rtl w:val="0"/>
        </w:rPr>
        <w:t xml:space="preserve"> statistics</w:t>
      </w:r>
      <w:hyperlink r:id="rId149">
        <w:r w:rsidDel="00000000" w:rsidR="00000000" w:rsidRPr="00000000">
          <w:rPr>
            <w:color w:val="000000"/>
            <w:vertAlign w:val="superscript"/>
            <w:rtl w:val="0"/>
          </w:rPr>
          <w:t xml:space="preserve">174</w:t>
        </w:r>
      </w:hyperlink>
      <w:r w:rsidDel="00000000" w:rsidR="00000000" w:rsidRPr="00000000">
        <w:rPr>
          <w:rtl w:val="0"/>
        </w:rPr>
        <w:t xml:space="preserve"> (Methods) of the form </w:t>
      </w:r>
      <w:r w:rsidDel="00000000" w:rsidR="00000000" w:rsidRPr="00000000">
        <w:rPr>
          <w:i w:val="1"/>
          <w:rtl w:val="0"/>
        </w:rPr>
        <w:t xml:space="preserve">F</w:t>
      </w:r>
      <w:r w:rsidDel="00000000" w:rsidR="00000000" w:rsidRPr="00000000">
        <w:rPr>
          <w:vertAlign w:val="subscript"/>
          <w:rtl w:val="0"/>
        </w:rPr>
        <w:t xml:space="preserve">4</w:t>
      </w:r>
      <w:r w:rsidDel="00000000" w:rsidR="00000000" w:rsidRPr="00000000">
        <w:rPr>
          <w:rtl w:val="0"/>
        </w:rPr>
        <w:t xml:space="preserve">(YRI, </w:t>
      </w:r>
      <w:r w:rsidDel="00000000" w:rsidR="00000000" w:rsidRPr="00000000">
        <w:rPr>
          <w:i w:val="1"/>
          <w:rtl w:val="0"/>
        </w:rPr>
        <w:t xml:space="preserve">TestA</w:t>
      </w:r>
      <w:r w:rsidDel="00000000" w:rsidR="00000000" w:rsidRPr="00000000">
        <w:rPr>
          <w:rtl w:val="0"/>
        </w:rPr>
        <w:t xml:space="preserve">; Ireland, </w:t>
      </w:r>
      <w:r w:rsidDel="00000000" w:rsidR="00000000" w:rsidRPr="00000000">
        <w:rPr>
          <w:i w:val="1"/>
          <w:rtl w:val="0"/>
        </w:rPr>
        <w:t xml:space="preserve">TestB</w:t>
      </w:r>
      <w:r w:rsidDel="00000000" w:rsidR="00000000" w:rsidRPr="00000000">
        <w:rPr>
          <w:rtl w:val="0"/>
        </w:rPr>
        <w:t xml:space="preserve">) and of the form </w:t>
      </w:r>
      <w:r w:rsidDel="00000000" w:rsidR="00000000" w:rsidRPr="00000000">
        <w:rPr>
          <w:i w:val="1"/>
          <w:rtl w:val="0"/>
        </w:rPr>
        <w:t xml:space="preserve">F</w:t>
      </w:r>
      <w:r w:rsidDel="00000000" w:rsidR="00000000" w:rsidRPr="00000000">
        <w:rPr>
          <w:vertAlign w:val="subscript"/>
          <w:rtl w:val="0"/>
        </w:rPr>
        <w:t xml:space="preserve">4</w:t>
      </w:r>
      <w:r w:rsidDel="00000000" w:rsidR="00000000" w:rsidRPr="00000000">
        <w:rPr>
          <w:rtl w:val="0"/>
        </w:rPr>
        <w:t xml:space="preserve">(YRI, </w:t>
      </w:r>
      <w:r w:rsidDel="00000000" w:rsidR="00000000" w:rsidRPr="00000000">
        <w:rPr>
          <w:i w:val="1"/>
          <w:rtl w:val="0"/>
        </w:rPr>
        <w:t xml:space="preserve">TestA</w:t>
      </w:r>
      <w:r w:rsidDel="00000000" w:rsidR="00000000" w:rsidRPr="00000000">
        <w:rPr>
          <w:rtl w:val="0"/>
        </w:rPr>
        <w:t xml:space="preserve">; Denmark, </w:t>
      </w:r>
      <w:r w:rsidDel="00000000" w:rsidR="00000000" w:rsidRPr="00000000">
        <w:rPr>
          <w:i w:val="1"/>
          <w:rtl w:val="0"/>
        </w:rPr>
        <w:t xml:space="preserve">TestB</w:t>
      </w:r>
      <w:r w:rsidDel="00000000" w:rsidR="00000000" w:rsidRPr="00000000">
        <w:rPr>
          <w:rtl w:val="0"/>
        </w:rPr>
        <w:t xml:space="preserve">), where </w:t>
      </w:r>
      <w:r w:rsidDel="00000000" w:rsidR="00000000" w:rsidRPr="00000000">
        <w:rPr>
          <w:i w:val="1"/>
          <w:rtl w:val="0"/>
        </w:rPr>
        <w:t xml:space="preserve">TestB</w:t>
      </w:r>
      <w:r w:rsidDel="00000000" w:rsidR="00000000" w:rsidRPr="00000000">
        <w:rPr>
          <w:rtl w:val="0"/>
        </w:rPr>
        <w:t xml:space="preserve"> iterates through 11 present-day European populations and </w:t>
      </w:r>
      <w:r w:rsidDel="00000000" w:rsidR="00000000" w:rsidRPr="00000000">
        <w:rPr>
          <w:i w:val="1"/>
          <w:rtl w:val="0"/>
        </w:rPr>
        <w:t xml:space="preserve">TestA </w:t>
      </w:r>
      <w:r w:rsidDel="00000000" w:rsidR="00000000" w:rsidRPr="00000000">
        <w:rPr>
          <w:rtl w:val="0"/>
        </w:rPr>
        <w:t xml:space="preserve">iterates through 9 ancient and present-day English populations (Extended Data Fig. 1c and Extended Data Fig. 1d, Supp. Table 3.4 and 3.4) and iii) </w:t>
      </w:r>
      <w:r w:rsidDel="00000000" w:rsidR="00000000" w:rsidRPr="00000000">
        <w:rPr>
          <w:i w:val="1"/>
          <w:rtl w:val="0"/>
        </w:rPr>
        <w:t xml:space="preserve">F</w:t>
      </w:r>
      <w:r w:rsidDel="00000000" w:rsidR="00000000" w:rsidRPr="00000000">
        <w:rPr>
          <w:vertAlign w:val="subscript"/>
          <w:rtl w:val="0"/>
        </w:rPr>
        <w:t xml:space="preserve">4</w:t>
      </w:r>
      <w:r w:rsidDel="00000000" w:rsidR="00000000" w:rsidRPr="00000000">
        <w:rPr>
          <w:rtl w:val="0"/>
        </w:rPr>
        <w:t xml:space="preserve"> statistics of the form </w:t>
      </w:r>
      <w:r w:rsidDel="00000000" w:rsidR="00000000" w:rsidRPr="00000000">
        <w:rPr>
          <w:i w:val="1"/>
          <w:rtl w:val="0"/>
        </w:rPr>
        <w:t xml:space="preserve">F</w:t>
      </w:r>
      <w:r w:rsidDel="00000000" w:rsidR="00000000" w:rsidRPr="00000000">
        <w:rPr>
          <w:vertAlign w:val="subscript"/>
          <w:rtl w:val="0"/>
        </w:rPr>
        <w:t xml:space="preserve">4</w:t>
      </w:r>
      <w:r w:rsidDel="00000000" w:rsidR="00000000" w:rsidRPr="00000000">
        <w:rPr>
          <w:rtl w:val="0"/>
        </w:rPr>
        <w:t xml:space="preserve">(YRI, </w:t>
      </w:r>
      <w:r w:rsidDel="00000000" w:rsidR="00000000" w:rsidRPr="00000000">
        <w:rPr>
          <w:i w:val="1"/>
          <w:rtl w:val="0"/>
        </w:rPr>
        <w:t xml:space="preserve">X</w:t>
      </w:r>
      <w:r w:rsidDel="00000000" w:rsidR="00000000" w:rsidRPr="00000000">
        <w:rPr>
          <w:rtl w:val="0"/>
        </w:rPr>
        <w:t xml:space="preserve">; Denmark, </w:t>
      </w:r>
      <w:r w:rsidDel="00000000" w:rsidR="00000000" w:rsidRPr="00000000">
        <w:rPr>
          <w:i w:val="1"/>
          <w:rtl w:val="0"/>
        </w:rPr>
        <w:t xml:space="preserve">Test</w:t>
      </w:r>
      <w:r w:rsidDel="00000000" w:rsidR="00000000" w:rsidRPr="00000000">
        <w:rPr>
          <w:rtl w:val="0"/>
        </w:rPr>
        <w:t xml:space="preserve">) (Supp. Fig. 3.3a, Supp. table 3.5) and of the form </w:t>
      </w:r>
      <w:r w:rsidDel="00000000" w:rsidR="00000000" w:rsidRPr="00000000">
        <w:rPr>
          <w:i w:val="1"/>
          <w:rtl w:val="0"/>
        </w:rPr>
        <w:t xml:space="preserve">F</w:t>
      </w:r>
      <w:r w:rsidDel="00000000" w:rsidR="00000000" w:rsidRPr="00000000">
        <w:rPr>
          <w:vertAlign w:val="subscript"/>
          <w:rtl w:val="0"/>
        </w:rPr>
        <w:t xml:space="preserve">4</w:t>
      </w:r>
      <w:r w:rsidDel="00000000" w:rsidR="00000000" w:rsidRPr="00000000">
        <w:rPr>
          <w:rtl w:val="0"/>
        </w:rPr>
        <w:t xml:space="preserve">(YRI, </w:t>
      </w:r>
      <w:r w:rsidDel="00000000" w:rsidR="00000000" w:rsidRPr="00000000">
        <w:rPr>
          <w:i w:val="1"/>
          <w:rtl w:val="0"/>
        </w:rPr>
        <w:t xml:space="preserve">X</w:t>
      </w:r>
      <w:r w:rsidDel="00000000" w:rsidR="00000000" w:rsidRPr="00000000">
        <w:rPr>
          <w:rtl w:val="0"/>
        </w:rPr>
        <w:t xml:space="preserve">; Ireland, </w:t>
      </w:r>
      <w:r w:rsidDel="00000000" w:rsidR="00000000" w:rsidRPr="00000000">
        <w:rPr>
          <w:i w:val="1"/>
          <w:rtl w:val="0"/>
        </w:rPr>
        <w:t xml:space="preserve">Test</w:t>
      </w:r>
      <w:r w:rsidDel="00000000" w:rsidR="00000000" w:rsidRPr="00000000">
        <w:rPr>
          <w:rtl w:val="0"/>
        </w:rPr>
        <w:t xml:space="preserve">) (Supp. Fig. 3.3b, Supp. Table 3.6), where </w:t>
      </w:r>
      <w:r w:rsidDel="00000000" w:rsidR="00000000" w:rsidRPr="00000000">
        <w:rPr>
          <w:i w:val="1"/>
          <w:rtl w:val="0"/>
        </w:rPr>
        <w:t xml:space="preserve">Test</w:t>
      </w:r>
      <w:r w:rsidDel="00000000" w:rsidR="00000000" w:rsidRPr="00000000">
        <w:rPr>
          <w:rtl w:val="0"/>
        </w:rPr>
        <w:t xml:space="preserve"> iterates through 13 European populations and </w:t>
      </w:r>
      <w:r w:rsidDel="00000000" w:rsidR="00000000" w:rsidRPr="00000000">
        <w:rPr>
          <w:i w:val="1"/>
          <w:rtl w:val="0"/>
        </w:rPr>
        <w:t xml:space="preserve">X </w:t>
      </w:r>
      <w:r w:rsidDel="00000000" w:rsidR="00000000" w:rsidRPr="00000000">
        <w:rPr>
          <w:rtl w:val="0"/>
        </w:rPr>
        <w:t xml:space="preserve">iterates through each ancient genome from England individually (</w:t>
      </w:r>
      <w:r w:rsidDel="00000000" w:rsidR="00000000" w:rsidRPr="00000000">
        <w:rPr>
          <w:i w:val="1"/>
          <w:rtl w:val="0"/>
        </w:rPr>
        <w:t xml:space="preserve">n </w:t>
      </w:r>
      <w:r w:rsidDel="00000000" w:rsidR="00000000" w:rsidRPr="00000000">
        <w:rPr>
          <w:rtl w:val="0"/>
        </w:rPr>
        <w:t xml:space="preserve">= 728) (corresponding </w:t>
      </w:r>
      <w:r w:rsidDel="00000000" w:rsidR="00000000" w:rsidRPr="00000000">
        <w:rPr>
          <w:i w:val="1"/>
          <w:rtl w:val="0"/>
        </w:rPr>
        <w:t xml:space="preserve">Z</w:t>
      </w:r>
      <w:r w:rsidDel="00000000" w:rsidR="00000000" w:rsidRPr="00000000">
        <w:rPr>
          <w:rtl w:val="0"/>
        </w:rPr>
        <w:t xml:space="preserve">-values are depicted in Supp. Fig. 3.3a and Supp. Fig. 3.3b, respectively). While our early medieval genomes from England were significantly closer related to present-day northern Germans, Danes, and English than to any other population, Iron and Roman Age individuals showed higher similarity to present-day Irish, northern Irish, Scottish and Welsh. We therefore consider these populations to be the closest modern proxies for the respective ancient populations. </w:t>
      </w:r>
    </w:p>
    <w:p w:rsidR="00000000" w:rsidDel="00000000" w:rsidP="00000000" w:rsidRDefault="00000000" w:rsidRPr="00000000" w14:paraId="0000078F">
      <w:pPr>
        <w:rPr/>
      </w:pPr>
      <w:r w:rsidDel="00000000" w:rsidR="00000000" w:rsidRPr="00000000">
        <w:rPr/>
        <w:drawing>
          <wp:inline distB="0" distT="0" distL="0" distR="0">
            <wp:extent cx="5760720" cy="7453630"/>
            <wp:effectExtent b="0" l="0" r="0" t="0"/>
            <wp:docPr descr="Chart, scatter chart&#10;&#10;Description automatically generated" id="150" name="image38.png"/>
            <a:graphic>
              <a:graphicData uri="http://schemas.openxmlformats.org/drawingml/2006/picture">
                <pic:pic>
                  <pic:nvPicPr>
                    <pic:cNvPr descr="Chart, scatter chart&#10;&#10;Description automatically generated" id="0" name="image38.png"/>
                    <pic:cNvPicPr preferRelativeResize="0"/>
                  </pic:nvPicPr>
                  <pic:blipFill>
                    <a:blip r:embed="rId150"/>
                    <a:srcRect b="0" l="0" r="0" t="0"/>
                    <a:stretch>
                      <a:fillRect/>
                    </a:stretch>
                  </pic:blipFill>
                  <pic:spPr>
                    <a:xfrm>
                      <a:off x="0" y="0"/>
                      <a:ext cx="5760720" cy="7453630"/>
                    </a:xfrm>
                    <a:prstGeom prst="rect"/>
                    <a:ln/>
                  </pic:spPr>
                </pic:pic>
              </a:graphicData>
            </a:graphic>
          </wp:inline>
        </w:drawing>
      </w:r>
      <w:r w:rsidDel="00000000" w:rsidR="00000000" w:rsidRPr="00000000">
        <w:rPr>
          <w:rtl w:val="0"/>
        </w:rPr>
      </w:r>
    </w:p>
    <w:p w:rsidR="00000000" w:rsidDel="00000000" w:rsidP="00000000" w:rsidRDefault="00000000" w:rsidRPr="00000000" w14:paraId="00000790">
      <w:pPr>
        <w:rPr>
          <w:i w:val="1"/>
          <w:sz w:val="18"/>
          <w:szCs w:val="18"/>
        </w:rPr>
      </w:pPr>
      <w:r w:rsidDel="00000000" w:rsidR="00000000" w:rsidRPr="00000000">
        <w:rPr>
          <w:b w:val="1"/>
          <w:i w:val="1"/>
          <w:sz w:val="18"/>
          <w:szCs w:val="18"/>
          <w:rtl w:val="0"/>
        </w:rPr>
        <w:t xml:space="preserve">Supplementary Figure 3.3, Individual-based population affinities through time</w:t>
      </w:r>
      <w:r w:rsidDel="00000000" w:rsidR="00000000" w:rsidRPr="00000000">
        <w:rPr>
          <w:i w:val="1"/>
          <w:sz w:val="18"/>
          <w:szCs w:val="18"/>
          <w:rtl w:val="0"/>
        </w:rPr>
        <w:t xml:space="preserve">. a) F</w:t>
      </w:r>
      <w:r w:rsidDel="00000000" w:rsidR="00000000" w:rsidRPr="00000000">
        <w:rPr>
          <w:i w:val="1"/>
          <w:sz w:val="18"/>
          <w:szCs w:val="18"/>
          <w:vertAlign w:val="subscript"/>
          <w:rtl w:val="0"/>
        </w:rPr>
        <w:t xml:space="preserve">4</w:t>
      </w:r>
      <w:r w:rsidDel="00000000" w:rsidR="00000000" w:rsidRPr="00000000">
        <w:rPr>
          <w:i w:val="1"/>
          <w:sz w:val="18"/>
          <w:szCs w:val="18"/>
          <w:rtl w:val="0"/>
        </w:rPr>
        <w:t xml:space="preserve"> statistics of the form F</w:t>
      </w:r>
      <w:r w:rsidDel="00000000" w:rsidR="00000000" w:rsidRPr="00000000">
        <w:rPr>
          <w:i w:val="1"/>
          <w:sz w:val="18"/>
          <w:szCs w:val="18"/>
          <w:vertAlign w:val="subscript"/>
          <w:rtl w:val="0"/>
        </w:rPr>
        <w:t xml:space="preserve">4</w:t>
      </w:r>
      <w:r w:rsidDel="00000000" w:rsidR="00000000" w:rsidRPr="00000000">
        <w:rPr>
          <w:i w:val="1"/>
          <w:sz w:val="18"/>
          <w:szCs w:val="18"/>
          <w:rtl w:val="0"/>
        </w:rPr>
        <w:t xml:space="preserve">(YRI, X; Denmark, Test), where Test iterates through European populations (n = 13) and X iterates through each ancient post-Neolithic genome from England individually (n = 728) with the Yoruba from Nigeria (YRI) as an outgroup (n = 91). F</w:t>
      </w:r>
      <w:r w:rsidDel="00000000" w:rsidR="00000000" w:rsidRPr="00000000">
        <w:rPr>
          <w:i w:val="1"/>
          <w:sz w:val="18"/>
          <w:szCs w:val="18"/>
          <w:vertAlign w:val="subscript"/>
          <w:rtl w:val="0"/>
        </w:rPr>
        <w:t xml:space="preserve">4</w:t>
      </w:r>
      <w:r w:rsidDel="00000000" w:rsidR="00000000" w:rsidRPr="00000000">
        <w:rPr>
          <w:i w:val="1"/>
          <w:sz w:val="18"/>
          <w:szCs w:val="18"/>
          <w:rtl w:val="0"/>
        </w:rPr>
        <w:t xml:space="preserve"> values are shown as boxplots. b) Same as in a) but for the F</w:t>
      </w:r>
      <w:r w:rsidDel="00000000" w:rsidR="00000000" w:rsidRPr="00000000">
        <w:rPr>
          <w:i w:val="1"/>
          <w:sz w:val="18"/>
          <w:szCs w:val="18"/>
          <w:vertAlign w:val="subscript"/>
          <w:rtl w:val="0"/>
        </w:rPr>
        <w:t xml:space="preserve">4</w:t>
      </w:r>
      <w:r w:rsidDel="00000000" w:rsidR="00000000" w:rsidRPr="00000000">
        <w:rPr>
          <w:i w:val="1"/>
          <w:sz w:val="18"/>
          <w:szCs w:val="18"/>
          <w:rtl w:val="0"/>
        </w:rPr>
        <w:t xml:space="preserve"> statistic of the form F</w:t>
      </w:r>
      <w:r w:rsidDel="00000000" w:rsidR="00000000" w:rsidRPr="00000000">
        <w:rPr>
          <w:i w:val="1"/>
          <w:sz w:val="18"/>
          <w:szCs w:val="18"/>
          <w:vertAlign w:val="subscript"/>
          <w:rtl w:val="0"/>
        </w:rPr>
        <w:t xml:space="preserve">4</w:t>
      </w:r>
      <w:r w:rsidDel="00000000" w:rsidR="00000000" w:rsidRPr="00000000">
        <w:rPr>
          <w:i w:val="1"/>
          <w:sz w:val="18"/>
          <w:szCs w:val="18"/>
          <w:rtl w:val="0"/>
        </w:rPr>
        <w:t xml:space="preserve">(YRI, X; Ireland, Test). Bounds of the Box represent the 25</w:t>
      </w:r>
      <w:r w:rsidDel="00000000" w:rsidR="00000000" w:rsidRPr="00000000">
        <w:rPr>
          <w:i w:val="1"/>
          <w:sz w:val="18"/>
          <w:szCs w:val="18"/>
          <w:vertAlign w:val="superscript"/>
          <w:rtl w:val="0"/>
        </w:rPr>
        <w:t xml:space="preserve">th</w:t>
      </w:r>
      <w:r w:rsidDel="00000000" w:rsidR="00000000" w:rsidRPr="00000000">
        <w:rPr>
          <w:i w:val="1"/>
          <w:sz w:val="18"/>
          <w:szCs w:val="18"/>
          <w:rtl w:val="0"/>
        </w:rPr>
        <w:t xml:space="preserve"> and 75</w:t>
      </w:r>
      <w:r w:rsidDel="00000000" w:rsidR="00000000" w:rsidRPr="00000000">
        <w:rPr>
          <w:i w:val="1"/>
          <w:sz w:val="18"/>
          <w:szCs w:val="18"/>
          <w:vertAlign w:val="superscript"/>
          <w:rtl w:val="0"/>
        </w:rPr>
        <w:t xml:space="preserve">th</w:t>
      </w:r>
      <w:r w:rsidDel="00000000" w:rsidR="00000000" w:rsidRPr="00000000">
        <w:rPr>
          <w:i w:val="1"/>
          <w:sz w:val="18"/>
          <w:szCs w:val="18"/>
          <w:rtl w:val="0"/>
        </w:rPr>
        <w:t xml:space="preserve"> Percentile. The centre represents the median. Whiskers represent the smallest value greater than the 25</w:t>
      </w:r>
      <w:r w:rsidDel="00000000" w:rsidR="00000000" w:rsidRPr="00000000">
        <w:rPr>
          <w:i w:val="1"/>
          <w:sz w:val="18"/>
          <w:szCs w:val="18"/>
          <w:vertAlign w:val="superscript"/>
          <w:rtl w:val="0"/>
        </w:rPr>
        <w:t xml:space="preserve">th</w:t>
      </w:r>
      <w:r w:rsidDel="00000000" w:rsidR="00000000" w:rsidRPr="00000000">
        <w:rPr>
          <w:i w:val="1"/>
          <w:sz w:val="18"/>
          <w:szCs w:val="18"/>
          <w:rtl w:val="0"/>
        </w:rPr>
        <w:t xml:space="preserve"> Percentile minus 1.5 times the interquartile range and largest value less than the 75</w:t>
      </w:r>
      <w:r w:rsidDel="00000000" w:rsidR="00000000" w:rsidRPr="00000000">
        <w:rPr>
          <w:i w:val="1"/>
          <w:sz w:val="18"/>
          <w:szCs w:val="18"/>
          <w:vertAlign w:val="superscript"/>
          <w:rtl w:val="0"/>
        </w:rPr>
        <w:t xml:space="preserve">th</w:t>
      </w:r>
      <w:r w:rsidDel="00000000" w:rsidR="00000000" w:rsidRPr="00000000">
        <w:rPr>
          <w:i w:val="1"/>
          <w:sz w:val="18"/>
          <w:szCs w:val="18"/>
          <w:rtl w:val="0"/>
        </w:rPr>
        <w:t xml:space="preserve"> Percentile plus 1.5 times the interquartile range, respectively. Outliers present the minimum and maximum values in the data.</w:t>
      </w:r>
    </w:p>
    <w:p w:rsidR="00000000" w:rsidDel="00000000" w:rsidP="00000000" w:rsidRDefault="00000000" w:rsidRPr="00000000" w14:paraId="00000791">
      <w:pPr>
        <w:rPr>
          <w:i w:val="1"/>
          <w:color w:val="2f5496"/>
          <w:sz w:val="18"/>
          <w:szCs w:val="18"/>
        </w:rPr>
      </w:pPr>
      <w:r w:rsidDel="00000000" w:rsidR="00000000" w:rsidRPr="00000000">
        <w:rPr/>
        <w:drawing>
          <wp:inline distB="0" distT="0" distL="0" distR="0">
            <wp:extent cx="4884224" cy="7859981"/>
            <wp:effectExtent b="0" l="0" r="0" t="0"/>
            <wp:docPr descr="Chart&#10;&#10;Description automatically generated" id="151" name="image36.png"/>
            <a:graphic>
              <a:graphicData uri="http://schemas.openxmlformats.org/drawingml/2006/picture">
                <pic:pic>
                  <pic:nvPicPr>
                    <pic:cNvPr descr="Chart&#10;&#10;Description automatically generated" id="0" name="image36.png"/>
                    <pic:cNvPicPr preferRelativeResize="0"/>
                  </pic:nvPicPr>
                  <pic:blipFill>
                    <a:blip r:embed="rId151"/>
                    <a:srcRect b="0" l="0" r="0" t="0"/>
                    <a:stretch>
                      <a:fillRect/>
                    </a:stretch>
                  </pic:blipFill>
                  <pic:spPr>
                    <a:xfrm>
                      <a:off x="0" y="0"/>
                      <a:ext cx="4884224" cy="7859981"/>
                    </a:xfrm>
                    <a:prstGeom prst="rect"/>
                    <a:ln/>
                  </pic:spPr>
                </pic:pic>
              </a:graphicData>
            </a:graphic>
          </wp:inline>
        </w:drawing>
      </w:r>
      <w:r w:rsidDel="00000000" w:rsidR="00000000" w:rsidRPr="00000000">
        <w:rPr>
          <w:rtl w:val="0"/>
        </w:rPr>
      </w:r>
    </w:p>
    <w:p w:rsidR="00000000" w:rsidDel="00000000" w:rsidP="00000000" w:rsidRDefault="00000000" w:rsidRPr="00000000" w14:paraId="00000792">
      <w:pPr>
        <w:rPr>
          <w:i w:val="1"/>
          <w:sz w:val="18"/>
          <w:szCs w:val="18"/>
        </w:rPr>
      </w:pPr>
      <w:r w:rsidDel="00000000" w:rsidR="00000000" w:rsidRPr="00000000">
        <w:rPr>
          <w:b w:val="1"/>
          <w:i w:val="1"/>
          <w:sz w:val="18"/>
          <w:szCs w:val="18"/>
          <w:rtl w:val="0"/>
        </w:rPr>
        <w:t xml:space="preserve">Supplementary Figure 3.4, Individual-based population affinities through time</w:t>
      </w:r>
      <w:r w:rsidDel="00000000" w:rsidR="00000000" w:rsidRPr="00000000">
        <w:rPr>
          <w:i w:val="1"/>
          <w:sz w:val="18"/>
          <w:szCs w:val="18"/>
          <w:rtl w:val="0"/>
        </w:rPr>
        <w:t xml:space="preserve">. a) Z-values from F</w:t>
      </w:r>
      <w:r w:rsidDel="00000000" w:rsidR="00000000" w:rsidRPr="00000000">
        <w:rPr>
          <w:i w:val="1"/>
          <w:sz w:val="18"/>
          <w:szCs w:val="18"/>
          <w:vertAlign w:val="subscript"/>
          <w:rtl w:val="0"/>
        </w:rPr>
        <w:t xml:space="preserve">4</w:t>
      </w:r>
      <w:r w:rsidDel="00000000" w:rsidR="00000000" w:rsidRPr="00000000">
        <w:rPr>
          <w:i w:val="1"/>
          <w:sz w:val="18"/>
          <w:szCs w:val="18"/>
          <w:rtl w:val="0"/>
        </w:rPr>
        <w:t xml:space="preserve"> statistics of the form F</w:t>
      </w:r>
      <w:r w:rsidDel="00000000" w:rsidR="00000000" w:rsidRPr="00000000">
        <w:rPr>
          <w:i w:val="1"/>
          <w:sz w:val="18"/>
          <w:szCs w:val="18"/>
          <w:vertAlign w:val="subscript"/>
          <w:rtl w:val="0"/>
        </w:rPr>
        <w:t xml:space="preserve">4</w:t>
      </w:r>
      <w:r w:rsidDel="00000000" w:rsidR="00000000" w:rsidRPr="00000000">
        <w:rPr>
          <w:i w:val="1"/>
          <w:sz w:val="18"/>
          <w:szCs w:val="18"/>
          <w:rtl w:val="0"/>
        </w:rPr>
        <w:t xml:space="preserve">(YRI, X; Denmark, Test), where Test iterates through European populations (n = 13) and X iterates through each ancient post-Neolithic genome from England individually (n = 728) with the Yoruba from Nigeria (YRI) as an outgroup (n = 91). Z-values are shown as boxplots. b) Same as in a) but for the F</w:t>
      </w:r>
      <w:r w:rsidDel="00000000" w:rsidR="00000000" w:rsidRPr="00000000">
        <w:rPr>
          <w:i w:val="1"/>
          <w:sz w:val="18"/>
          <w:szCs w:val="18"/>
          <w:vertAlign w:val="subscript"/>
          <w:rtl w:val="0"/>
        </w:rPr>
        <w:t xml:space="preserve">4</w:t>
      </w:r>
      <w:r w:rsidDel="00000000" w:rsidR="00000000" w:rsidRPr="00000000">
        <w:rPr>
          <w:i w:val="1"/>
          <w:sz w:val="18"/>
          <w:szCs w:val="18"/>
          <w:rtl w:val="0"/>
        </w:rPr>
        <w:t xml:space="preserve"> statistic of the form F</w:t>
      </w:r>
      <w:r w:rsidDel="00000000" w:rsidR="00000000" w:rsidRPr="00000000">
        <w:rPr>
          <w:i w:val="1"/>
          <w:sz w:val="18"/>
          <w:szCs w:val="18"/>
          <w:vertAlign w:val="subscript"/>
          <w:rtl w:val="0"/>
        </w:rPr>
        <w:t xml:space="preserve">4</w:t>
      </w:r>
      <w:r w:rsidDel="00000000" w:rsidR="00000000" w:rsidRPr="00000000">
        <w:rPr>
          <w:i w:val="1"/>
          <w:sz w:val="18"/>
          <w:szCs w:val="18"/>
          <w:rtl w:val="0"/>
        </w:rPr>
        <w:t xml:space="preserve">(YRI, X; Ireland, Test). Bounds of the Box represent the 25</w:t>
      </w:r>
      <w:r w:rsidDel="00000000" w:rsidR="00000000" w:rsidRPr="00000000">
        <w:rPr>
          <w:i w:val="1"/>
          <w:sz w:val="18"/>
          <w:szCs w:val="18"/>
          <w:vertAlign w:val="superscript"/>
          <w:rtl w:val="0"/>
        </w:rPr>
        <w:t xml:space="preserve">th</w:t>
      </w:r>
      <w:r w:rsidDel="00000000" w:rsidR="00000000" w:rsidRPr="00000000">
        <w:rPr>
          <w:i w:val="1"/>
          <w:sz w:val="18"/>
          <w:szCs w:val="18"/>
          <w:rtl w:val="0"/>
        </w:rPr>
        <w:t xml:space="preserve"> and 75</w:t>
      </w:r>
      <w:r w:rsidDel="00000000" w:rsidR="00000000" w:rsidRPr="00000000">
        <w:rPr>
          <w:i w:val="1"/>
          <w:sz w:val="18"/>
          <w:szCs w:val="18"/>
          <w:vertAlign w:val="superscript"/>
          <w:rtl w:val="0"/>
        </w:rPr>
        <w:t xml:space="preserve">th</w:t>
      </w:r>
      <w:r w:rsidDel="00000000" w:rsidR="00000000" w:rsidRPr="00000000">
        <w:rPr>
          <w:i w:val="1"/>
          <w:sz w:val="18"/>
          <w:szCs w:val="18"/>
          <w:rtl w:val="0"/>
        </w:rPr>
        <w:t xml:space="preserve"> Percentile. The centre represents the median. Whiskers represent the smallest value greater than the 25</w:t>
      </w:r>
      <w:r w:rsidDel="00000000" w:rsidR="00000000" w:rsidRPr="00000000">
        <w:rPr>
          <w:i w:val="1"/>
          <w:sz w:val="18"/>
          <w:szCs w:val="18"/>
          <w:vertAlign w:val="superscript"/>
          <w:rtl w:val="0"/>
        </w:rPr>
        <w:t xml:space="preserve">th</w:t>
      </w:r>
      <w:r w:rsidDel="00000000" w:rsidR="00000000" w:rsidRPr="00000000">
        <w:rPr>
          <w:i w:val="1"/>
          <w:sz w:val="18"/>
          <w:szCs w:val="18"/>
          <w:rtl w:val="0"/>
        </w:rPr>
        <w:t xml:space="preserve"> Percentile minus 1.5 times the interquartile range and largest value less than the 75</w:t>
      </w:r>
      <w:r w:rsidDel="00000000" w:rsidR="00000000" w:rsidRPr="00000000">
        <w:rPr>
          <w:i w:val="1"/>
          <w:sz w:val="18"/>
          <w:szCs w:val="18"/>
          <w:vertAlign w:val="superscript"/>
          <w:rtl w:val="0"/>
        </w:rPr>
        <w:t xml:space="preserve">th</w:t>
      </w:r>
      <w:r w:rsidDel="00000000" w:rsidR="00000000" w:rsidRPr="00000000">
        <w:rPr>
          <w:i w:val="1"/>
          <w:sz w:val="18"/>
          <w:szCs w:val="18"/>
          <w:rtl w:val="0"/>
        </w:rPr>
        <w:t xml:space="preserve"> Percentile plus 1.5 times the interquartile range, respectively. Outliers present the minimum and maximum values in the data.</w:t>
      </w:r>
    </w:p>
    <w:p w:rsidR="00000000" w:rsidDel="00000000" w:rsidP="00000000" w:rsidRDefault="00000000" w:rsidRPr="00000000" w14:paraId="00000793">
      <w:pPr>
        <w:pStyle w:val="Heading2"/>
        <w:rPr>
          <w:color w:val="000000"/>
        </w:rPr>
      </w:pPr>
      <w:bookmarkStart w:colFirst="0" w:colLast="0" w:name="_heading=h.1jlao46" w:id="70"/>
      <w:bookmarkEnd w:id="70"/>
      <w:r w:rsidDel="00000000" w:rsidR="00000000" w:rsidRPr="00000000">
        <w:rPr>
          <w:color w:val="000000"/>
          <w:rtl w:val="0"/>
        </w:rPr>
        <w:t xml:space="preserve">Estimating continental admixture</w:t>
      </w:r>
    </w:p>
    <w:p w:rsidR="00000000" w:rsidDel="00000000" w:rsidP="00000000" w:rsidRDefault="00000000" w:rsidRPr="00000000" w14:paraId="00000794">
      <w:pPr>
        <w:rPr>
          <w:i w:val="1"/>
          <w:color w:val="44546a"/>
          <w:sz w:val="18"/>
          <w:szCs w:val="18"/>
        </w:rPr>
      </w:pPr>
      <w:r w:rsidDel="00000000" w:rsidR="00000000" w:rsidRPr="00000000">
        <w:rPr>
          <w:rtl w:val="0"/>
        </w:rPr>
        <w:t xml:space="preserve">To approximate the ancient admixture sources, we grouped present-day northern Germans and Danes together and labelled this metapopulation as “</w:t>
      </w:r>
      <w:r w:rsidDel="00000000" w:rsidR="00000000" w:rsidRPr="00000000">
        <w:rPr>
          <w:i w:val="1"/>
          <w:rtl w:val="0"/>
        </w:rPr>
        <w:t xml:space="preserve">continental northern European</w:t>
      </w:r>
      <w:r w:rsidDel="00000000" w:rsidR="00000000" w:rsidRPr="00000000">
        <w:rPr>
          <w:rtl w:val="0"/>
        </w:rPr>
        <w:t xml:space="preserve">” (CNE, </w:t>
      </w:r>
      <w:r w:rsidDel="00000000" w:rsidR="00000000" w:rsidRPr="00000000">
        <w:rPr>
          <w:i w:val="1"/>
          <w:rtl w:val="0"/>
        </w:rPr>
        <w:t xml:space="preserve">n</w:t>
      </w:r>
      <w:r w:rsidDel="00000000" w:rsidR="00000000" w:rsidRPr="00000000">
        <w:rPr>
          <w:rtl w:val="0"/>
        </w:rPr>
        <w:t xml:space="preserve"> = 407). Similarly, we grouped present-day Irish, northern Irish, Welsh, and Scottish (excluding Orcadians), together as “</w:t>
      </w:r>
      <w:r w:rsidDel="00000000" w:rsidR="00000000" w:rsidRPr="00000000">
        <w:rPr>
          <w:i w:val="1"/>
          <w:rtl w:val="0"/>
        </w:rPr>
        <w:t xml:space="preserve">Western British and Irish Isles</w:t>
      </w:r>
      <w:r w:rsidDel="00000000" w:rsidR="00000000" w:rsidRPr="00000000">
        <w:rPr>
          <w:rtl w:val="0"/>
        </w:rPr>
        <w:t xml:space="preserve">” (WBI, </w:t>
      </w:r>
      <w:r w:rsidDel="00000000" w:rsidR="00000000" w:rsidRPr="00000000">
        <w:rPr>
          <w:i w:val="1"/>
          <w:rtl w:val="0"/>
        </w:rPr>
        <w:t xml:space="preserve">n</w:t>
      </w:r>
      <w:r w:rsidDel="00000000" w:rsidR="00000000" w:rsidRPr="00000000">
        <w:rPr>
          <w:rtl w:val="0"/>
        </w:rPr>
        <w:t xml:space="preserve"> = 607). We then used ADMIXTURE</w:t>
      </w:r>
      <w:hyperlink r:id="rId152">
        <w:r w:rsidDel="00000000" w:rsidR="00000000" w:rsidRPr="00000000">
          <w:rPr>
            <w:color w:val="000000"/>
            <w:vertAlign w:val="superscript"/>
            <w:rtl w:val="0"/>
          </w:rPr>
          <w:t xml:space="preserve">172</w:t>
        </w:r>
      </w:hyperlink>
      <w:r w:rsidDel="00000000" w:rsidR="00000000" w:rsidRPr="00000000">
        <w:rPr>
          <w:rtl w:val="0"/>
        </w:rPr>
        <w:t xml:space="preserve"> in supervised mode, where we estimated admixture proportions for the prehistoric and early medieval genomes from England using those two reference populations with </w:t>
      </w:r>
      <w:r w:rsidDel="00000000" w:rsidR="00000000" w:rsidRPr="00000000">
        <w:rPr>
          <w:i w:val="1"/>
          <w:rtl w:val="0"/>
        </w:rPr>
        <w:t xml:space="preserve">K </w:t>
      </w:r>
      <w:r w:rsidDel="00000000" w:rsidR="00000000" w:rsidRPr="00000000">
        <w:rPr>
          <w:rtl w:val="0"/>
        </w:rPr>
        <w:t xml:space="preserve">= 2 (Fig. 3, Extended Data Fig. 2, Supp. Table 3.7). These analyses were run on haploid data and bootstrapped 1,000 times to calculate standard errors for each estimate. The obtained ancestry estimates were highly correlated with PC1 and PC2 position as well as </w:t>
      </w:r>
      <w:r w:rsidDel="00000000" w:rsidR="00000000" w:rsidRPr="00000000">
        <w:rPr>
          <w:i w:val="1"/>
          <w:rtl w:val="0"/>
        </w:rPr>
        <w:t xml:space="preserve">F</w:t>
      </w:r>
      <w:r w:rsidDel="00000000" w:rsidR="00000000" w:rsidRPr="00000000">
        <w:rPr>
          <w:vertAlign w:val="subscript"/>
          <w:rtl w:val="0"/>
        </w:rPr>
        <w:t xml:space="preserve">4 </w:t>
      </w:r>
      <w:r w:rsidDel="00000000" w:rsidR="00000000" w:rsidRPr="00000000">
        <w:rPr>
          <w:rtl w:val="0"/>
        </w:rPr>
        <w:t xml:space="preserve">statistics of the form </w:t>
      </w:r>
      <w:r w:rsidDel="00000000" w:rsidR="00000000" w:rsidRPr="00000000">
        <w:rPr>
          <w:i w:val="1"/>
          <w:rtl w:val="0"/>
        </w:rPr>
        <w:t xml:space="preserve">F</w:t>
      </w:r>
      <w:r w:rsidDel="00000000" w:rsidR="00000000" w:rsidRPr="00000000">
        <w:rPr>
          <w:vertAlign w:val="subscript"/>
          <w:rtl w:val="0"/>
        </w:rPr>
        <w:t xml:space="preserve">4</w:t>
      </w:r>
      <w:r w:rsidDel="00000000" w:rsidR="00000000" w:rsidRPr="00000000">
        <w:rPr>
          <w:rtl w:val="0"/>
        </w:rPr>
        <w:t xml:space="preserve">(YRI.SG, X; WBI, CNE)) (Supp. Fig. 3.5, Supp. Table 3.7), which indicates that the measured proportions indeed reflect true ancestry components. Standard errors (Methods) for the individual estimates were mainly associated with the coverage of the modelled ancient individual, with the standard errors ranging between 0% and 44.9% (the mean standard error for the individual estimates of the 885 modelled samples was 3.5% ± 7.1% SD, and the median standard error 0%). </w:t>
      </w:r>
      <w:r w:rsidDel="00000000" w:rsidR="00000000" w:rsidRPr="00000000">
        <w:rPr>
          <w:rtl w:val="0"/>
        </w:rPr>
      </w:r>
    </w:p>
    <w:p w:rsidR="00000000" w:rsidDel="00000000" w:rsidP="00000000" w:rsidRDefault="00000000" w:rsidRPr="00000000" w14:paraId="00000795">
      <w:pPr>
        <w:keepNext w:val="1"/>
        <w:rPr/>
      </w:pPr>
      <w:r w:rsidDel="00000000" w:rsidR="00000000" w:rsidRPr="00000000">
        <w:rPr/>
        <w:drawing>
          <wp:inline distB="0" distT="0" distL="0" distR="0">
            <wp:extent cx="5760720" cy="5760720"/>
            <wp:effectExtent b="0" l="0" r="0" t="0"/>
            <wp:docPr descr="Chart&#10;&#10;Description automatically generated with medium confidence" id="124" name="image15.png"/>
            <a:graphic>
              <a:graphicData uri="http://schemas.openxmlformats.org/drawingml/2006/picture">
                <pic:pic>
                  <pic:nvPicPr>
                    <pic:cNvPr descr="Chart&#10;&#10;Description automatically generated with medium confidence" id="0" name="image15.png"/>
                    <pic:cNvPicPr preferRelativeResize="0"/>
                  </pic:nvPicPr>
                  <pic:blipFill>
                    <a:blip r:embed="rId153"/>
                    <a:srcRect b="0" l="0" r="0" t="0"/>
                    <a:stretch>
                      <a:fillRect/>
                    </a:stretch>
                  </pic:blipFill>
                  <pic:spPr>
                    <a:xfrm>
                      <a:off x="0" y="0"/>
                      <a:ext cx="5760720" cy="5760720"/>
                    </a:xfrm>
                    <a:prstGeom prst="rect"/>
                    <a:ln/>
                  </pic:spPr>
                </pic:pic>
              </a:graphicData>
            </a:graphic>
          </wp:inline>
        </w:drawing>
      </w:r>
      <w:r w:rsidDel="00000000" w:rsidR="00000000" w:rsidRPr="00000000">
        <w:rPr>
          <w:rtl w:val="0"/>
        </w:rPr>
      </w:r>
    </w:p>
    <w:p w:rsidR="00000000" w:rsidDel="00000000" w:rsidP="00000000" w:rsidRDefault="00000000" w:rsidRPr="00000000" w14:paraId="00000796">
      <w:pPr>
        <w:pBdr>
          <w:top w:space="0" w:sz="0" w:val="nil"/>
          <w:left w:space="0" w:sz="0" w:val="nil"/>
          <w:bottom w:space="0" w:sz="0" w:val="nil"/>
          <w:right w:space="0" w:sz="0" w:val="nil"/>
          <w:between w:space="0" w:sz="0" w:val="nil"/>
        </w:pBdr>
        <w:spacing w:after="200" w:line="240" w:lineRule="auto"/>
        <w:rPr>
          <w:i w:val="1"/>
          <w:sz w:val="18"/>
          <w:szCs w:val="18"/>
        </w:rPr>
      </w:pPr>
      <w:r w:rsidDel="00000000" w:rsidR="00000000" w:rsidRPr="00000000">
        <w:rPr>
          <w:b w:val="1"/>
          <w:i w:val="1"/>
          <w:sz w:val="18"/>
          <w:szCs w:val="18"/>
          <w:rtl w:val="0"/>
        </w:rPr>
        <w:t xml:space="preserve">Supplementary Figure 3.5,</w:t>
      </w:r>
      <w:r w:rsidDel="00000000" w:rsidR="00000000" w:rsidRPr="00000000">
        <w:rPr>
          <w:i w:val="1"/>
          <w:sz w:val="18"/>
          <w:szCs w:val="18"/>
          <w:rtl w:val="0"/>
        </w:rPr>
        <w:t xml:space="preserve"> </w:t>
      </w:r>
      <w:r w:rsidDel="00000000" w:rsidR="00000000" w:rsidRPr="00000000">
        <w:rPr>
          <w:b w:val="1"/>
          <w:i w:val="1"/>
          <w:sz w:val="18"/>
          <w:szCs w:val="18"/>
          <w:rtl w:val="0"/>
        </w:rPr>
        <w:t xml:space="preserve">Validation of CNE ancestry estimates. </w:t>
      </w:r>
      <w:r w:rsidDel="00000000" w:rsidR="00000000" w:rsidRPr="00000000">
        <w:rPr>
          <w:i w:val="1"/>
          <w:sz w:val="18"/>
          <w:szCs w:val="18"/>
          <w:rtl w:val="0"/>
        </w:rPr>
        <w:t xml:space="preserve">Correlogram illustrating pairwise correlations between different measurement of genetic affinity to CNE and WBI (supervised ADMIXTURE estimates at K = 2, F</w:t>
      </w:r>
      <w:r w:rsidDel="00000000" w:rsidR="00000000" w:rsidRPr="00000000">
        <w:rPr>
          <w:i w:val="1"/>
          <w:sz w:val="18"/>
          <w:szCs w:val="18"/>
          <w:vertAlign w:val="subscript"/>
          <w:rtl w:val="0"/>
        </w:rPr>
        <w:t xml:space="preserve">4</w:t>
      </w:r>
      <w:r w:rsidDel="00000000" w:rsidR="00000000" w:rsidRPr="00000000">
        <w:rPr>
          <w:i w:val="1"/>
          <w:sz w:val="18"/>
          <w:szCs w:val="18"/>
          <w:rtl w:val="0"/>
        </w:rPr>
        <w:t xml:space="preserve"> statistics of the form F</w:t>
      </w:r>
      <w:r w:rsidDel="00000000" w:rsidR="00000000" w:rsidRPr="00000000">
        <w:rPr>
          <w:i w:val="1"/>
          <w:sz w:val="18"/>
          <w:szCs w:val="18"/>
          <w:vertAlign w:val="subscript"/>
          <w:rtl w:val="0"/>
        </w:rPr>
        <w:t xml:space="preserve">4</w:t>
      </w:r>
      <w:r w:rsidDel="00000000" w:rsidR="00000000" w:rsidRPr="00000000">
        <w:rPr>
          <w:i w:val="1"/>
          <w:sz w:val="18"/>
          <w:szCs w:val="18"/>
          <w:rtl w:val="0"/>
        </w:rPr>
        <w:t xml:space="preserve">(YRI, X; WBI, CNE), PC1, and PC2 coordinates in our North Sea and Northwestern European PCA) for 585 Iron Age, Roman Period, and early medieval English individuals. Pearson’s r for each pairwise correlation test are indicated in the upper triangle of the matrix.</w:t>
      </w:r>
    </w:p>
    <w:p w:rsidR="00000000" w:rsidDel="00000000" w:rsidP="00000000" w:rsidRDefault="00000000" w:rsidRPr="00000000" w14:paraId="00000797">
      <w:pPr>
        <w:rPr/>
      </w:pPr>
      <w:r w:rsidDel="00000000" w:rsidR="00000000" w:rsidRPr="00000000">
        <w:rPr>
          <w:rtl w:val="0"/>
        </w:rPr>
      </w:r>
    </w:p>
    <w:p w:rsidR="00000000" w:rsidDel="00000000" w:rsidP="00000000" w:rsidRDefault="00000000" w:rsidRPr="00000000" w14:paraId="00000798">
      <w:pPr>
        <w:pStyle w:val="Heading2"/>
        <w:rPr>
          <w:color w:val="000000"/>
        </w:rPr>
      </w:pPr>
      <w:bookmarkStart w:colFirst="0" w:colLast="0" w:name="_heading=h.43ky6rz" w:id="71"/>
      <w:bookmarkEnd w:id="71"/>
      <w:r w:rsidDel="00000000" w:rsidR="00000000" w:rsidRPr="00000000">
        <w:rPr>
          <w:color w:val="000000"/>
          <w:rtl w:val="0"/>
        </w:rPr>
        <w:t xml:space="preserve">Specific population genetic affinities</w:t>
      </w:r>
    </w:p>
    <w:p w:rsidR="00000000" w:rsidDel="00000000" w:rsidP="00000000" w:rsidRDefault="00000000" w:rsidRPr="00000000" w14:paraId="00000799">
      <w:pPr>
        <w:rPr/>
      </w:pPr>
      <w:r w:rsidDel="00000000" w:rsidR="00000000" w:rsidRPr="00000000">
        <w:rPr>
          <w:rtl w:val="0"/>
        </w:rPr>
        <w:t xml:space="preserve">We then identified a subset of 109 (unrelated) individuals from the Early Anglo-Saxon Period which exhibited more than 95% CNE ancestry, labelling them as </w:t>
      </w:r>
      <w:r w:rsidDel="00000000" w:rsidR="00000000" w:rsidRPr="00000000">
        <w:rPr>
          <w:i w:val="1"/>
          <w:rtl w:val="0"/>
        </w:rPr>
        <w:t xml:space="preserve">England_EMA_CNE</w:t>
      </w:r>
      <w:r w:rsidDel="00000000" w:rsidR="00000000" w:rsidRPr="00000000">
        <w:rPr>
          <w:rtl w:val="0"/>
        </w:rPr>
        <w:t xml:space="preserve">. This subset is intended to most closely resemble the immigrant population prior to admixture with the local British gene pool. To infer the population genetic affinities of this population we compared it to several published and our new medieval continental samples from northern Europe. We first calculate i) shared drift from an outgroup via pairwise outgroup </w:t>
      </w:r>
      <w:r w:rsidDel="00000000" w:rsidR="00000000" w:rsidRPr="00000000">
        <w:rPr>
          <w:i w:val="1"/>
          <w:rtl w:val="0"/>
        </w:rPr>
        <w:t xml:space="preserve">F</w:t>
      </w:r>
      <w:r w:rsidDel="00000000" w:rsidR="00000000" w:rsidRPr="00000000">
        <w:rPr>
          <w:vertAlign w:val="subscript"/>
          <w:rtl w:val="0"/>
        </w:rPr>
        <w:t xml:space="preserve">3</w:t>
      </w:r>
      <w:r w:rsidDel="00000000" w:rsidR="00000000" w:rsidRPr="00000000">
        <w:rPr>
          <w:rtl w:val="0"/>
        </w:rPr>
        <w:t xml:space="preserve"> statistics</w:t>
      </w:r>
      <w:hyperlink r:id="rId154">
        <w:r w:rsidDel="00000000" w:rsidR="00000000" w:rsidRPr="00000000">
          <w:rPr>
            <w:color w:val="000000"/>
            <w:vertAlign w:val="superscript"/>
            <w:rtl w:val="0"/>
          </w:rPr>
          <w:t xml:space="preserve">174</w:t>
        </w:r>
      </w:hyperlink>
      <w:r w:rsidDel="00000000" w:rsidR="00000000" w:rsidRPr="00000000">
        <w:rPr>
          <w:rtl w:val="0"/>
        </w:rPr>
        <w:t xml:space="preserve"> between </w:t>
      </w:r>
      <w:r w:rsidDel="00000000" w:rsidR="00000000" w:rsidRPr="00000000">
        <w:rPr>
          <w:i w:val="1"/>
          <w:rtl w:val="0"/>
        </w:rPr>
        <w:t xml:space="preserve">England_EMA_CNE </w:t>
      </w:r>
      <w:r w:rsidDel="00000000" w:rsidR="00000000" w:rsidRPr="00000000">
        <w:rPr>
          <w:rtl w:val="0"/>
        </w:rPr>
        <w:t xml:space="preserve">and contemporaneous ancient populations (Extended Data Fig. 5a), ii) symmetry tests via </w:t>
      </w:r>
      <w:r w:rsidDel="00000000" w:rsidR="00000000" w:rsidRPr="00000000">
        <w:rPr>
          <w:i w:val="1"/>
          <w:rtl w:val="0"/>
        </w:rPr>
        <w:t xml:space="preserve">F</w:t>
      </w:r>
      <w:r w:rsidDel="00000000" w:rsidR="00000000" w:rsidRPr="00000000">
        <w:rPr>
          <w:vertAlign w:val="subscript"/>
          <w:rtl w:val="0"/>
        </w:rPr>
        <w:t xml:space="preserve">4</w:t>
      </w:r>
      <w:r w:rsidDel="00000000" w:rsidR="00000000" w:rsidRPr="00000000">
        <w:rPr>
          <w:rtl w:val="0"/>
        </w:rPr>
        <w:t xml:space="preserve"> statistics between ancient and present-day populations (Extended Data Fig. 5b), and iii) a maximum likelihood phylogeny based on </w:t>
      </w:r>
      <w:r w:rsidDel="00000000" w:rsidR="00000000" w:rsidRPr="00000000">
        <w:rPr>
          <w:i w:val="1"/>
          <w:rtl w:val="0"/>
        </w:rPr>
        <w:t xml:space="preserve">F</w:t>
      </w:r>
      <w:r w:rsidDel="00000000" w:rsidR="00000000" w:rsidRPr="00000000">
        <w:rPr>
          <w:vertAlign w:val="subscript"/>
          <w:rtl w:val="0"/>
        </w:rPr>
        <w:t xml:space="preserve">2</w:t>
      </w:r>
      <w:r w:rsidDel="00000000" w:rsidR="00000000" w:rsidRPr="00000000">
        <w:rPr>
          <w:rtl w:val="0"/>
        </w:rPr>
        <w:t xml:space="preserve"> statistics using Treemix v1.12 (Supp. Fig. 3.8). We computed the outgroup </w:t>
      </w:r>
      <w:r w:rsidDel="00000000" w:rsidR="00000000" w:rsidRPr="00000000">
        <w:rPr>
          <w:i w:val="1"/>
          <w:rtl w:val="0"/>
        </w:rPr>
        <w:t xml:space="preserve">F</w:t>
      </w:r>
      <w:r w:rsidDel="00000000" w:rsidR="00000000" w:rsidRPr="00000000">
        <w:rPr>
          <w:vertAlign w:val="subscript"/>
          <w:rtl w:val="0"/>
        </w:rPr>
        <w:t xml:space="preserve">3</w:t>
      </w:r>
      <w:r w:rsidDel="00000000" w:rsidR="00000000" w:rsidRPr="00000000">
        <w:rPr>
          <w:rtl w:val="0"/>
        </w:rPr>
        <w:t xml:space="preserve"> and </w:t>
      </w:r>
      <w:r w:rsidDel="00000000" w:rsidR="00000000" w:rsidRPr="00000000">
        <w:rPr>
          <w:i w:val="1"/>
          <w:rtl w:val="0"/>
        </w:rPr>
        <w:t xml:space="preserve">F</w:t>
      </w:r>
      <w:r w:rsidDel="00000000" w:rsidR="00000000" w:rsidRPr="00000000">
        <w:rPr>
          <w:vertAlign w:val="subscript"/>
          <w:rtl w:val="0"/>
        </w:rPr>
        <w:t xml:space="preserve">4</w:t>
      </w:r>
      <w:r w:rsidDel="00000000" w:rsidR="00000000" w:rsidRPr="00000000">
        <w:rPr>
          <w:rtl w:val="0"/>
        </w:rPr>
        <w:t xml:space="preserve"> statistics in ADMIXTOOLS</w:t>
      </w:r>
      <w:hyperlink r:id="rId155">
        <w:r w:rsidDel="00000000" w:rsidR="00000000" w:rsidRPr="00000000">
          <w:rPr>
            <w:color w:val="000000"/>
            <w:vertAlign w:val="superscript"/>
            <w:rtl w:val="0"/>
          </w:rPr>
          <w:t xml:space="preserve">174</w:t>
        </w:r>
      </w:hyperlink>
      <w:r w:rsidDel="00000000" w:rsidR="00000000" w:rsidRPr="00000000">
        <w:rPr>
          <w:rtl w:val="0"/>
        </w:rPr>
        <w:t xml:space="preserve"> using the programs </w:t>
      </w:r>
      <w:r w:rsidDel="00000000" w:rsidR="00000000" w:rsidRPr="00000000">
        <w:rPr>
          <w:i w:val="1"/>
          <w:rtl w:val="0"/>
        </w:rPr>
        <w:t xml:space="preserve">qp3Pop</w:t>
      </w:r>
      <w:r w:rsidDel="00000000" w:rsidR="00000000" w:rsidRPr="00000000">
        <w:rPr>
          <w:rtl w:val="0"/>
        </w:rPr>
        <w:t xml:space="preserve"> (with the option inbreed set to YES) and </w:t>
      </w:r>
      <w:r w:rsidDel="00000000" w:rsidR="00000000" w:rsidRPr="00000000">
        <w:rPr>
          <w:i w:val="1"/>
          <w:rtl w:val="0"/>
        </w:rPr>
        <w:t xml:space="preserve">qpDstats </w:t>
      </w:r>
      <w:r w:rsidDel="00000000" w:rsidR="00000000" w:rsidRPr="00000000">
        <w:rPr>
          <w:rtl w:val="0"/>
        </w:rPr>
        <w:t xml:space="preserve">(with f4mode st to YES), and used Han Chinese from Beijing (CHB.SG) as outgroup population in </w:t>
      </w:r>
      <w:r w:rsidDel="00000000" w:rsidR="00000000" w:rsidRPr="00000000">
        <w:rPr>
          <w:i w:val="1"/>
          <w:rtl w:val="0"/>
        </w:rPr>
        <w:t xml:space="preserve">F</w:t>
      </w:r>
      <w:r w:rsidDel="00000000" w:rsidR="00000000" w:rsidRPr="00000000">
        <w:rPr>
          <w:vertAlign w:val="subscript"/>
          <w:rtl w:val="0"/>
        </w:rPr>
        <w:t xml:space="preserve">3</w:t>
      </w:r>
      <w:r w:rsidDel="00000000" w:rsidR="00000000" w:rsidRPr="00000000">
        <w:rPr>
          <w:rtl w:val="0"/>
        </w:rPr>
        <w:t xml:space="preserve"> and Yoruba in Ibadan as outgroup population in </w:t>
      </w:r>
      <w:r w:rsidDel="00000000" w:rsidR="00000000" w:rsidRPr="00000000">
        <w:rPr>
          <w:i w:val="1"/>
          <w:rtl w:val="0"/>
        </w:rPr>
        <w:t xml:space="preserve">F</w:t>
      </w:r>
      <w:r w:rsidDel="00000000" w:rsidR="00000000" w:rsidRPr="00000000">
        <w:rPr>
          <w:vertAlign w:val="subscript"/>
          <w:rtl w:val="0"/>
        </w:rPr>
        <w:t xml:space="preserve">4</w:t>
      </w:r>
      <w:r w:rsidDel="00000000" w:rsidR="00000000" w:rsidRPr="00000000">
        <w:rPr>
          <w:rtl w:val="0"/>
        </w:rPr>
        <w:t xml:space="preserve"> statistics. </w:t>
      </w:r>
    </w:p>
    <w:p w:rsidR="00000000" w:rsidDel="00000000" w:rsidP="00000000" w:rsidRDefault="00000000" w:rsidRPr="00000000" w14:paraId="0000079A">
      <w:pPr>
        <w:rPr/>
      </w:pPr>
      <w:r w:rsidDel="00000000" w:rsidR="00000000" w:rsidRPr="00000000">
        <w:rPr>
          <w:rtl w:val="0"/>
        </w:rPr>
        <w:t xml:space="preserve">For the </w:t>
      </w:r>
      <w:r w:rsidDel="00000000" w:rsidR="00000000" w:rsidRPr="00000000">
        <w:rPr>
          <w:i w:val="1"/>
          <w:rtl w:val="0"/>
        </w:rPr>
        <w:t xml:space="preserve">F</w:t>
      </w:r>
      <w:r w:rsidDel="00000000" w:rsidR="00000000" w:rsidRPr="00000000">
        <w:rPr>
          <w:vertAlign w:val="subscript"/>
          <w:rtl w:val="0"/>
        </w:rPr>
        <w:t xml:space="preserve">3</w:t>
      </w:r>
      <w:r w:rsidDel="00000000" w:rsidR="00000000" w:rsidRPr="00000000">
        <w:rPr>
          <w:rtl w:val="0"/>
        </w:rPr>
        <w:t xml:space="preserve"> statistics, we translated the shared drift calculated using </w:t>
      </w:r>
      <w:r w:rsidDel="00000000" w:rsidR="00000000" w:rsidRPr="00000000">
        <w:rPr>
          <w:i w:val="1"/>
          <w:rtl w:val="0"/>
        </w:rPr>
        <w:t xml:space="preserve">f</w:t>
      </w:r>
      <w:r w:rsidDel="00000000" w:rsidR="00000000" w:rsidRPr="00000000">
        <w:rPr>
          <w:rtl w:val="0"/>
        </w:rPr>
        <w:t xml:space="preserve">-statistics of the form </w:t>
      </w:r>
      <w:r w:rsidDel="00000000" w:rsidR="00000000" w:rsidRPr="00000000">
        <w:rPr>
          <w:i w:val="1"/>
          <w:rtl w:val="0"/>
        </w:rPr>
        <w:t xml:space="preserve">F</w:t>
      </w:r>
      <w:r w:rsidDel="00000000" w:rsidR="00000000" w:rsidRPr="00000000">
        <w:rPr>
          <w:vertAlign w:val="subscript"/>
          <w:rtl w:val="0"/>
        </w:rPr>
        <w:t xml:space="preserve">3</w:t>
      </w:r>
      <w:r w:rsidDel="00000000" w:rsidR="00000000" w:rsidRPr="00000000">
        <w:rPr>
          <w:rtl w:val="0"/>
        </w:rPr>
        <w:t xml:space="preserve">(CHB; ancient A, ancient B) into distances (via the formula 1-</w:t>
      </w:r>
      <w:r w:rsidDel="00000000" w:rsidR="00000000" w:rsidRPr="00000000">
        <w:rPr>
          <w:i w:val="1"/>
          <w:rtl w:val="0"/>
        </w:rPr>
        <w:t xml:space="preserve">F</w:t>
      </w:r>
      <w:r w:rsidDel="00000000" w:rsidR="00000000" w:rsidRPr="00000000">
        <w:rPr>
          <w:vertAlign w:val="subscript"/>
          <w:rtl w:val="0"/>
        </w:rPr>
        <w:t xml:space="preserve">3</w:t>
      </w:r>
      <w:r w:rsidDel="00000000" w:rsidR="00000000" w:rsidRPr="00000000">
        <w:rPr>
          <w:rtl w:val="0"/>
        </w:rPr>
        <w:t xml:space="preserve">) and visualised the resulting distance matrix using Multidimensional Scaling (MDS) (Extended Data Fig. 5a). </w:t>
      </w:r>
    </w:p>
    <w:p w:rsidR="00000000" w:rsidDel="00000000" w:rsidP="00000000" w:rsidRDefault="00000000" w:rsidRPr="00000000" w14:paraId="0000079B">
      <w:pPr>
        <w:rPr/>
      </w:pPr>
      <w:r w:rsidDel="00000000" w:rsidR="00000000" w:rsidRPr="00000000">
        <w:rPr>
          <w:rtl w:val="0"/>
        </w:rPr>
        <w:t xml:space="preserve">For the </w:t>
      </w:r>
      <w:r w:rsidDel="00000000" w:rsidR="00000000" w:rsidRPr="00000000">
        <w:rPr>
          <w:i w:val="1"/>
          <w:rtl w:val="0"/>
        </w:rPr>
        <w:t xml:space="preserve">F</w:t>
      </w:r>
      <w:r w:rsidDel="00000000" w:rsidR="00000000" w:rsidRPr="00000000">
        <w:rPr>
          <w:vertAlign w:val="subscript"/>
          <w:rtl w:val="0"/>
        </w:rPr>
        <w:t xml:space="preserve">4</w:t>
      </w:r>
      <w:r w:rsidDel="00000000" w:rsidR="00000000" w:rsidRPr="00000000">
        <w:rPr>
          <w:rtl w:val="0"/>
        </w:rPr>
        <w:t xml:space="preserve"> statistics, we calculated for 71 Bronze Age, Iron Age, and medieval populations all possible combinations of the </w:t>
      </w:r>
      <w:r w:rsidDel="00000000" w:rsidR="00000000" w:rsidRPr="00000000">
        <w:rPr>
          <w:i w:val="1"/>
          <w:rtl w:val="0"/>
        </w:rPr>
        <w:t xml:space="preserve">f</w:t>
      </w:r>
      <w:r w:rsidDel="00000000" w:rsidR="00000000" w:rsidRPr="00000000">
        <w:rPr>
          <w:rtl w:val="0"/>
        </w:rPr>
        <w:t xml:space="preserve">-statistic </w:t>
      </w:r>
      <w:r w:rsidDel="00000000" w:rsidR="00000000" w:rsidRPr="00000000">
        <w:rPr>
          <w:i w:val="1"/>
          <w:rtl w:val="0"/>
        </w:rPr>
        <w:t xml:space="preserve">F</w:t>
      </w:r>
      <w:r w:rsidDel="00000000" w:rsidR="00000000" w:rsidRPr="00000000">
        <w:rPr>
          <w:vertAlign w:val="subscript"/>
          <w:rtl w:val="0"/>
        </w:rPr>
        <w:t xml:space="preserve">4</w:t>
      </w:r>
      <w:r w:rsidDel="00000000" w:rsidR="00000000" w:rsidRPr="00000000">
        <w:rPr>
          <w:rtl w:val="0"/>
        </w:rPr>
        <w:t xml:space="preserve">(YRI, X; </w:t>
      </w:r>
      <w:r w:rsidDel="00000000" w:rsidR="00000000" w:rsidRPr="00000000">
        <w:rPr>
          <w:i w:val="1"/>
          <w:rtl w:val="0"/>
        </w:rPr>
        <w:t xml:space="preserve">TestA</w:t>
      </w:r>
      <w:r w:rsidDel="00000000" w:rsidR="00000000" w:rsidRPr="00000000">
        <w:rPr>
          <w:rtl w:val="0"/>
        </w:rPr>
        <w:t xml:space="preserve">, </w:t>
      </w:r>
      <w:r w:rsidDel="00000000" w:rsidR="00000000" w:rsidRPr="00000000">
        <w:rPr>
          <w:i w:val="1"/>
          <w:rtl w:val="0"/>
        </w:rPr>
        <w:t xml:space="preserve">TestB</w:t>
      </w:r>
      <w:r w:rsidDel="00000000" w:rsidR="00000000" w:rsidRPr="00000000">
        <w:rPr>
          <w:rtl w:val="0"/>
        </w:rPr>
        <w:t xml:space="preserve">). </w:t>
      </w:r>
      <w:r w:rsidDel="00000000" w:rsidR="00000000" w:rsidRPr="00000000">
        <w:rPr>
          <w:i w:val="1"/>
          <w:rtl w:val="0"/>
        </w:rPr>
        <w:t xml:space="preserve">TestA </w:t>
      </w:r>
      <w:r w:rsidDel="00000000" w:rsidR="00000000" w:rsidRPr="00000000">
        <w:rPr>
          <w:rtl w:val="0"/>
        </w:rPr>
        <w:t xml:space="preserve">and </w:t>
      </w:r>
      <w:r w:rsidDel="00000000" w:rsidR="00000000" w:rsidRPr="00000000">
        <w:rPr>
          <w:i w:val="1"/>
          <w:rtl w:val="0"/>
        </w:rPr>
        <w:t xml:space="preserve">TestB </w:t>
      </w:r>
      <w:r w:rsidDel="00000000" w:rsidR="00000000" w:rsidRPr="00000000">
        <w:rPr>
          <w:rtl w:val="0"/>
        </w:rPr>
        <w:t xml:space="preserve">iterate through the following 15 present-day European populations:</w:t>
      </w:r>
    </w:p>
    <w:p w:rsidR="00000000" w:rsidDel="00000000" w:rsidP="00000000" w:rsidRDefault="00000000" w:rsidRPr="00000000" w14:paraId="0000079C">
      <w:pPr>
        <w:numPr>
          <w:ilvl w:val="0"/>
          <w:numId w:val="9"/>
        </w:numPr>
        <w:spacing w:after="0" w:lineRule="auto"/>
        <w:ind w:left="1079" w:hanging="360"/>
        <w:rPr/>
      </w:pPr>
      <w:r w:rsidDel="00000000" w:rsidR="00000000" w:rsidRPr="00000000">
        <w:rPr>
          <w:rtl w:val="0"/>
        </w:rPr>
        <w:t xml:space="preserve">Denmark</w:t>
      </w:r>
    </w:p>
    <w:p w:rsidR="00000000" w:rsidDel="00000000" w:rsidP="00000000" w:rsidRDefault="00000000" w:rsidRPr="00000000" w14:paraId="0000079D">
      <w:pPr>
        <w:numPr>
          <w:ilvl w:val="0"/>
          <w:numId w:val="9"/>
        </w:numPr>
        <w:spacing w:after="0" w:lineRule="auto"/>
        <w:ind w:left="1079" w:hanging="360"/>
        <w:rPr/>
      </w:pPr>
      <w:r w:rsidDel="00000000" w:rsidR="00000000" w:rsidRPr="00000000">
        <w:rPr>
          <w:rtl w:val="0"/>
        </w:rPr>
        <w:t xml:space="preserve">Norway</w:t>
      </w:r>
    </w:p>
    <w:p w:rsidR="00000000" w:rsidDel="00000000" w:rsidP="00000000" w:rsidRDefault="00000000" w:rsidRPr="00000000" w14:paraId="0000079E">
      <w:pPr>
        <w:numPr>
          <w:ilvl w:val="0"/>
          <w:numId w:val="9"/>
        </w:numPr>
        <w:spacing w:after="0" w:lineRule="auto"/>
        <w:ind w:left="1079" w:hanging="360"/>
        <w:rPr/>
      </w:pPr>
      <w:r w:rsidDel="00000000" w:rsidR="00000000" w:rsidRPr="00000000">
        <w:rPr>
          <w:rtl w:val="0"/>
        </w:rPr>
        <w:t xml:space="preserve">Sweden</w:t>
      </w:r>
    </w:p>
    <w:p w:rsidR="00000000" w:rsidDel="00000000" w:rsidP="00000000" w:rsidRDefault="00000000" w:rsidRPr="00000000" w14:paraId="0000079F">
      <w:pPr>
        <w:numPr>
          <w:ilvl w:val="0"/>
          <w:numId w:val="9"/>
        </w:numPr>
        <w:spacing w:after="0" w:lineRule="auto"/>
        <w:ind w:left="1079" w:hanging="360"/>
        <w:rPr/>
      </w:pPr>
      <w:r w:rsidDel="00000000" w:rsidR="00000000" w:rsidRPr="00000000">
        <w:rPr>
          <w:rtl w:val="0"/>
        </w:rPr>
        <w:t xml:space="preserve">Finland</w:t>
      </w:r>
    </w:p>
    <w:p w:rsidR="00000000" w:rsidDel="00000000" w:rsidP="00000000" w:rsidRDefault="00000000" w:rsidRPr="00000000" w14:paraId="000007A0">
      <w:pPr>
        <w:numPr>
          <w:ilvl w:val="0"/>
          <w:numId w:val="9"/>
        </w:numPr>
        <w:spacing w:after="0" w:lineRule="auto"/>
        <w:ind w:left="1079" w:hanging="360"/>
        <w:rPr/>
      </w:pPr>
      <w:r w:rsidDel="00000000" w:rsidR="00000000" w:rsidRPr="00000000">
        <w:rPr>
          <w:rtl w:val="0"/>
        </w:rPr>
        <w:t xml:space="preserve">Ireland</w:t>
      </w:r>
    </w:p>
    <w:p w:rsidR="00000000" w:rsidDel="00000000" w:rsidP="00000000" w:rsidRDefault="00000000" w:rsidRPr="00000000" w14:paraId="000007A1">
      <w:pPr>
        <w:numPr>
          <w:ilvl w:val="0"/>
          <w:numId w:val="9"/>
        </w:numPr>
        <w:spacing w:after="0" w:lineRule="auto"/>
        <w:ind w:left="1079" w:hanging="360"/>
        <w:rPr/>
      </w:pPr>
      <w:r w:rsidDel="00000000" w:rsidR="00000000" w:rsidRPr="00000000">
        <w:rPr>
          <w:rtl w:val="0"/>
        </w:rPr>
        <w:t xml:space="preserve">Scotland</w:t>
      </w:r>
    </w:p>
    <w:p w:rsidR="00000000" w:rsidDel="00000000" w:rsidP="00000000" w:rsidRDefault="00000000" w:rsidRPr="00000000" w14:paraId="000007A2">
      <w:pPr>
        <w:numPr>
          <w:ilvl w:val="0"/>
          <w:numId w:val="9"/>
        </w:numPr>
        <w:spacing w:after="0" w:lineRule="auto"/>
        <w:ind w:left="1079" w:hanging="360"/>
        <w:rPr/>
      </w:pPr>
      <w:r w:rsidDel="00000000" w:rsidR="00000000" w:rsidRPr="00000000">
        <w:rPr>
          <w:rtl w:val="0"/>
        </w:rPr>
        <w:t xml:space="preserve">Wales</w:t>
      </w:r>
    </w:p>
    <w:p w:rsidR="00000000" w:rsidDel="00000000" w:rsidP="00000000" w:rsidRDefault="00000000" w:rsidRPr="00000000" w14:paraId="000007A3">
      <w:pPr>
        <w:numPr>
          <w:ilvl w:val="0"/>
          <w:numId w:val="9"/>
        </w:numPr>
        <w:spacing w:after="0" w:lineRule="auto"/>
        <w:ind w:left="1079" w:hanging="360"/>
        <w:rPr/>
      </w:pPr>
      <w:r w:rsidDel="00000000" w:rsidR="00000000" w:rsidRPr="00000000">
        <w:rPr>
          <w:rtl w:val="0"/>
        </w:rPr>
        <w:t xml:space="preserve">Poland</w:t>
      </w:r>
    </w:p>
    <w:p w:rsidR="00000000" w:rsidDel="00000000" w:rsidP="00000000" w:rsidRDefault="00000000" w:rsidRPr="00000000" w14:paraId="000007A4">
      <w:pPr>
        <w:numPr>
          <w:ilvl w:val="0"/>
          <w:numId w:val="9"/>
        </w:numPr>
        <w:spacing w:after="0" w:lineRule="auto"/>
        <w:ind w:left="1079" w:hanging="360"/>
        <w:rPr/>
      </w:pPr>
      <w:r w:rsidDel="00000000" w:rsidR="00000000" w:rsidRPr="00000000">
        <w:rPr>
          <w:rtl w:val="0"/>
        </w:rPr>
        <w:t xml:space="preserve">Lithuania+Latvia+Estonia</w:t>
      </w:r>
    </w:p>
    <w:p w:rsidR="00000000" w:rsidDel="00000000" w:rsidP="00000000" w:rsidRDefault="00000000" w:rsidRPr="00000000" w14:paraId="000007A5">
      <w:pPr>
        <w:numPr>
          <w:ilvl w:val="0"/>
          <w:numId w:val="9"/>
        </w:numPr>
        <w:spacing w:after="0" w:lineRule="auto"/>
        <w:ind w:left="1079" w:hanging="360"/>
        <w:rPr/>
      </w:pPr>
      <w:r w:rsidDel="00000000" w:rsidR="00000000" w:rsidRPr="00000000">
        <w:rPr>
          <w:rtl w:val="0"/>
        </w:rPr>
        <w:t xml:space="preserve">Germany</w:t>
      </w:r>
    </w:p>
    <w:p w:rsidR="00000000" w:rsidDel="00000000" w:rsidP="00000000" w:rsidRDefault="00000000" w:rsidRPr="00000000" w14:paraId="000007A6">
      <w:pPr>
        <w:numPr>
          <w:ilvl w:val="0"/>
          <w:numId w:val="9"/>
        </w:numPr>
        <w:spacing w:after="0" w:lineRule="auto"/>
        <w:ind w:left="1079" w:hanging="360"/>
        <w:rPr/>
      </w:pPr>
      <w:r w:rsidDel="00000000" w:rsidR="00000000" w:rsidRPr="00000000">
        <w:rPr>
          <w:rtl w:val="0"/>
        </w:rPr>
        <w:t xml:space="preserve">Netherlands</w:t>
      </w:r>
    </w:p>
    <w:p w:rsidR="00000000" w:rsidDel="00000000" w:rsidP="00000000" w:rsidRDefault="00000000" w:rsidRPr="00000000" w14:paraId="000007A7">
      <w:pPr>
        <w:numPr>
          <w:ilvl w:val="0"/>
          <w:numId w:val="9"/>
        </w:numPr>
        <w:spacing w:after="0" w:lineRule="auto"/>
        <w:ind w:left="1079" w:hanging="360"/>
        <w:rPr/>
      </w:pPr>
      <w:r w:rsidDel="00000000" w:rsidR="00000000" w:rsidRPr="00000000">
        <w:rPr>
          <w:rtl w:val="0"/>
        </w:rPr>
        <w:t xml:space="preserve">Belgium</w:t>
      </w:r>
    </w:p>
    <w:p w:rsidR="00000000" w:rsidDel="00000000" w:rsidP="00000000" w:rsidRDefault="00000000" w:rsidRPr="00000000" w14:paraId="000007A8">
      <w:pPr>
        <w:numPr>
          <w:ilvl w:val="0"/>
          <w:numId w:val="9"/>
        </w:numPr>
        <w:spacing w:after="0" w:lineRule="auto"/>
        <w:ind w:left="1079" w:hanging="360"/>
        <w:rPr/>
      </w:pPr>
      <w:r w:rsidDel="00000000" w:rsidR="00000000" w:rsidRPr="00000000">
        <w:rPr>
          <w:rtl w:val="0"/>
        </w:rPr>
        <w:t xml:space="preserve">France</w:t>
      </w:r>
    </w:p>
    <w:p w:rsidR="00000000" w:rsidDel="00000000" w:rsidP="00000000" w:rsidRDefault="00000000" w:rsidRPr="00000000" w14:paraId="000007A9">
      <w:pPr>
        <w:numPr>
          <w:ilvl w:val="0"/>
          <w:numId w:val="9"/>
        </w:numPr>
        <w:spacing w:after="0" w:lineRule="auto"/>
        <w:ind w:left="1079" w:hanging="360"/>
        <w:rPr/>
      </w:pPr>
      <w:r w:rsidDel="00000000" w:rsidR="00000000" w:rsidRPr="00000000">
        <w:rPr>
          <w:rtl w:val="0"/>
        </w:rPr>
        <w:t xml:space="preserve">Spain</w:t>
      </w:r>
    </w:p>
    <w:p w:rsidR="00000000" w:rsidDel="00000000" w:rsidP="00000000" w:rsidRDefault="00000000" w:rsidRPr="00000000" w14:paraId="000007AA">
      <w:pPr>
        <w:numPr>
          <w:ilvl w:val="0"/>
          <w:numId w:val="9"/>
        </w:numPr>
        <w:ind w:left="1079" w:hanging="360"/>
        <w:rPr/>
      </w:pPr>
      <w:r w:rsidDel="00000000" w:rsidR="00000000" w:rsidRPr="00000000">
        <w:rPr>
          <w:rtl w:val="0"/>
        </w:rPr>
        <w:t xml:space="preserve">Italy</w:t>
      </w:r>
    </w:p>
    <w:p w:rsidR="00000000" w:rsidDel="00000000" w:rsidP="00000000" w:rsidRDefault="00000000" w:rsidRPr="00000000" w14:paraId="000007AB">
      <w:pPr>
        <w:rPr/>
      </w:pPr>
      <w:r w:rsidDel="00000000" w:rsidR="00000000" w:rsidRPr="00000000">
        <w:rPr>
          <w:rtl w:val="0"/>
        </w:rPr>
        <w:t xml:space="preserve">We extracted all unique combinations per ancient population X and then performed  PCA on the computed </w:t>
      </w:r>
      <w:r w:rsidDel="00000000" w:rsidR="00000000" w:rsidRPr="00000000">
        <w:rPr>
          <w:i w:val="1"/>
          <w:rtl w:val="0"/>
        </w:rPr>
        <w:t xml:space="preserve">F</w:t>
      </w:r>
      <w:r w:rsidDel="00000000" w:rsidR="00000000" w:rsidRPr="00000000">
        <w:rPr>
          <w:vertAlign w:val="subscript"/>
          <w:rtl w:val="0"/>
        </w:rPr>
        <w:t xml:space="preserve">4</w:t>
      </w:r>
      <w:r w:rsidDel="00000000" w:rsidR="00000000" w:rsidRPr="00000000">
        <w:rPr>
          <w:rtl w:val="0"/>
        </w:rPr>
        <w:t xml:space="preserve"> statistics (Extended Data Fig. 5b, Supp. Table 3.10). We see that in this PCA ancient population position along PC1 and PC2 strongly resembles the mean population location in our Northwestern European PCA calculated on individual present-day genotype data. </w:t>
      </w:r>
    </w:p>
    <w:p w:rsidR="00000000" w:rsidDel="00000000" w:rsidP="00000000" w:rsidRDefault="00000000" w:rsidRPr="00000000" w14:paraId="000007AC">
      <w:pPr>
        <w:rPr/>
      </w:pPr>
      <w:r w:rsidDel="00000000" w:rsidR="00000000" w:rsidRPr="00000000">
        <w:rPr>
          <w:rtl w:val="0"/>
        </w:rPr>
        <w:t xml:space="preserve">To verify this observation, we projected per present-day population five individuals as well as 18 modern English populations onto the PCA (Supp. Fig. 3.6). Positioning of the projected samples highly corresponds with the location in the genotype PCA. As in our Northwestern PCA, the English populations do not form a cline between Iron Age and early medieval samples from England. Since this PCA should not be affected by drift e.g. that accumulated after the Early Middle Ages, we conclude that the position of modern English within the PCA is the product of admixture. </w:t>
      </w:r>
    </w:p>
    <w:p w:rsidR="00000000" w:rsidDel="00000000" w:rsidP="00000000" w:rsidRDefault="00000000" w:rsidRPr="00000000" w14:paraId="000007AD">
      <w:pPr>
        <w:rPr/>
      </w:pPr>
      <w:r w:rsidDel="00000000" w:rsidR="00000000" w:rsidRPr="00000000">
        <w:rPr>
          <w:rtl w:val="0"/>
        </w:rPr>
        <w:t xml:space="preserve">In comparison to medieval and present-day Icelanders</w:t>
      </w:r>
      <w:hyperlink r:id="rId156">
        <w:r w:rsidDel="00000000" w:rsidR="00000000" w:rsidRPr="00000000">
          <w:rPr>
            <w:color w:val="000000"/>
            <w:vertAlign w:val="superscript"/>
            <w:rtl w:val="0"/>
          </w:rPr>
          <w:t xml:space="preserve">92</w:t>
        </w:r>
      </w:hyperlink>
      <w:r w:rsidDel="00000000" w:rsidR="00000000" w:rsidRPr="00000000">
        <w:rPr>
          <w:rtl w:val="0"/>
        </w:rPr>
        <w:t xml:space="preserve">, we detect only minor insular-specific (here: England-specific) drift. This is supported by a scatterplot of two </w:t>
      </w:r>
      <w:r w:rsidDel="00000000" w:rsidR="00000000" w:rsidRPr="00000000">
        <w:rPr>
          <w:i w:val="1"/>
          <w:rtl w:val="0"/>
        </w:rPr>
        <w:t xml:space="preserve">F</w:t>
      </w:r>
      <w:r w:rsidDel="00000000" w:rsidR="00000000" w:rsidRPr="00000000">
        <w:rPr>
          <w:vertAlign w:val="subscript"/>
          <w:rtl w:val="0"/>
        </w:rPr>
        <w:t xml:space="preserve">4</w:t>
      </w:r>
      <w:r w:rsidDel="00000000" w:rsidR="00000000" w:rsidRPr="00000000">
        <w:rPr>
          <w:rtl w:val="0"/>
        </w:rPr>
        <w:t xml:space="preserve">-statistics, </w:t>
      </w:r>
      <w:r w:rsidDel="00000000" w:rsidR="00000000" w:rsidRPr="00000000">
        <w:rPr>
          <w:i w:val="1"/>
          <w:rtl w:val="0"/>
        </w:rPr>
        <w:t xml:space="preserve">F</w:t>
      </w:r>
      <w:r w:rsidDel="00000000" w:rsidR="00000000" w:rsidRPr="00000000">
        <w:rPr>
          <w:vertAlign w:val="subscript"/>
          <w:rtl w:val="0"/>
        </w:rPr>
        <w:t xml:space="preserve">4</w:t>
      </w:r>
      <w:r w:rsidDel="00000000" w:rsidR="00000000" w:rsidRPr="00000000">
        <w:rPr>
          <w:rtl w:val="0"/>
        </w:rPr>
        <w:t xml:space="preserve">(CHB, X; CNE, England) and </w:t>
      </w:r>
      <w:r w:rsidDel="00000000" w:rsidR="00000000" w:rsidRPr="00000000">
        <w:rPr>
          <w:i w:val="1"/>
          <w:rtl w:val="0"/>
        </w:rPr>
        <w:t xml:space="preserve">F</w:t>
      </w:r>
      <w:r w:rsidDel="00000000" w:rsidR="00000000" w:rsidRPr="00000000">
        <w:rPr>
          <w:vertAlign w:val="subscript"/>
          <w:rtl w:val="0"/>
        </w:rPr>
        <w:t xml:space="preserve">4</w:t>
      </w:r>
      <w:r w:rsidDel="00000000" w:rsidR="00000000" w:rsidRPr="00000000">
        <w:rPr>
          <w:rtl w:val="0"/>
        </w:rPr>
        <w:t xml:space="preserve">(CHB, X; WBI, England), which should effectively distinguish the signature of England-specific drift (an axis parallel to the diagonal line) from WBI-CNE ancestry (perpendicular deviation from that line) (Supp. Fig. 3.7, Supp. Table 3.8). </w:t>
      </w:r>
    </w:p>
    <w:p w:rsidR="00000000" w:rsidDel="00000000" w:rsidP="00000000" w:rsidRDefault="00000000" w:rsidRPr="00000000" w14:paraId="000007AE">
      <w:pPr>
        <w:keepNext w:val="1"/>
        <w:rPr/>
      </w:pPr>
      <w:r w:rsidDel="00000000" w:rsidR="00000000" w:rsidRPr="00000000">
        <w:rPr/>
        <w:drawing>
          <wp:inline distB="0" distT="0" distL="0" distR="0">
            <wp:extent cx="5760720" cy="2892425"/>
            <wp:effectExtent b="0" l="0" r="0" t="0"/>
            <wp:docPr descr="Chart, scatter chart&#10;&#10;Description automatically generated" id="125" name="image8.png"/>
            <a:graphic>
              <a:graphicData uri="http://schemas.openxmlformats.org/drawingml/2006/picture">
                <pic:pic>
                  <pic:nvPicPr>
                    <pic:cNvPr descr="Chart, scatter chart&#10;&#10;Description automatically generated" id="0" name="image8.png"/>
                    <pic:cNvPicPr preferRelativeResize="0"/>
                  </pic:nvPicPr>
                  <pic:blipFill>
                    <a:blip r:embed="rId157"/>
                    <a:srcRect b="0" l="0" r="0" t="0"/>
                    <a:stretch>
                      <a:fillRect/>
                    </a:stretch>
                  </pic:blipFill>
                  <pic:spPr>
                    <a:xfrm>
                      <a:off x="0" y="0"/>
                      <a:ext cx="5760720" cy="2892425"/>
                    </a:xfrm>
                    <a:prstGeom prst="rect"/>
                    <a:ln/>
                  </pic:spPr>
                </pic:pic>
              </a:graphicData>
            </a:graphic>
          </wp:inline>
        </w:drawing>
      </w:r>
      <w:r w:rsidDel="00000000" w:rsidR="00000000" w:rsidRPr="00000000">
        <w:rPr>
          <w:rtl w:val="0"/>
        </w:rPr>
      </w:r>
    </w:p>
    <w:p w:rsidR="00000000" w:rsidDel="00000000" w:rsidP="00000000" w:rsidRDefault="00000000" w:rsidRPr="00000000" w14:paraId="000007AF">
      <w:pPr>
        <w:spacing w:after="200" w:line="240" w:lineRule="auto"/>
        <w:rPr>
          <w:i w:val="1"/>
          <w:sz w:val="18"/>
          <w:szCs w:val="18"/>
        </w:rPr>
      </w:pPr>
      <w:r w:rsidDel="00000000" w:rsidR="00000000" w:rsidRPr="00000000">
        <w:rPr>
          <w:b w:val="1"/>
          <w:i w:val="1"/>
          <w:sz w:val="18"/>
          <w:szCs w:val="18"/>
          <w:rtl w:val="0"/>
        </w:rPr>
        <w:t xml:space="preserve">Supplementary Figure 3.6, Population genetic affinities of present-day Europeans.</w:t>
      </w:r>
      <w:r w:rsidDel="00000000" w:rsidR="00000000" w:rsidRPr="00000000">
        <w:rPr>
          <w:i w:val="1"/>
          <w:sz w:val="18"/>
          <w:szCs w:val="18"/>
          <w:rtl w:val="0"/>
        </w:rPr>
        <w:t xml:space="preserve"> a) PCA of all unique combinations of the f-statistic F</w:t>
      </w:r>
      <w:r w:rsidDel="00000000" w:rsidR="00000000" w:rsidRPr="00000000">
        <w:rPr>
          <w:i w:val="1"/>
          <w:sz w:val="18"/>
          <w:szCs w:val="18"/>
          <w:vertAlign w:val="subscript"/>
          <w:rtl w:val="0"/>
        </w:rPr>
        <w:t xml:space="preserve">4</w:t>
      </w:r>
      <w:r w:rsidDel="00000000" w:rsidR="00000000" w:rsidRPr="00000000">
        <w:rPr>
          <w:i w:val="1"/>
          <w:sz w:val="18"/>
          <w:szCs w:val="18"/>
          <w:rtl w:val="0"/>
        </w:rPr>
        <w:t xml:space="preserve">(YRI, X; TestA, TestB). Present-day individuals and populations were projected onto the first two PCs. Ancient populations are shown in grey. b) Highlighted location of 18 present-day English populations within the ancient variation of all unique combinations of the f-statistic F</w:t>
      </w:r>
      <w:r w:rsidDel="00000000" w:rsidR="00000000" w:rsidRPr="00000000">
        <w:rPr>
          <w:i w:val="1"/>
          <w:sz w:val="18"/>
          <w:szCs w:val="18"/>
          <w:vertAlign w:val="subscript"/>
          <w:rtl w:val="0"/>
        </w:rPr>
        <w:t xml:space="preserve">4</w:t>
      </w:r>
      <w:r w:rsidDel="00000000" w:rsidR="00000000" w:rsidRPr="00000000">
        <w:rPr>
          <w:i w:val="1"/>
          <w:sz w:val="18"/>
          <w:szCs w:val="18"/>
          <w:rtl w:val="0"/>
        </w:rPr>
        <w:t xml:space="preserve">(YRI, X; TestA, TestB).</w:t>
      </w:r>
    </w:p>
    <w:p w:rsidR="00000000" w:rsidDel="00000000" w:rsidP="00000000" w:rsidRDefault="00000000" w:rsidRPr="00000000" w14:paraId="000007B0">
      <w:pPr>
        <w:spacing w:after="200" w:line="240" w:lineRule="auto"/>
        <w:rPr>
          <w:i w:val="1"/>
          <w:color w:val="44546a"/>
          <w:sz w:val="18"/>
          <w:szCs w:val="18"/>
        </w:rPr>
      </w:pPr>
      <w:r w:rsidDel="00000000" w:rsidR="00000000" w:rsidRPr="00000000">
        <w:rPr/>
        <w:drawing>
          <wp:inline distB="0" distT="0" distL="0" distR="0">
            <wp:extent cx="5760720" cy="3386455"/>
            <wp:effectExtent b="0" l="0" r="0" t="0"/>
            <wp:docPr descr="Chart, scatter chart&#10;&#10;Description automatically generated" id="126" name="image4.png"/>
            <a:graphic>
              <a:graphicData uri="http://schemas.openxmlformats.org/drawingml/2006/picture">
                <pic:pic>
                  <pic:nvPicPr>
                    <pic:cNvPr descr="Chart, scatter chart&#10;&#10;Description automatically generated" id="0" name="image4.png"/>
                    <pic:cNvPicPr preferRelativeResize="0"/>
                  </pic:nvPicPr>
                  <pic:blipFill>
                    <a:blip r:embed="rId158"/>
                    <a:srcRect b="0" l="0" r="0" t="0"/>
                    <a:stretch>
                      <a:fillRect/>
                    </a:stretch>
                  </pic:blipFill>
                  <pic:spPr>
                    <a:xfrm>
                      <a:off x="0" y="0"/>
                      <a:ext cx="5760720" cy="3386455"/>
                    </a:xfrm>
                    <a:prstGeom prst="rect"/>
                    <a:ln/>
                  </pic:spPr>
                </pic:pic>
              </a:graphicData>
            </a:graphic>
          </wp:inline>
        </w:drawing>
      </w:r>
      <w:r w:rsidDel="00000000" w:rsidR="00000000" w:rsidRPr="00000000">
        <w:rPr>
          <w:rtl w:val="0"/>
        </w:rPr>
      </w:r>
    </w:p>
    <w:p w:rsidR="00000000" w:rsidDel="00000000" w:rsidP="00000000" w:rsidRDefault="00000000" w:rsidRPr="00000000" w14:paraId="000007B1">
      <w:pPr>
        <w:spacing w:after="200" w:line="240" w:lineRule="auto"/>
        <w:rPr>
          <w:i w:val="1"/>
          <w:sz w:val="18"/>
          <w:szCs w:val="18"/>
        </w:rPr>
      </w:pPr>
      <w:r w:rsidDel="00000000" w:rsidR="00000000" w:rsidRPr="00000000">
        <w:rPr>
          <w:b w:val="1"/>
          <w:i w:val="1"/>
          <w:sz w:val="18"/>
          <w:szCs w:val="18"/>
          <w:rtl w:val="0"/>
        </w:rPr>
        <w:t xml:space="preserve">Supplementary Figure 3.7. England-specific genetic drift. </w:t>
      </w:r>
      <w:r w:rsidDel="00000000" w:rsidR="00000000" w:rsidRPr="00000000">
        <w:rPr>
          <w:i w:val="1"/>
          <w:sz w:val="18"/>
          <w:szCs w:val="18"/>
          <w:rtl w:val="0"/>
        </w:rPr>
        <w:t xml:space="preserve">Scatterplot of f-statistics of the form F</w:t>
      </w:r>
      <w:r w:rsidDel="00000000" w:rsidR="00000000" w:rsidRPr="00000000">
        <w:rPr>
          <w:i w:val="1"/>
          <w:sz w:val="18"/>
          <w:szCs w:val="18"/>
          <w:vertAlign w:val="subscript"/>
          <w:rtl w:val="0"/>
        </w:rPr>
        <w:t xml:space="preserve">4</w:t>
      </w:r>
      <w:r w:rsidDel="00000000" w:rsidR="00000000" w:rsidRPr="00000000">
        <w:rPr>
          <w:i w:val="1"/>
          <w:sz w:val="18"/>
          <w:szCs w:val="18"/>
          <w:rtl w:val="0"/>
        </w:rPr>
        <w:t xml:space="preserve">(CHB, Test; CNE, England) and F</w:t>
      </w:r>
      <w:r w:rsidDel="00000000" w:rsidR="00000000" w:rsidRPr="00000000">
        <w:rPr>
          <w:i w:val="1"/>
          <w:sz w:val="18"/>
          <w:szCs w:val="18"/>
          <w:vertAlign w:val="subscript"/>
          <w:rtl w:val="0"/>
        </w:rPr>
        <w:t xml:space="preserve">4</w:t>
      </w:r>
      <w:r w:rsidDel="00000000" w:rsidR="00000000" w:rsidRPr="00000000">
        <w:rPr>
          <w:i w:val="1"/>
          <w:sz w:val="18"/>
          <w:szCs w:val="18"/>
          <w:rtl w:val="0"/>
        </w:rPr>
        <w:t xml:space="preserve">(CHB, Test; WBI, England) reflecting England-specific drift. To aid interpretation, we included values for ancient British-Irish Islanders and a subset of contemporary individuals (who were correspondingly removed from the reference populations).</w:t>
      </w:r>
    </w:p>
    <w:p w:rsidR="00000000" w:rsidDel="00000000" w:rsidP="00000000" w:rsidRDefault="00000000" w:rsidRPr="00000000" w14:paraId="000007B2">
      <w:pPr>
        <w:spacing w:after="200" w:line="240" w:lineRule="auto"/>
        <w:rPr>
          <w:i w:val="1"/>
          <w:color w:val="44546a"/>
          <w:sz w:val="18"/>
          <w:szCs w:val="18"/>
        </w:rPr>
      </w:pPr>
      <w:r w:rsidDel="00000000" w:rsidR="00000000" w:rsidRPr="00000000">
        <w:rPr/>
        <w:drawing>
          <wp:inline distB="0" distT="0" distL="0" distR="0">
            <wp:extent cx="5760720" cy="4752340"/>
            <wp:effectExtent b="0" l="0" r="0" t="0"/>
            <wp:docPr descr="Diagram&#10;&#10;Description automatically generated" id="127" name="image5.png"/>
            <a:graphic>
              <a:graphicData uri="http://schemas.openxmlformats.org/drawingml/2006/picture">
                <pic:pic>
                  <pic:nvPicPr>
                    <pic:cNvPr descr="Diagram&#10;&#10;Description automatically generated" id="0" name="image5.png"/>
                    <pic:cNvPicPr preferRelativeResize="0"/>
                  </pic:nvPicPr>
                  <pic:blipFill>
                    <a:blip r:embed="rId159"/>
                    <a:srcRect b="0" l="0" r="0" t="0"/>
                    <a:stretch>
                      <a:fillRect/>
                    </a:stretch>
                  </pic:blipFill>
                  <pic:spPr>
                    <a:xfrm>
                      <a:off x="0" y="0"/>
                      <a:ext cx="5760720" cy="4752340"/>
                    </a:xfrm>
                    <a:prstGeom prst="rect"/>
                    <a:ln/>
                  </pic:spPr>
                </pic:pic>
              </a:graphicData>
            </a:graphic>
          </wp:inline>
        </w:drawing>
      </w:r>
      <w:r w:rsidDel="00000000" w:rsidR="00000000" w:rsidRPr="00000000">
        <w:rPr>
          <w:rtl w:val="0"/>
        </w:rPr>
      </w:r>
    </w:p>
    <w:p w:rsidR="00000000" w:rsidDel="00000000" w:rsidP="00000000" w:rsidRDefault="00000000" w:rsidRPr="00000000" w14:paraId="000007B3">
      <w:pPr>
        <w:spacing w:after="200" w:before="240" w:line="276" w:lineRule="auto"/>
        <w:rPr>
          <w:i w:val="1"/>
          <w:sz w:val="18"/>
          <w:szCs w:val="18"/>
        </w:rPr>
      </w:pPr>
      <w:r w:rsidDel="00000000" w:rsidR="00000000" w:rsidRPr="00000000">
        <w:rPr>
          <w:b w:val="1"/>
          <w:i w:val="1"/>
          <w:sz w:val="18"/>
          <w:szCs w:val="18"/>
          <w:rtl w:val="0"/>
        </w:rPr>
        <w:t xml:space="preserve">Supplementary Figure 3.8. Treemix analysis. </w:t>
      </w:r>
      <w:r w:rsidDel="00000000" w:rsidR="00000000" w:rsidRPr="00000000">
        <w:rPr>
          <w:i w:val="1"/>
          <w:sz w:val="18"/>
          <w:szCs w:val="18"/>
          <w:rtl w:val="0"/>
        </w:rPr>
        <w:t xml:space="preserve">Maximum likelihood tree of genome sequences from present-day and ancient European populations</w:t>
      </w:r>
      <w:r w:rsidDel="00000000" w:rsidR="00000000" w:rsidRPr="00000000">
        <w:rPr>
          <w:b w:val="1"/>
          <w:i w:val="1"/>
          <w:sz w:val="18"/>
          <w:szCs w:val="18"/>
          <w:rtl w:val="0"/>
        </w:rPr>
        <w:t xml:space="preserve">.</w:t>
      </w:r>
      <w:r w:rsidDel="00000000" w:rsidR="00000000" w:rsidRPr="00000000">
        <w:rPr>
          <w:i w:val="1"/>
          <w:sz w:val="18"/>
          <w:szCs w:val="18"/>
          <w:rtl w:val="0"/>
        </w:rPr>
        <w:t xml:space="preserve"> The bar chart next to each population shows the ancestry proportions from unsupervised ADMIXTURE at K = 6 for each population. </w:t>
      </w:r>
    </w:p>
    <w:p w:rsidR="00000000" w:rsidDel="00000000" w:rsidP="00000000" w:rsidRDefault="00000000" w:rsidRPr="00000000" w14:paraId="000007B4">
      <w:pPr>
        <w:rPr>
          <w:i w:val="1"/>
        </w:rPr>
      </w:pPr>
      <w:r w:rsidDel="00000000" w:rsidR="00000000" w:rsidRPr="00000000">
        <w:rPr>
          <w:rtl w:val="0"/>
        </w:rPr>
        <w:t xml:space="preserve">We devised two test-criteria to statistically test whether continental sites could be considered a direct source for the immigrating gene pool in England (as defined in </w:t>
      </w:r>
      <w:r w:rsidDel="00000000" w:rsidR="00000000" w:rsidRPr="00000000">
        <w:rPr>
          <w:i w:val="1"/>
          <w:rtl w:val="0"/>
        </w:rPr>
        <w:t xml:space="preserve">England_EMA_CNE</w:t>
      </w:r>
      <w:r w:rsidDel="00000000" w:rsidR="00000000" w:rsidRPr="00000000">
        <w:rPr>
          <w:rtl w:val="0"/>
        </w:rPr>
        <w:t xml:space="preserve">). First, we tested on the site-specific level whether the </w:t>
      </w:r>
      <w:r w:rsidDel="00000000" w:rsidR="00000000" w:rsidRPr="00000000">
        <w:rPr>
          <w:i w:val="1"/>
          <w:rtl w:val="0"/>
        </w:rPr>
        <w:t xml:space="preserve">England_EMA_CNE</w:t>
      </w:r>
      <w:r w:rsidDel="00000000" w:rsidR="00000000" w:rsidRPr="00000000">
        <w:rPr>
          <w:rtl w:val="0"/>
        </w:rPr>
        <w:t xml:space="preserve"> individuals were consistent with forming a clade with 77 French, Czech, Polish, Dutch, German, Danish, Swedish, or Norwegian site populations using </w:t>
      </w:r>
      <w:r w:rsidDel="00000000" w:rsidR="00000000" w:rsidRPr="00000000">
        <w:rPr>
          <w:i w:val="1"/>
          <w:rtl w:val="0"/>
        </w:rPr>
        <w:t xml:space="preserve">qpWave</w:t>
      </w:r>
      <w:hyperlink r:id="rId160">
        <w:r w:rsidDel="00000000" w:rsidR="00000000" w:rsidRPr="00000000">
          <w:rPr>
            <w:i w:val="1"/>
            <w:color w:val="000000"/>
            <w:vertAlign w:val="superscript"/>
            <w:rtl w:val="0"/>
          </w:rPr>
          <w:t xml:space="preserve">171,175</w:t>
        </w:r>
      </w:hyperlink>
      <w:r w:rsidDel="00000000" w:rsidR="00000000" w:rsidRPr="00000000">
        <w:rPr>
          <w:rtl w:val="0"/>
        </w:rPr>
        <w:t xml:space="preserve"> from ADMIXTOOLS</w:t>
      </w:r>
      <w:r w:rsidDel="00000000" w:rsidR="00000000" w:rsidRPr="00000000">
        <w:rPr>
          <w:vertAlign w:val="superscript"/>
          <w:rtl w:val="0"/>
        </w:rPr>
        <w:t xml:space="preserve">60</w:t>
      </w:r>
      <w:r w:rsidDel="00000000" w:rsidR="00000000" w:rsidRPr="00000000">
        <w:rPr>
          <w:rtl w:val="0"/>
        </w:rPr>
        <w:t xml:space="preserve"> (v.4.1). We set the option allsnps: YES to specify that the </w:t>
      </w:r>
      <w:r w:rsidDel="00000000" w:rsidR="00000000" w:rsidRPr="00000000">
        <w:rPr>
          <w:i w:val="1"/>
          <w:rtl w:val="0"/>
        </w:rPr>
        <w:t xml:space="preserve">F</w:t>
      </w:r>
      <w:r w:rsidDel="00000000" w:rsidR="00000000" w:rsidRPr="00000000">
        <w:rPr>
          <w:vertAlign w:val="subscript"/>
          <w:rtl w:val="0"/>
        </w:rPr>
        <w:t xml:space="preserve">4</w:t>
      </w:r>
      <w:r w:rsidDel="00000000" w:rsidR="00000000" w:rsidRPr="00000000">
        <w:rPr>
          <w:rtl w:val="0"/>
        </w:rPr>
        <w:t xml:space="preserve"> statistics, which are the basis of </w:t>
      </w:r>
      <w:r w:rsidDel="00000000" w:rsidR="00000000" w:rsidRPr="00000000">
        <w:rPr>
          <w:i w:val="1"/>
          <w:rtl w:val="0"/>
        </w:rPr>
        <w:t xml:space="preserve">qpWave</w:t>
      </w:r>
      <w:r w:rsidDel="00000000" w:rsidR="00000000" w:rsidRPr="00000000">
        <w:rPr>
          <w:rtl w:val="0"/>
        </w:rPr>
        <w:t xml:space="preserve"> analyses, should be computed using the union of SNPs with coverage in all four groups that contribute to each </w:t>
      </w:r>
      <w:r w:rsidDel="00000000" w:rsidR="00000000" w:rsidRPr="00000000">
        <w:rPr>
          <w:i w:val="1"/>
          <w:rtl w:val="0"/>
        </w:rPr>
        <w:t xml:space="preserve">F</w:t>
      </w:r>
      <w:r w:rsidDel="00000000" w:rsidR="00000000" w:rsidRPr="00000000">
        <w:rPr>
          <w:vertAlign w:val="subscript"/>
          <w:rtl w:val="0"/>
        </w:rPr>
        <w:t xml:space="preserve">4</w:t>
      </w:r>
      <w:r w:rsidDel="00000000" w:rsidR="00000000" w:rsidRPr="00000000">
        <w:rPr>
          <w:rtl w:val="0"/>
        </w:rPr>
        <w:t xml:space="preserve"> statistic. We used a set of 11 Outgroups in the following order: YRI.SG, Poland, Finland, Sweden, Denmark, Ireland, Wales, Italy, Spain, Belgium, Netherlands (Supp. Table 3.11). Second, as a somewhat weaker condition, we tested which of the 77 aforementioned site populations are suitable proxies for the immigrant ancestry in the whole </w:t>
      </w:r>
      <w:r w:rsidDel="00000000" w:rsidR="00000000" w:rsidRPr="00000000">
        <w:rPr>
          <w:i w:val="1"/>
          <w:rtl w:val="0"/>
        </w:rPr>
        <w:t xml:space="preserve">England_EMA </w:t>
      </w:r>
      <w:r w:rsidDel="00000000" w:rsidR="00000000" w:rsidRPr="00000000">
        <w:rPr>
          <w:rtl w:val="0"/>
        </w:rPr>
        <w:t xml:space="preserve">population using a two-way model including </w:t>
      </w:r>
      <w:r w:rsidDel="00000000" w:rsidR="00000000" w:rsidRPr="00000000">
        <w:rPr>
          <w:i w:val="1"/>
          <w:rtl w:val="0"/>
        </w:rPr>
        <w:t xml:space="preserve">England_LIA_Roman </w:t>
      </w:r>
      <w:r w:rsidDel="00000000" w:rsidR="00000000" w:rsidRPr="00000000">
        <w:rPr>
          <w:rtl w:val="0"/>
        </w:rPr>
        <w:t xml:space="preserve">as source of local English ancestry in </w:t>
      </w:r>
      <w:r w:rsidDel="00000000" w:rsidR="00000000" w:rsidRPr="00000000">
        <w:rPr>
          <w:i w:val="1"/>
          <w:rtl w:val="0"/>
        </w:rPr>
        <w:t xml:space="preserve">qpAdm </w:t>
      </w:r>
      <w:r w:rsidDel="00000000" w:rsidR="00000000" w:rsidRPr="00000000">
        <w:rPr>
          <w:rtl w:val="0"/>
        </w:rPr>
        <w:t xml:space="preserve">(Supp. Table 3.11)</w:t>
      </w:r>
      <w:r w:rsidDel="00000000" w:rsidR="00000000" w:rsidRPr="00000000">
        <w:rPr>
          <w:i w:val="1"/>
          <w:rtl w:val="0"/>
        </w:rPr>
        <w:t xml:space="preserve">.</w:t>
      </w:r>
    </w:p>
    <w:p w:rsidR="00000000" w:rsidDel="00000000" w:rsidP="00000000" w:rsidRDefault="00000000" w:rsidRPr="00000000" w14:paraId="000007B5">
      <w:pPr>
        <w:rPr/>
      </w:pPr>
      <w:r w:rsidDel="00000000" w:rsidR="00000000" w:rsidRPr="00000000">
        <w:rPr>
          <w:rtl w:val="0"/>
        </w:rPr>
        <w:t xml:space="preserve">We identify 23 populations in northern Germany, Denmark, and Sweden that fulfil the first criterion, so are indistinguishable from </w:t>
      </w:r>
      <w:r w:rsidDel="00000000" w:rsidR="00000000" w:rsidRPr="00000000">
        <w:rPr>
          <w:i w:val="1"/>
          <w:rtl w:val="0"/>
        </w:rPr>
        <w:t xml:space="preserve">England_EMA_CNE </w:t>
      </w:r>
      <w:r w:rsidDel="00000000" w:rsidR="00000000" w:rsidRPr="00000000">
        <w:rPr>
          <w:rtl w:val="0"/>
        </w:rPr>
        <w:t xml:space="preserve">in terms of their allele frequencies with respect to the outgroups in </w:t>
      </w:r>
      <w:r w:rsidDel="00000000" w:rsidR="00000000" w:rsidRPr="00000000">
        <w:rPr>
          <w:i w:val="1"/>
          <w:rtl w:val="0"/>
        </w:rPr>
        <w:t xml:space="preserve">qpWave</w:t>
      </w:r>
      <w:r w:rsidDel="00000000" w:rsidR="00000000" w:rsidRPr="00000000">
        <w:rPr>
          <w:rtl w:val="0"/>
        </w:rPr>
        <w:t xml:space="preserve">. For the second criterion, we found 27 Dutch, northern German, Danish, and Swedish populations as fitting proxies for CNE ancestry in the </w:t>
      </w:r>
      <w:r w:rsidDel="00000000" w:rsidR="00000000" w:rsidRPr="00000000">
        <w:rPr>
          <w:i w:val="1"/>
          <w:rtl w:val="0"/>
        </w:rPr>
        <w:t xml:space="preserve">England_EMA </w:t>
      </w:r>
      <w:r w:rsidDel="00000000" w:rsidR="00000000" w:rsidRPr="00000000">
        <w:rPr>
          <w:rtl w:val="0"/>
        </w:rPr>
        <w:t xml:space="preserve">population with </w:t>
      </w:r>
      <w:r w:rsidDel="00000000" w:rsidR="00000000" w:rsidRPr="00000000">
        <w:rPr>
          <w:i w:val="1"/>
          <w:rtl w:val="0"/>
        </w:rPr>
        <w:t xml:space="preserve">qpAdm</w:t>
      </w:r>
      <w:r w:rsidDel="00000000" w:rsidR="00000000" w:rsidRPr="00000000">
        <w:rPr>
          <w:rtl w:val="0"/>
        </w:rPr>
        <w:t xml:space="preserve">, however, only 20 of them produce feasible models with admixture proportions between 0 and 1 (Supp. Fig. 3.9b). Of those 20 populations, all pass the </w:t>
      </w:r>
      <w:r w:rsidDel="00000000" w:rsidR="00000000" w:rsidRPr="00000000">
        <w:rPr>
          <w:i w:val="1"/>
          <w:rtl w:val="0"/>
        </w:rPr>
        <w:t xml:space="preserve">qpWave </w:t>
      </w:r>
      <w:r w:rsidDel="00000000" w:rsidR="00000000" w:rsidRPr="00000000">
        <w:rPr>
          <w:rtl w:val="0"/>
        </w:rPr>
        <w:t xml:space="preserve">cladality criterion as well. Ten sites are located in Denmark (Jutland, Funen, Langeland, and Seeland), two in Sweden (Oland and Skåne), and eight in northern Germany (Lower Saxony and Mecklenburg-Vorpommern)(Supp. Fig. 3.9a) . We highlight that 40% of the populations that fulfil both criteria are located in northern Germany, although they only represent 13% of the tested sites. In total, eight out of ten (80%) tested northern German sites fulfil the criteria, ten out of 27 (37%) Danish sites, and two out of eleven Swedish sites (18%). The estimates of CNE ancestry within the </w:t>
      </w:r>
      <w:r w:rsidDel="00000000" w:rsidR="00000000" w:rsidRPr="00000000">
        <w:rPr>
          <w:i w:val="1"/>
          <w:rtl w:val="0"/>
        </w:rPr>
        <w:t xml:space="preserve">England_EMA </w:t>
      </w:r>
      <w:r w:rsidDel="00000000" w:rsidR="00000000" w:rsidRPr="00000000">
        <w:rPr>
          <w:rtl w:val="0"/>
        </w:rPr>
        <w:t xml:space="preserve">population vary between 50% and 93%, with a mean of 76.9% and a SD of 12%.</w:t>
      </w:r>
    </w:p>
    <w:p w:rsidR="00000000" w:rsidDel="00000000" w:rsidP="00000000" w:rsidRDefault="00000000" w:rsidRPr="00000000" w14:paraId="000007B6">
      <w:pPr>
        <w:rPr/>
      </w:pPr>
      <w:r w:rsidDel="00000000" w:rsidR="00000000" w:rsidRPr="00000000">
        <w:rPr/>
        <w:drawing>
          <wp:inline distB="0" distT="0" distL="0" distR="0">
            <wp:extent cx="5760720" cy="3036570"/>
            <wp:effectExtent b="0" l="0" r="0" t="0"/>
            <wp:docPr descr="Chart, histogram&#10;&#10;Description automatically generated" id="128" name="image9.png"/>
            <a:graphic>
              <a:graphicData uri="http://schemas.openxmlformats.org/drawingml/2006/picture">
                <pic:pic>
                  <pic:nvPicPr>
                    <pic:cNvPr descr="Chart, histogram&#10;&#10;Description automatically generated" id="0" name="image9.png"/>
                    <pic:cNvPicPr preferRelativeResize="0"/>
                  </pic:nvPicPr>
                  <pic:blipFill>
                    <a:blip r:embed="rId161"/>
                    <a:srcRect b="0" l="0" r="0" t="0"/>
                    <a:stretch>
                      <a:fillRect/>
                    </a:stretch>
                  </pic:blipFill>
                  <pic:spPr>
                    <a:xfrm>
                      <a:off x="0" y="0"/>
                      <a:ext cx="5760720" cy="3036570"/>
                    </a:xfrm>
                    <a:prstGeom prst="rect"/>
                    <a:ln/>
                  </pic:spPr>
                </pic:pic>
              </a:graphicData>
            </a:graphic>
          </wp:inline>
        </w:drawing>
      </w:r>
      <w:r w:rsidDel="00000000" w:rsidR="00000000" w:rsidRPr="00000000">
        <w:rPr>
          <w:rtl w:val="0"/>
        </w:rPr>
      </w:r>
    </w:p>
    <w:p w:rsidR="00000000" w:rsidDel="00000000" w:rsidP="00000000" w:rsidRDefault="00000000" w:rsidRPr="00000000" w14:paraId="000007B7">
      <w:pPr>
        <w:spacing w:after="200" w:line="240" w:lineRule="auto"/>
        <w:rPr/>
      </w:pPr>
      <w:r w:rsidDel="00000000" w:rsidR="00000000" w:rsidRPr="00000000">
        <w:rPr>
          <w:b w:val="1"/>
          <w:i w:val="1"/>
          <w:sz w:val="18"/>
          <w:szCs w:val="18"/>
          <w:rtl w:val="0"/>
        </w:rPr>
        <w:t xml:space="preserve">Supplementary Figure 3.9. Continental populations that represent feasible proxies for CNE ancestry in early medieval English.</w:t>
      </w:r>
      <w:r w:rsidDel="00000000" w:rsidR="00000000" w:rsidRPr="00000000">
        <w:rPr>
          <w:i w:val="1"/>
          <w:sz w:val="18"/>
          <w:szCs w:val="18"/>
          <w:rtl w:val="0"/>
        </w:rPr>
        <w:t xml:space="preserve"> a) Distribution of populations (on the site level) that are i) genetically indistinguishable from England_EMA_CNE (n = 109) in qpWave (plotted as diamonds) and ii) feasible proxies in a two-way admixture model of England_EMA (n = 285) in qpAdm (plotted in red). b) Corresponding admixture proportions ordered according to country and CNE quantity. Samples sizes for continental  populations are indicated in Supplementary Table 3.11. Error bars represent ± 1 standard error.</w:t>
      </w:r>
      <w:r w:rsidDel="00000000" w:rsidR="00000000" w:rsidRPr="00000000">
        <w:rPr>
          <w:rtl w:val="0"/>
        </w:rPr>
      </w:r>
    </w:p>
    <w:p w:rsidR="00000000" w:rsidDel="00000000" w:rsidP="00000000" w:rsidRDefault="00000000" w:rsidRPr="00000000" w14:paraId="000007B8">
      <w:pPr>
        <w:rPr>
          <w:color w:val="000000"/>
          <w:sz w:val="28"/>
          <w:szCs w:val="28"/>
        </w:rPr>
      </w:pPr>
      <w:r w:rsidDel="00000000" w:rsidR="00000000" w:rsidRPr="00000000">
        <w:rPr>
          <w:rtl w:val="0"/>
        </w:rPr>
        <w:t xml:space="preserve">The obtained results indicate a close relationship between </w:t>
      </w:r>
      <w:r w:rsidDel="00000000" w:rsidR="00000000" w:rsidRPr="00000000">
        <w:rPr>
          <w:i w:val="1"/>
          <w:rtl w:val="0"/>
        </w:rPr>
        <w:t xml:space="preserve">England_EMA_CNE</w:t>
      </w:r>
      <w:r w:rsidDel="00000000" w:rsidR="00000000" w:rsidRPr="00000000">
        <w:rPr>
          <w:rtl w:val="0"/>
        </w:rPr>
        <w:t xml:space="preserve"> and the early medieval individuals from Lower Saxony as well as with several medieval Danish populations. We further tested a potential cladal relationship of </w:t>
      </w:r>
      <w:r w:rsidDel="00000000" w:rsidR="00000000" w:rsidRPr="00000000">
        <w:rPr>
          <w:i w:val="1"/>
          <w:rtl w:val="0"/>
        </w:rPr>
        <w:t xml:space="preserve">England_EMA_CNE</w:t>
      </w:r>
      <w:r w:rsidDel="00000000" w:rsidR="00000000" w:rsidRPr="00000000">
        <w:rPr>
          <w:rtl w:val="0"/>
        </w:rPr>
        <w:t xml:space="preserve"> and </w:t>
      </w:r>
      <w:r w:rsidDel="00000000" w:rsidR="00000000" w:rsidRPr="00000000">
        <w:rPr>
          <w:i w:val="1"/>
          <w:rtl w:val="0"/>
        </w:rPr>
        <w:t xml:space="preserve">LowerSaxony_EMA </w:t>
      </w:r>
      <w:r w:rsidDel="00000000" w:rsidR="00000000" w:rsidRPr="00000000">
        <w:rPr>
          <w:rtl w:val="0"/>
        </w:rPr>
        <w:t xml:space="preserve">using a </w:t>
      </w:r>
      <w:r w:rsidDel="00000000" w:rsidR="00000000" w:rsidRPr="00000000">
        <w:rPr>
          <w:i w:val="1"/>
          <w:rtl w:val="0"/>
        </w:rPr>
        <w:t xml:space="preserve">F</w:t>
      </w:r>
      <w:r w:rsidDel="00000000" w:rsidR="00000000" w:rsidRPr="00000000">
        <w:rPr>
          <w:vertAlign w:val="subscript"/>
          <w:rtl w:val="0"/>
        </w:rPr>
        <w:t xml:space="preserve">4</w:t>
      </w:r>
      <w:r w:rsidDel="00000000" w:rsidR="00000000" w:rsidRPr="00000000">
        <w:rPr>
          <w:rtl w:val="0"/>
        </w:rPr>
        <w:t xml:space="preserve"> statistics of the form </w:t>
      </w:r>
      <w:r w:rsidDel="00000000" w:rsidR="00000000" w:rsidRPr="00000000">
        <w:rPr>
          <w:i w:val="1"/>
          <w:rtl w:val="0"/>
        </w:rPr>
        <w:t xml:space="preserve">F</w:t>
      </w:r>
      <w:r w:rsidDel="00000000" w:rsidR="00000000" w:rsidRPr="00000000">
        <w:rPr>
          <w:vertAlign w:val="subscript"/>
          <w:rtl w:val="0"/>
        </w:rPr>
        <w:t xml:space="preserve">4</w:t>
      </w:r>
      <w:r w:rsidDel="00000000" w:rsidR="00000000" w:rsidRPr="00000000">
        <w:rPr>
          <w:rtl w:val="0"/>
        </w:rPr>
        <w:t xml:space="preserve">(</w:t>
      </w:r>
      <w:r w:rsidDel="00000000" w:rsidR="00000000" w:rsidRPr="00000000">
        <w:rPr>
          <w:i w:val="1"/>
          <w:rtl w:val="0"/>
        </w:rPr>
        <w:t xml:space="preserve">England_EMA_CNE</w:t>
      </w:r>
      <w:r w:rsidDel="00000000" w:rsidR="00000000" w:rsidRPr="00000000">
        <w:rPr>
          <w:rtl w:val="0"/>
        </w:rPr>
        <w:t xml:space="preserve">, </w:t>
      </w:r>
      <w:r w:rsidDel="00000000" w:rsidR="00000000" w:rsidRPr="00000000">
        <w:rPr>
          <w:i w:val="1"/>
          <w:rtl w:val="0"/>
        </w:rPr>
        <w:t xml:space="preserve">LowerSaxony_EMA</w:t>
      </w:r>
      <w:r w:rsidDel="00000000" w:rsidR="00000000" w:rsidRPr="00000000">
        <w:rPr>
          <w:rtl w:val="0"/>
        </w:rPr>
        <w:t xml:space="preserve">; </w:t>
      </w:r>
      <w:r w:rsidDel="00000000" w:rsidR="00000000" w:rsidRPr="00000000">
        <w:rPr>
          <w:i w:val="1"/>
          <w:rtl w:val="0"/>
        </w:rPr>
        <w:t xml:space="preserve">Test</w:t>
      </w:r>
      <w:r w:rsidDel="00000000" w:rsidR="00000000" w:rsidRPr="00000000">
        <w:rPr>
          <w:rtl w:val="0"/>
        </w:rPr>
        <w:t xml:space="preserve">, YRI.SG), where </w:t>
      </w:r>
      <w:r w:rsidDel="00000000" w:rsidR="00000000" w:rsidRPr="00000000">
        <w:rPr>
          <w:i w:val="1"/>
          <w:rtl w:val="0"/>
        </w:rPr>
        <w:t xml:space="preserve">Test</w:t>
      </w:r>
      <w:r w:rsidDel="00000000" w:rsidR="00000000" w:rsidRPr="00000000">
        <w:rPr>
          <w:rtl w:val="0"/>
        </w:rPr>
        <w:t xml:space="preserve"> iterates through 256 diverse ancient and modern Eurasian populations (Supp. Table 3.12). While 255 populations seem to be equally related to </w:t>
      </w:r>
      <w:r w:rsidDel="00000000" w:rsidR="00000000" w:rsidRPr="00000000">
        <w:rPr>
          <w:i w:val="1"/>
          <w:rtl w:val="0"/>
        </w:rPr>
        <w:t xml:space="preserve">England_EMA_CNE</w:t>
      </w:r>
      <w:r w:rsidDel="00000000" w:rsidR="00000000" w:rsidRPr="00000000">
        <w:rPr>
          <w:rtl w:val="0"/>
        </w:rPr>
        <w:t xml:space="preserve"> and </w:t>
      </w:r>
      <w:r w:rsidDel="00000000" w:rsidR="00000000" w:rsidRPr="00000000">
        <w:rPr>
          <w:i w:val="1"/>
          <w:rtl w:val="0"/>
        </w:rPr>
        <w:t xml:space="preserve">LowerSaxony_EMA</w:t>
      </w:r>
      <w:r w:rsidDel="00000000" w:rsidR="00000000" w:rsidRPr="00000000">
        <w:rPr>
          <w:rtl w:val="0"/>
        </w:rPr>
        <w:t xml:space="preserve">, we find that </w:t>
      </w:r>
      <w:r w:rsidDel="00000000" w:rsidR="00000000" w:rsidRPr="00000000">
        <w:rPr>
          <w:i w:val="1"/>
          <w:rtl w:val="0"/>
        </w:rPr>
        <w:t xml:space="preserve">Latvia_BA </w:t>
      </w:r>
      <w:r w:rsidDel="00000000" w:rsidR="00000000" w:rsidRPr="00000000">
        <w:rPr>
          <w:rtl w:val="0"/>
        </w:rPr>
        <w:t xml:space="preserve">(</w:t>
      </w:r>
      <w:r w:rsidDel="00000000" w:rsidR="00000000" w:rsidRPr="00000000">
        <w:rPr>
          <w:i w:val="1"/>
          <w:rtl w:val="0"/>
        </w:rPr>
        <w:t xml:space="preserve">Z</w:t>
      </w:r>
      <w:r w:rsidDel="00000000" w:rsidR="00000000" w:rsidRPr="00000000">
        <w:rPr>
          <w:rtl w:val="0"/>
        </w:rPr>
        <w:t xml:space="preserve"> = -3.944) is exhibiting excess affinity to </w:t>
      </w:r>
      <w:r w:rsidDel="00000000" w:rsidR="00000000" w:rsidRPr="00000000">
        <w:rPr>
          <w:i w:val="1"/>
          <w:rtl w:val="0"/>
        </w:rPr>
        <w:t xml:space="preserve">LowerSaxony_EMA</w:t>
      </w:r>
      <w:r w:rsidDel="00000000" w:rsidR="00000000" w:rsidRPr="00000000">
        <w:rPr>
          <w:rtl w:val="0"/>
        </w:rPr>
        <w:t xml:space="preserve">. This signal is still present after correcting for multiple testing using the Benjamini &amp; Hochberg method for </w:t>
      </w:r>
      <w:r w:rsidDel="00000000" w:rsidR="00000000" w:rsidRPr="00000000">
        <w:rPr>
          <w:i w:val="1"/>
          <w:rtl w:val="0"/>
        </w:rPr>
        <w:t xml:space="preserve">p</w:t>
      </w:r>
      <w:r w:rsidDel="00000000" w:rsidR="00000000" w:rsidRPr="00000000">
        <w:rPr>
          <w:rtl w:val="0"/>
        </w:rPr>
        <w:t xml:space="preserve">-value adjustment</w:t>
      </w:r>
      <w:hyperlink r:id="rId162">
        <w:r w:rsidDel="00000000" w:rsidR="00000000" w:rsidRPr="00000000">
          <w:rPr>
            <w:color w:val="000000"/>
            <w:vertAlign w:val="superscript"/>
            <w:rtl w:val="0"/>
          </w:rPr>
          <w:t xml:space="preserve">176</w:t>
        </w:r>
      </w:hyperlink>
      <w:r w:rsidDel="00000000" w:rsidR="00000000" w:rsidRPr="00000000">
        <w:rPr>
          <w:rtl w:val="0"/>
        </w:rPr>
        <w:t xml:space="preserve"> (</w:t>
      </w:r>
      <w:r w:rsidDel="00000000" w:rsidR="00000000" w:rsidRPr="00000000">
        <w:rPr>
          <w:i w:val="1"/>
          <w:rtl w:val="0"/>
        </w:rPr>
        <w:t xml:space="preserve">p </w:t>
      </w:r>
      <w:r w:rsidDel="00000000" w:rsidR="00000000" w:rsidRPr="00000000">
        <w:rPr>
          <w:rtl w:val="0"/>
        </w:rPr>
        <w:t xml:space="preserve">= 0.02051422). Noticeably, this is not the case for earlier or later populations from Latvia or contemporaneous Bronze Age populations from Lithuania and Estonia. Viking Age populations from Jutland, Zealand, Funen, and Langeland do not share significantly more alleles with </w:t>
      </w:r>
      <w:r w:rsidDel="00000000" w:rsidR="00000000" w:rsidRPr="00000000">
        <w:rPr>
          <w:i w:val="1"/>
          <w:rtl w:val="0"/>
        </w:rPr>
        <w:t xml:space="preserve">England_EMA_CNE</w:t>
      </w:r>
      <w:r w:rsidDel="00000000" w:rsidR="00000000" w:rsidRPr="00000000">
        <w:rPr>
          <w:rtl w:val="0"/>
        </w:rPr>
        <w:t xml:space="preserve"> than with </w:t>
      </w:r>
      <w:r w:rsidDel="00000000" w:rsidR="00000000" w:rsidRPr="00000000">
        <w:rPr>
          <w:i w:val="1"/>
          <w:rtl w:val="0"/>
        </w:rPr>
        <w:t xml:space="preserve">LowerSaxony_EMA</w:t>
      </w:r>
      <w:r w:rsidDel="00000000" w:rsidR="00000000" w:rsidRPr="00000000">
        <w:rPr>
          <w:rtl w:val="0"/>
        </w:rPr>
        <w:t xml:space="preserve">. We therefore conclude that </w:t>
      </w:r>
      <w:r w:rsidDel="00000000" w:rsidR="00000000" w:rsidRPr="00000000">
        <w:rPr>
          <w:i w:val="1"/>
          <w:rtl w:val="0"/>
        </w:rPr>
        <w:t xml:space="preserve">LowerSaxony_EMA </w:t>
      </w:r>
      <w:r w:rsidDel="00000000" w:rsidR="00000000" w:rsidRPr="00000000">
        <w:rPr>
          <w:rtl w:val="0"/>
        </w:rPr>
        <w:t xml:space="preserve">is a close proxy to the continental northern European (CNE) ancestry that migrated to England during the Early Middle Ages. Based on this observation, we attempted to design a more direct approach of identifying CNE ancestry in early medieval England that is not resting on modern European references as sources. We carried out the analysis using </w:t>
      </w:r>
      <w:r w:rsidDel="00000000" w:rsidR="00000000" w:rsidRPr="00000000">
        <w:rPr>
          <w:i w:val="1"/>
          <w:rtl w:val="0"/>
        </w:rPr>
        <w:t xml:space="preserve">qpAdm</w:t>
      </w:r>
      <w:hyperlink r:id="rId163">
        <w:r w:rsidDel="00000000" w:rsidR="00000000" w:rsidRPr="00000000">
          <w:rPr>
            <w:i w:val="1"/>
            <w:color w:val="000000"/>
            <w:vertAlign w:val="superscript"/>
            <w:rtl w:val="0"/>
          </w:rPr>
          <w:t xml:space="preserve">171</w:t>
        </w:r>
      </w:hyperlink>
      <w:r w:rsidDel="00000000" w:rsidR="00000000" w:rsidRPr="00000000">
        <w:rPr>
          <w:rtl w:val="0"/>
        </w:rPr>
        <w:t xml:space="preserve"> from ADMIXTOOLS</w:t>
      </w:r>
      <w:hyperlink r:id="rId164">
        <w:r w:rsidDel="00000000" w:rsidR="00000000" w:rsidRPr="00000000">
          <w:rPr>
            <w:color w:val="000000"/>
            <w:vertAlign w:val="superscript"/>
            <w:rtl w:val="0"/>
          </w:rPr>
          <w:t xml:space="preserve">174</w:t>
        </w:r>
      </w:hyperlink>
      <w:r w:rsidDel="00000000" w:rsidR="00000000" w:rsidRPr="00000000">
        <w:rPr>
          <w:rtl w:val="0"/>
        </w:rPr>
        <w:t xml:space="preserve"> and the basic set of 11 outgroups. We then modelled all early medieval English samples as a two-way admixture between a subset of England Iron Age and Roman period samples (</w:t>
      </w:r>
      <w:r w:rsidDel="00000000" w:rsidR="00000000" w:rsidRPr="00000000">
        <w:rPr>
          <w:i w:val="1"/>
          <w:rtl w:val="0"/>
        </w:rPr>
        <w:t xml:space="preserve">England_LIA_Roman</w:t>
      </w:r>
      <w:r w:rsidDel="00000000" w:rsidR="00000000" w:rsidRPr="00000000">
        <w:rPr>
          <w:rtl w:val="0"/>
        </w:rPr>
        <w:t xml:space="preserve">; </w:t>
      </w:r>
      <w:r w:rsidDel="00000000" w:rsidR="00000000" w:rsidRPr="00000000">
        <w:rPr>
          <w:i w:val="1"/>
          <w:rtl w:val="0"/>
        </w:rPr>
        <w:t xml:space="preserve">England_LIA </w:t>
      </w:r>
      <w:r w:rsidDel="00000000" w:rsidR="00000000" w:rsidRPr="00000000">
        <w:rPr>
          <w:rtl w:val="0"/>
        </w:rPr>
        <w:t xml:space="preserve">+ </w:t>
      </w:r>
      <w:r w:rsidDel="00000000" w:rsidR="00000000" w:rsidRPr="00000000">
        <w:rPr>
          <w:i w:val="1"/>
          <w:rtl w:val="0"/>
        </w:rPr>
        <w:t xml:space="preserve">England_IA_ERoman.SG</w:t>
      </w:r>
      <w:r w:rsidDel="00000000" w:rsidR="00000000" w:rsidRPr="00000000">
        <w:rPr>
          <w:rtl w:val="0"/>
        </w:rPr>
        <w:t xml:space="preserve"> + </w:t>
      </w:r>
      <w:r w:rsidDel="00000000" w:rsidR="00000000" w:rsidRPr="00000000">
        <w:rPr>
          <w:i w:val="1"/>
          <w:rtl w:val="0"/>
        </w:rPr>
        <w:t xml:space="preserve">England_IA_Roman.SG, </w:t>
      </w:r>
      <w:r w:rsidDel="00000000" w:rsidR="00000000" w:rsidRPr="00000000">
        <w:rPr>
          <w:rtl w:val="0"/>
        </w:rPr>
        <w:t xml:space="preserve">excluding one Middle Eastern outlier, </w:t>
      </w:r>
      <w:r w:rsidDel="00000000" w:rsidR="00000000" w:rsidRPr="00000000">
        <w:rPr>
          <w:i w:val="1"/>
          <w:rtl w:val="0"/>
        </w:rPr>
        <w:t xml:space="preserve">n </w:t>
      </w:r>
      <w:r w:rsidDel="00000000" w:rsidR="00000000" w:rsidRPr="00000000">
        <w:rPr>
          <w:rtl w:val="0"/>
        </w:rPr>
        <w:t xml:space="preserve">= 32)</w:t>
      </w:r>
      <w:hyperlink r:id="rId165">
        <w:r w:rsidDel="00000000" w:rsidR="00000000" w:rsidRPr="00000000">
          <w:rPr>
            <w:color w:val="000000"/>
            <w:vertAlign w:val="superscript"/>
            <w:rtl w:val="0"/>
          </w:rPr>
          <w:t xml:space="preserve">121,137</w:t>
        </w:r>
      </w:hyperlink>
      <w:r w:rsidDel="00000000" w:rsidR="00000000" w:rsidRPr="00000000">
        <w:rPr>
          <w:rtl w:val="0"/>
        </w:rPr>
        <w:t xml:space="preserve"> and a subset of early medieval, non-related Lower Saxony individuals (</w:t>
      </w:r>
      <w:r w:rsidDel="00000000" w:rsidR="00000000" w:rsidRPr="00000000">
        <w:rPr>
          <w:i w:val="1"/>
          <w:rtl w:val="0"/>
        </w:rPr>
        <w:t xml:space="preserve">LowerSaxony_EMA</w:t>
      </w:r>
      <w:r w:rsidDel="00000000" w:rsidR="00000000" w:rsidRPr="00000000">
        <w:rPr>
          <w:rtl w:val="0"/>
        </w:rPr>
        <w:t xml:space="preserve">, </w:t>
      </w:r>
      <w:r w:rsidDel="00000000" w:rsidR="00000000" w:rsidRPr="00000000">
        <w:rPr>
          <w:i w:val="1"/>
          <w:rtl w:val="0"/>
        </w:rPr>
        <w:t xml:space="preserve">n</w:t>
      </w:r>
      <w:r w:rsidDel="00000000" w:rsidR="00000000" w:rsidRPr="00000000">
        <w:rPr>
          <w:rtl w:val="0"/>
        </w:rPr>
        <w:t xml:space="preserve"> = 39; Supp. Table 1). The obtained estimate of Lower Saxony ancestry (86.4% ± 2.2%) is only slightly higher than the CNE estimate obtained using present-day Danish and northern Germans as sources (86.4% vs. 76.3%), although the </w:t>
      </w:r>
      <w:r w:rsidDel="00000000" w:rsidR="00000000" w:rsidRPr="00000000">
        <w:rPr>
          <w:i w:val="1"/>
          <w:rtl w:val="0"/>
        </w:rPr>
        <w:t xml:space="preserve">p</w:t>
      </w:r>
      <w:r w:rsidDel="00000000" w:rsidR="00000000" w:rsidRPr="00000000">
        <w:rPr>
          <w:rtl w:val="0"/>
        </w:rPr>
        <w:t xml:space="preserve">-value of this </w:t>
      </w:r>
      <w:r w:rsidDel="00000000" w:rsidR="00000000" w:rsidRPr="00000000">
        <w:rPr>
          <w:i w:val="1"/>
          <w:rtl w:val="0"/>
        </w:rPr>
        <w:t xml:space="preserve">qpAdm </w:t>
      </w:r>
      <w:r w:rsidDel="00000000" w:rsidR="00000000" w:rsidRPr="00000000">
        <w:rPr>
          <w:rtl w:val="0"/>
        </w:rPr>
        <w:t xml:space="preserve">model is borderline to significance (</w:t>
      </w:r>
      <w:r w:rsidDel="00000000" w:rsidR="00000000" w:rsidRPr="00000000">
        <w:rPr>
          <w:i w:val="1"/>
          <w:rtl w:val="0"/>
        </w:rPr>
        <w:t xml:space="preserve">p</w:t>
      </w:r>
      <w:r w:rsidDel="00000000" w:rsidR="00000000" w:rsidRPr="00000000">
        <w:rPr>
          <w:rtl w:val="0"/>
        </w:rPr>
        <w:t xml:space="preserve"> &gt; 0.018). This may be related to heterogeneity within the early medieval English populations, especially with respect to affinity to the  Scandinavian Peninsula (Supp. Note 6) and France Iron Age-related ancestry (Supp. Note 5). </w:t>
      </w:r>
      <w:r w:rsidDel="00000000" w:rsidR="00000000" w:rsidRPr="00000000">
        <w:rPr>
          <w:rtl w:val="0"/>
        </w:rPr>
      </w:r>
    </w:p>
    <w:p w:rsidR="00000000" w:rsidDel="00000000" w:rsidP="00000000" w:rsidRDefault="00000000" w:rsidRPr="00000000" w14:paraId="000007B9">
      <w:pPr>
        <w:pStyle w:val="Heading1"/>
        <w:rPr>
          <w:color w:val="000000"/>
          <w:sz w:val="28"/>
          <w:szCs w:val="28"/>
        </w:rPr>
      </w:pPr>
      <w:bookmarkStart w:colFirst="0" w:colLast="0" w:name="_heading=h.2iq8gzs" w:id="72"/>
      <w:bookmarkEnd w:id="72"/>
      <w:r w:rsidDel="00000000" w:rsidR="00000000" w:rsidRPr="00000000">
        <w:br w:type="page"/>
      </w:r>
      <w:r w:rsidDel="00000000" w:rsidR="00000000" w:rsidRPr="00000000">
        <w:rPr>
          <w:rtl w:val="0"/>
        </w:rPr>
      </w:r>
    </w:p>
    <w:p w:rsidR="00000000" w:rsidDel="00000000" w:rsidP="00000000" w:rsidRDefault="00000000" w:rsidRPr="00000000" w14:paraId="000007BA">
      <w:pPr>
        <w:pStyle w:val="Heading1"/>
        <w:rPr>
          <w:color w:val="000000"/>
          <w:sz w:val="28"/>
          <w:szCs w:val="28"/>
        </w:rPr>
      </w:pPr>
      <w:bookmarkStart w:colFirst="0" w:colLast="0" w:name="_heading=h.xvir7l" w:id="73"/>
      <w:bookmarkEnd w:id="73"/>
      <w:r w:rsidDel="00000000" w:rsidR="00000000" w:rsidRPr="00000000">
        <w:rPr>
          <w:color w:val="000000"/>
          <w:sz w:val="28"/>
          <w:szCs w:val="28"/>
          <w:rtl w:val="0"/>
        </w:rPr>
        <w:t xml:space="preserve">Supplementary Note 4 </w:t>
      </w:r>
      <w:r w:rsidDel="00000000" w:rsidR="00000000" w:rsidRPr="00000000">
        <w:rPr>
          <w:i w:val="1"/>
          <w:color w:val="000000"/>
          <w:sz w:val="28"/>
          <w:szCs w:val="28"/>
          <w:rtl w:val="0"/>
        </w:rPr>
        <w:t xml:space="preserve">Genetic structure of continental medieval samples</w:t>
      </w:r>
      <w:r w:rsidDel="00000000" w:rsidR="00000000" w:rsidRPr="00000000">
        <w:rPr>
          <w:rtl w:val="0"/>
        </w:rPr>
      </w:r>
    </w:p>
    <w:p w:rsidR="00000000" w:rsidDel="00000000" w:rsidP="00000000" w:rsidRDefault="00000000" w:rsidRPr="00000000" w14:paraId="000007BB">
      <w:pPr>
        <w:pStyle w:val="Heading2"/>
        <w:rPr>
          <w:color w:val="000000"/>
        </w:rPr>
      </w:pPr>
      <w:bookmarkStart w:colFirst="0" w:colLast="0" w:name="_heading=h.3hv69ve" w:id="74"/>
      <w:bookmarkEnd w:id="74"/>
      <w:r w:rsidDel="00000000" w:rsidR="00000000" w:rsidRPr="00000000">
        <w:rPr>
          <w:color w:val="000000"/>
          <w:rtl w:val="0"/>
        </w:rPr>
        <w:t xml:space="preserve">General population genetic affinities</w:t>
      </w:r>
    </w:p>
    <w:p w:rsidR="00000000" w:rsidDel="00000000" w:rsidP="00000000" w:rsidRDefault="00000000" w:rsidRPr="00000000" w14:paraId="000007BC">
      <w:pPr>
        <w:rPr/>
      </w:pPr>
      <w:bookmarkStart w:colFirst="0" w:colLast="0" w:name="_heading=h.1x0gk37" w:id="75"/>
      <w:bookmarkEnd w:id="75"/>
      <w:r w:rsidDel="00000000" w:rsidR="00000000" w:rsidRPr="00000000">
        <w:rPr>
          <w:rtl w:val="0"/>
        </w:rPr>
        <w:t xml:space="preserve">We investigated population genetic structure across our samples in continental Europe using PCA. Specifically, we projected samples from each site onto our  </w:t>
      </w:r>
      <w:r w:rsidDel="00000000" w:rsidR="00000000" w:rsidRPr="00000000">
        <w:rPr>
          <w:i w:val="1"/>
          <w:rtl w:val="0"/>
        </w:rPr>
        <w:t xml:space="preserve">Northwestern European PCA </w:t>
      </w:r>
      <w:r w:rsidDel="00000000" w:rsidR="00000000" w:rsidRPr="00000000">
        <w:rPr>
          <w:rtl w:val="0"/>
        </w:rPr>
        <w:t xml:space="preserve">(Supp. Fig. 4.1).</w:t>
      </w:r>
      <w:r w:rsidDel="00000000" w:rsidR="00000000" w:rsidRPr="00000000">
        <w:rPr>
          <w:i w:val="1"/>
          <w:rtl w:val="0"/>
        </w:rPr>
        <w:t xml:space="preserve"> </w:t>
      </w:r>
      <w:r w:rsidDel="00000000" w:rsidR="00000000" w:rsidRPr="00000000">
        <w:rPr>
          <w:rtl w:val="0"/>
        </w:rPr>
        <w:t xml:space="preserve">In general, we observe that samples from all sites (with the exception of Alt-Inden) generally cluster together with those northern German, Danish, or northern Dutch groups that are close to their respective present-day regions of origin. However, in the sites of Groningen, Schleswig, Anderten, and especially Alt-Inden, we observed a major north-to-south cline of genetic variation. The spread of the respective genomes comprises the genetic variation of present-day southern Dutch, Belgians, Germans, and French. </w:t>
      </w:r>
    </w:p>
    <w:p w:rsidR="00000000" w:rsidDel="00000000" w:rsidP="00000000" w:rsidRDefault="00000000" w:rsidRPr="00000000" w14:paraId="000007BD">
      <w:pPr>
        <w:rPr/>
      </w:pPr>
      <w:r w:rsidDel="00000000" w:rsidR="00000000" w:rsidRPr="00000000">
        <w:rPr>
          <w:rtl w:val="0"/>
        </w:rPr>
        <w:t xml:space="preserve">To test if this shift was reflected in allele frequency correlations, we computed for each medieval continental genome </w:t>
      </w:r>
      <w:r w:rsidDel="00000000" w:rsidR="00000000" w:rsidRPr="00000000">
        <w:rPr>
          <w:i w:val="1"/>
          <w:rtl w:val="0"/>
        </w:rPr>
        <w:t xml:space="preserve">F</w:t>
      </w:r>
      <w:r w:rsidDel="00000000" w:rsidR="00000000" w:rsidRPr="00000000">
        <w:rPr>
          <w:vertAlign w:val="subscript"/>
          <w:rtl w:val="0"/>
        </w:rPr>
        <w:t xml:space="preserve">4 </w:t>
      </w:r>
      <w:r w:rsidDel="00000000" w:rsidR="00000000" w:rsidRPr="00000000">
        <w:rPr>
          <w:rtl w:val="0"/>
        </w:rPr>
        <w:t xml:space="preserve">statistics of the form </w:t>
      </w:r>
      <w:r w:rsidDel="00000000" w:rsidR="00000000" w:rsidRPr="00000000">
        <w:rPr>
          <w:i w:val="1"/>
          <w:rtl w:val="0"/>
        </w:rPr>
        <w:t xml:space="preserve">F</w:t>
      </w:r>
      <w:r w:rsidDel="00000000" w:rsidR="00000000" w:rsidRPr="00000000">
        <w:rPr>
          <w:vertAlign w:val="subscript"/>
          <w:rtl w:val="0"/>
        </w:rPr>
        <w:t xml:space="preserve">4</w:t>
      </w:r>
      <w:r w:rsidDel="00000000" w:rsidR="00000000" w:rsidRPr="00000000">
        <w:rPr>
          <w:rtl w:val="0"/>
        </w:rPr>
        <w:t xml:space="preserve">(YRI,</w:t>
      </w:r>
      <w:r w:rsidDel="00000000" w:rsidR="00000000" w:rsidRPr="00000000">
        <w:rPr>
          <w:i w:val="1"/>
          <w:rtl w:val="0"/>
        </w:rPr>
        <w:t xml:space="preserve"> TestA</w:t>
      </w:r>
      <w:r w:rsidDel="00000000" w:rsidR="00000000" w:rsidRPr="00000000">
        <w:rPr>
          <w:rtl w:val="0"/>
        </w:rPr>
        <w:t xml:space="preserve">; CNE, </w:t>
      </w:r>
      <w:r w:rsidDel="00000000" w:rsidR="00000000" w:rsidRPr="00000000">
        <w:rPr>
          <w:i w:val="1"/>
          <w:rtl w:val="0"/>
        </w:rPr>
        <w:t xml:space="preserve">TestB</w:t>
      </w:r>
      <w:r w:rsidDel="00000000" w:rsidR="00000000" w:rsidRPr="00000000">
        <w:rPr>
          <w:rtl w:val="0"/>
        </w:rPr>
        <w:t xml:space="preserve">), where </w:t>
      </w:r>
      <w:r w:rsidDel="00000000" w:rsidR="00000000" w:rsidRPr="00000000">
        <w:rPr>
          <w:i w:val="1"/>
          <w:rtl w:val="0"/>
        </w:rPr>
        <w:t xml:space="preserve">TestB</w:t>
      </w:r>
      <w:r w:rsidDel="00000000" w:rsidR="00000000" w:rsidRPr="00000000">
        <w:rPr>
          <w:rtl w:val="0"/>
        </w:rPr>
        <w:t xml:space="preserve"> iterates through six European populations, and </w:t>
      </w:r>
      <w:r w:rsidDel="00000000" w:rsidR="00000000" w:rsidRPr="00000000">
        <w:rPr>
          <w:i w:val="1"/>
          <w:rtl w:val="0"/>
        </w:rPr>
        <w:t xml:space="preserve">TestA </w:t>
      </w:r>
      <w:r w:rsidDel="00000000" w:rsidR="00000000" w:rsidRPr="00000000">
        <w:rPr>
          <w:rtl w:val="0"/>
        </w:rPr>
        <w:t xml:space="preserve">iterates through our ancient continental sample (Supp. Fig. 5.2, Supp. Table 4.1). Indeed, we observe that the sites of Groningen, Schleswig, Anderten, and Alt-Inden exhibit considerable variation in their samples’ affinities to present-day southern Europeans like Italians or Spanish. On the other hand, genetic stratification based on the affinity to the present-day Polish and Scandinavian Peninsula populations was especially visible in samples from Copenhagen, Schleswig, and Viking Age Swedes and Norwegians. </w:t>
      </w:r>
      <w:r w:rsidDel="00000000" w:rsidR="00000000" w:rsidRPr="00000000">
        <w:rPr/>
        <w:drawing>
          <wp:inline distB="0" distT="0" distL="0" distR="0">
            <wp:extent cx="5760720" cy="4707255"/>
            <wp:effectExtent b="0" l="0" r="0" t="0"/>
            <wp:docPr descr="Map&#10;&#10;Description automatically generated" id="129" name="image68.png"/>
            <a:graphic>
              <a:graphicData uri="http://schemas.openxmlformats.org/drawingml/2006/picture">
                <pic:pic>
                  <pic:nvPicPr>
                    <pic:cNvPr descr="Map&#10;&#10;Description automatically generated" id="0" name="image68.png"/>
                    <pic:cNvPicPr preferRelativeResize="0"/>
                  </pic:nvPicPr>
                  <pic:blipFill>
                    <a:blip r:embed="rId166"/>
                    <a:srcRect b="0" l="0" r="0" t="0"/>
                    <a:stretch>
                      <a:fillRect/>
                    </a:stretch>
                  </pic:blipFill>
                  <pic:spPr>
                    <a:xfrm>
                      <a:off x="0" y="0"/>
                      <a:ext cx="5760720" cy="4707255"/>
                    </a:xfrm>
                    <a:prstGeom prst="rect"/>
                    <a:ln/>
                  </pic:spPr>
                </pic:pic>
              </a:graphicData>
            </a:graphic>
          </wp:inline>
        </w:drawing>
      </w:r>
      <w:r w:rsidDel="00000000" w:rsidR="00000000" w:rsidRPr="00000000">
        <w:rPr>
          <w:rtl w:val="0"/>
        </w:rPr>
      </w:r>
    </w:p>
    <w:p w:rsidR="00000000" w:rsidDel="00000000" w:rsidP="00000000" w:rsidRDefault="00000000" w:rsidRPr="00000000" w14:paraId="000007BE">
      <w:pPr>
        <w:pBdr>
          <w:top w:space="0" w:sz="0" w:val="nil"/>
          <w:left w:space="0" w:sz="0" w:val="nil"/>
          <w:bottom w:space="0" w:sz="0" w:val="nil"/>
          <w:right w:space="0" w:sz="0" w:val="nil"/>
          <w:between w:space="0" w:sz="0" w:val="nil"/>
        </w:pBdr>
        <w:spacing w:after="200" w:line="240" w:lineRule="auto"/>
        <w:rPr>
          <w:i w:val="1"/>
          <w:sz w:val="18"/>
          <w:szCs w:val="18"/>
        </w:rPr>
      </w:pPr>
      <w:r w:rsidDel="00000000" w:rsidR="00000000" w:rsidRPr="00000000">
        <w:rPr>
          <w:b w:val="1"/>
          <w:i w:val="1"/>
          <w:sz w:val="18"/>
          <w:szCs w:val="18"/>
          <w:rtl w:val="0"/>
        </w:rPr>
        <w:t xml:space="preserve">Supplementary Figure 4.1, Geographic and genetic structure of 164 analysed continental individuals.</w:t>
      </w:r>
      <w:r w:rsidDel="00000000" w:rsidR="00000000" w:rsidRPr="00000000">
        <w:rPr>
          <w:i w:val="1"/>
          <w:sz w:val="18"/>
          <w:szCs w:val="18"/>
          <w:rtl w:val="0"/>
        </w:rPr>
        <w:t xml:space="preserve"> Shown are the locations of 15 newly reported sites. Per region, ancient individuals were projected onto principal components defined by 7,413 northwestern Europeans. </w:t>
      </w:r>
    </w:p>
    <w:p w:rsidR="00000000" w:rsidDel="00000000" w:rsidP="00000000" w:rsidRDefault="00000000" w:rsidRPr="00000000" w14:paraId="000007BF">
      <w:pPr>
        <w:pBdr>
          <w:top w:space="0" w:sz="0" w:val="nil"/>
          <w:left w:space="0" w:sz="0" w:val="nil"/>
          <w:bottom w:space="0" w:sz="0" w:val="nil"/>
          <w:right w:space="0" w:sz="0" w:val="nil"/>
          <w:between w:space="0" w:sz="0" w:val="nil"/>
        </w:pBdr>
        <w:spacing w:after="200" w:line="240" w:lineRule="auto"/>
        <w:rPr>
          <w:i w:val="1"/>
          <w:color w:val="44546a"/>
          <w:sz w:val="18"/>
          <w:szCs w:val="18"/>
        </w:rPr>
      </w:pPr>
      <w:r w:rsidDel="00000000" w:rsidR="00000000" w:rsidRPr="00000000">
        <w:rPr>
          <w:rtl w:val="0"/>
        </w:rPr>
      </w:r>
    </w:p>
    <w:p w:rsidR="00000000" w:rsidDel="00000000" w:rsidP="00000000" w:rsidRDefault="00000000" w:rsidRPr="00000000" w14:paraId="000007C0">
      <w:pPr>
        <w:keepNext w:val="1"/>
        <w:pBdr>
          <w:top w:space="0" w:sz="0" w:val="nil"/>
          <w:left w:space="0" w:sz="0" w:val="nil"/>
          <w:bottom w:space="0" w:sz="0" w:val="nil"/>
          <w:right w:space="0" w:sz="0" w:val="nil"/>
          <w:between w:space="0" w:sz="0" w:val="nil"/>
        </w:pBdr>
        <w:spacing w:after="200" w:line="240" w:lineRule="auto"/>
        <w:rPr>
          <w:i w:val="1"/>
          <w:color w:val="44546a"/>
          <w:sz w:val="18"/>
          <w:szCs w:val="18"/>
        </w:rPr>
      </w:pPr>
      <w:r w:rsidDel="00000000" w:rsidR="00000000" w:rsidRPr="00000000">
        <w:rPr/>
        <w:drawing>
          <wp:inline distB="0" distT="0" distL="0" distR="0">
            <wp:extent cx="6189327" cy="7314353"/>
            <wp:effectExtent b="0" l="0" r="0" t="0"/>
            <wp:docPr descr="Diagram, schematic&#10;&#10;Description automatically generated" id="130" name="image13.png"/>
            <a:graphic>
              <a:graphicData uri="http://schemas.openxmlformats.org/drawingml/2006/picture">
                <pic:pic>
                  <pic:nvPicPr>
                    <pic:cNvPr descr="Diagram, schematic&#10;&#10;Description automatically generated" id="0" name="image13.png"/>
                    <pic:cNvPicPr preferRelativeResize="0"/>
                  </pic:nvPicPr>
                  <pic:blipFill>
                    <a:blip r:embed="rId167"/>
                    <a:srcRect b="0" l="0" r="0" t="0"/>
                    <a:stretch>
                      <a:fillRect/>
                    </a:stretch>
                  </pic:blipFill>
                  <pic:spPr>
                    <a:xfrm>
                      <a:off x="0" y="0"/>
                      <a:ext cx="6189327" cy="7314353"/>
                    </a:xfrm>
                    <a:prstGeom prst="rect"/>
                    <a:ln/>
                  </pic:spPr>
                </pic:pic>
              </a:graphicData>
            </a:graphic>
          </wp:inline>
        </w:drawing>
      </w:r>
      <w:r w:rsidDel="00000000" w:rsidR="00000000" w:rsidRPr="00000000">
        <w:rPr>
          <w:rtl w:val="0"/>
        </w:rPr>
      </w:r>
    </w:p>
    <w:p w:rsidR="00000000" w:rsidDel="00000000" w:rsidP="00000000" w:rsidRDefault="00000000" w:rsidRPr="00000000" w14:paraId="000007C1">
      <w:pPr>
        <w:pBdr>
          <w:top w:space="0" w:sz="0" w:val="nil"/>
          <w:left w:space="0" w:sz="0" w:val="nil"/>
          <w:bottom w:space="0" w:sz="0" w:val="nil"/>
          <w:right w:space="0" w:sz="0" w:val="nil"/>
          <w:between w:space="0" w:sz="0" w:val="nil"/>
        </w:pBdr>
        <w:spacing w:after="200" w:line="240" w:lineRule="auto"/>
        <w:rPr>
          <w:i w:val="1"/>
          <w:sz w:val="18"/>
          <w:szCs w:val="18"/>
        </w:rPr>
      </w:pPr>
      <w:r w:rsidDel="00000000" w:rsidR="00000000" w:rsidRPr="00000000">
        <w:rPr>
          <w:b w:val="1"/>
          <w:i w:val="1"/>
          <w:sz w:val="18"/>
          <w:szCs w:val="18"/>
          <w:rtl w:val="0"/>
        </w:rPr>
        <w:t xml:space="preserve">Supplementary Figure 4.2, Contrasting allele-sharing between the CNE metapopulation of present-day Denmark &amp; northern Germany and other European populations.</w:t>
      </w:r>
      <w:r w:rsidDel="00000000" w:rsidR="00000000" w:rsidRPr="00000000">
        <w:rPr>
          <w:i w:val="1"/>
          <w:sz w:val="18"/>
          <w:szCs w:val="18"/>
          <w:rtl w:val="0"/>
        </w:rPr>
        <w:t xml:space="preserve"> Violin plots showing distributions of the f-statistic F</w:t>
      </w:r>
      <w:r w:rsidDel="00000000" w:rsidR="00000000" w:rsidRPr="00000000">
        <w:rPr>
          <w:i w:val="1"/>
          <w:sz w:val="18"/>
          <w:szCs w:val="18"/>
          <w:vertAlign w:val="subscript"/>
          <w:rtl w:val="0"/>
        </w:rPr>
        <w:t xml:space="preserve">4</w:t>
      </w:r>
      <w:r w:rsidDel="00000000" w:rsidR="00000000" w:rsidRPr="00000000">
        <w:rPr>
          <w:i w:val="1"/>
          <w:sz w:val="18"/>
          <w:szCs w:val="18"/>
          <w:rtl w:val="0"/>
        </w:rPr>
        <w:t xml:space="preserve">(YRI, TestA; CNE, TestB) for ancient northwestern European individuals. TestB iterates through nine present-day European populations. </w:t>
      </w:r>
    </w:p>
    <w:p w:rsidR="00000000" w:rsidDel="00000000" w:rsidP="00000000" w:rsidRDefault="00000000" w:rsidRPr="00000000" w14:paraId="000007C2">
      <w:pPr>
        <w:rPr/>
      </w:pPr>
      <w:r w:rsidDel="00000000" w:rsidR="00000000" w:rsidRPr="00000000">
        <w:rPr>
          <w:rtl w:val="0"/>
        </w:rPr>
      </w:r>
    </w:p>
    <w:p w:rsidR="00000000" w:rsidDel="00000000" w:rsidP="00000000" w:rsidRDefault="00000000" w:rsidRPr="00000000" w14:paraId="000007C3">
      <w:pPr>
        <w:pStyle w:val="Heading2"/>
        <w:rPr>
          <w:color w:val="000000"/>
        </w:rPr>
      </w:pPr>
      <w:bookmarkStart w:colFirst="0" w:colLast="0" w:name="_heading=h.4h042r0" w:id="76"/>
      <w:bookmarkEnd w:id="76"/>
      <w:r w:rsidDel="00000000" w:rsidR="00000000" w:rsidRPr="00000000">
        <w:rPr>
          <w:color w:val="000000"/>
          <w:rtl w:val="0"/>
        </w:rPr>
        <w:t xml:space="preserve">Identifying outliers</w:t>
      </w:r>
    </w:p>
    <w:p w:rsidR="00000000" w:rsidDel="00000000" w:rsidP="00000000" w:rsidRDefault="00000000" w:rsidRPr="00000000" w14:paraId="000007C4">
      <w:pPr>
        <w:rPr/>
      </w:pPr>
      <w:r w:rsidDel="00000000" w:rsidR="00000000" w:rsidRPr="00000000">
        <w:rPr>
          <w:rtl w:val="0"/>
        </w:rPr>
        <w:t xml:space="preserve">To investigate the presence of genetically more northern and north-eastern European outliers, we computed a third PCA, the </w:t>
      </w:r>
      <w:r w:rsidDel="00000000" w:rsidR="00000000" w:rsidRPr="00000000">
        <w:rPr>
          <w:i w:val="1"/>
          <w:rtl w:val="0"/>
        </w:rPr>
        <w:t xml:space="preserve">Northeastern European PCA</w:t>
      </w:r>
      <w:r w:rsidDel="00000000" w:rsidR="00000000" w:rsidRPr="00000000">
        <w:rPr>
          <w:rtl w:val="0"/>
        </w:rPr>
        <w:t xml:space="preserve">, which also includes Uralic, Baltic, and Slavic populations from north-eastern, eastern, and central Europe (Supp. Fig. 4.3). In this PCA the clustering of the present-day samples strongly resembles their geographical distribution. Topological features like the Scandinavian Peninsula and the Baltic Sea coastline are distinctly marked. While we find no notable outliers in sites from Lower Saxony, several individuals in Groningen, Schleswig, and Copenhagen were shifted in the direction of Norwegians and Swedes or Balto-Slavic populations. For those outliers, namely GRO021, KPN002, KPN014, SWG005, and SWG009, we calculated </w:t>
      </w:r>
      <w:r w:rsidDel="00000000" w:rsidR="00000000" w:rsidRPr="00000000">
        <w:rPr>
          <w:i w:val="1"/>
          <w:rtl w:val="0"/>
        </w:rPr>
        <w:t xml:space="preserve">F</w:t>
      </w:r>
      <w:r w:rsidDel="00000000" w:rsidR="00000000" w:rsidRPr="00000000">
        <w:rPr>
          <w:vertAlign w:val="subscript"/>
          <w:rtl w:val="0"/>
        </w:rPr>
        <w:t xml:space="preserve">4 </w:t>
      </w:r>
      <w:r w:rsidDel="00000000" w:rsidR="00000000" w:rsidRPr="00000000">
        <w:rPr>
          <w:rtl w:val="0"/>
        </w:rPr>
        <w:t xml:space="preserve">statistics of the form </w:t>
      </w:r>
      <w:r w:rsidDel="00000000" w:rsidR="00000000" w:rsidRPr="00000000">
        <w:rPr>
          <w:i w:val="1"/>
          <w:rtl w:val="0"/>
        </w:rPr>
        <w:t xml:space="preserve">F</w:t>
      </w:r>
      <w:r w:rsidDel="00000000" w:rsidR="00000000" w:rsidRPr="00000000">
        <w:rPr>
          <w:vertAlign w:val="subscript"/>
          <w:rtl w:val="0"/>
        </w:rPr>
        <w:t xml:space="preserve">4</w:t>
      </w:r>
      <w:r w:rsidDel="00000000" w:rsidR="00000000" w:rsidRPr="00000000">
        <w:rPr>
          <w:rtl w:val="0"/>
        </w:rPr>
        <w:t xml:space="preserve">(YRI, </w:t>
      </w:r>
      <w:r w:rsidDel="00000000" w:rsidR="00000000" w:rsidRPr="00000000">
        <w:rPr>
          <w:i w:val="1"/>
          <w:rtl w:val="0"/>
        </w:rPr>
        <w:t xml:space="preserve">TestA</w:t>
      </w:r>
      <w:r w:rsidDel="00000000" w:rsidR="00000000" w:rsidRPr="00000000">
        <w:rPr>
          <w:rtl w:val="0"/>
        </w:rPr>
        <w:t xml:space="preserve">; Denmark, </w:t>
      </w:r>
      <w:r w:rsidDel="00000000" w:rsidR="00000000" w:rsidRPr="00000000">
        <w:rPr>
          <w:i w:val="1"/>
          <w:rtl w:val="0"/>
        </w:rPr>
        <w:t xml:space="preserve">TestB</w:t>
      </w:r>
      <w:r w:rsidDel="00000000" w:rsidR="00000000" w:rsidRPr="00000000">
        <w:rPr>
          <w:rtl w:val="0"/>
        </w:rPr>
        <w:t xml:space="preserve">), where </w:t>
      </w:r>
      <w:r w:rsidDel="00000000" w:rsidR="00000000" w:rsidRPr="00000000">
        <w:rPr>
          <w:i w:val="1"/>
          <w:rtl w:val="0"/>
        </w:rPr>
        <w:t xml:space="preserve">TestB</w:t>
      </w:r>
      <w:r w:rsidDel="00000000" w:rsidR="00000000" w:rsidRPr="00000000">
        <w:rPr>
          <w:rtl w:val="0"/>
        </w:rPr>
        <w:t xml:space="preserve"> iterates through 32 present-day European populations (Supp. Table 4.2). The individuals GRO021, KPN002, and SWG004 share more alleles with populations from the Scandinavian Peninsula than with Danish. On the other hand, KPN014 and SWG014 exhibit less pronounced affinities, sharing most alleles with modern Swedish and Baltic populations, especially Latvians, which indicates mixed ancestry for those two samples. Individual testing of allele sharing with present-day populations also revealed the presence of individuals with excess affinity to British and Irish populations. Those individuals are GRO006, DUN003, KPN010, and ZET002.</w:t>
      </w:r>
    </w:p>
    <w:p w:rsidR="00000000" w:rsidDel="00000000" w:rsidP="00000000" w:rsidRDefault="00000000" w:rsidRPr="00000000" w14:paraId="000007C5">
      <w:pPr>
        <w:keepNext w:val="1"/>
        <w:jc w:val="center"/>
        <w:rPr/>
      </w:pPr>
      <w:r w:rsidDel="00000000" w:rsidR="00000000" w:rsidRPr="00000000">
        <w:rPr/>
        <w:drawing>
          <wp:inline distB="0" distT="0" distL="0" distR="0">
            <wp:extent cx="5760720" cy="5760720"/>
            <wp:effectExtent b="0" l="0" r="0" t="0"/>
            <wp:docPr descr="Chart, scatter chart&#10;&#10;Description automatically generated" id="131" name="image69.png"/>
            <a:graphic>
              <a:graphicData uri="http://schemas.openxmlformats.org/drawingml/2006/picture">
                <pic:pic>
                  <pic:nvPicPr>
                    <pic:cNvPr descr="Chart, scatter chart&#10;&#10;Description automatically generated" id="0" name="image69.png"/>
                    <pic:cNvPicPr preferRelativeResize="0"/>
                  </pic:nvPicPr>
                  <pic:blipFill>
                    <a:blip r:embed="rId168"/>
                    <a:srcRect b="0" l="0" r="0" t="0"/>
                    <a:stretch>
                      <a:fillRect/>
                    </a:stretch>
                  </pic:blipFill>
                  <pic:spPr>
                    <a:xfrm>
                      <a:off x="0" y="0"/>
                      <a:ext cx="5760720" cy="5760720"/>
                    </a:xfrm>
                    <a:prstGeom prst="rect"/>
                    <a:ln/>
                  </pic:spPr>
                </pic:pic>
              </a:graphicData>
            </a:graphic>
          </wp:inline>
        </w:drawing>
      </w:r>
      <w:r w:rsidDel="00000000" w:rsidR="00000000" w:rsidRPr="00000000">
        <w:rPr>
          <w:rtl w:val="0"/>
        </w:rPr>
      </w:r>
    </w:p>
    <w:p w:rsidR="00000000" w:rsidDel="00000000" w:rsidP="00000000" w:rsidRDefault="00000000" w:rsidRPr="00000000" w14:paraId="000007C6">
      <w:pPr>
        <w:spacing w:after="200" w:line="240" w:lineRule="auto"/>
        <w:rPr/>
      </w:pPr>
      <w:r w:rsidDel="00000000" w:rsidR="00000000" w:rsidRPr="00000000">
        <w:rPr>
          <w:b w:val="1"/>
          <w:i w:val="1"/>
          <w:sz w:val="18"/>
          <w:szCs w:val="18"/>
          <w:rtl w:val="0"/>
        </w:rPr>
        <w:t xml:space="preserve">Supplementary Figure 4.3, Population structure related to northeastern European ancestry. </w:t>
      </w:r>
      <w:r w:rsidDel="00000000" w:rsidR="00000000" w:rsidRPr="00000000">
        <w:rPr>
          <w:i w:val="1"/>
          <w:sz w:val="18"/>
          <w:szCs w:val="18"/>
          <w:rtl w:val="0"/>
        </w:rPr>
        <w:t xml:space="preserve">a) Principal Components Analysis of present-day genomes from northwestern Europe. IE = Northern Ireland &amp; Ireland, WA = Wales, SC = Scotland,  ENG = England, NL = Netherlands, GER = Northern Germany, DK = Denmark, NO = Norway, SE = Sweden, FIN = Finland, BE = Belgium, FR = France, LIT = Lithuania, LV = Latvia, EST = Estonia, POL = Poland, BLR = Belarus, RU = Russia. b) Genetic structure of published and novel ancient England_EMA individuals in this study, projected onto a). c) Same for novel medieval Dutch, German, and Danish samples. d) Same for published Viking Age individuals from Sweden.</w:t>
      </w:r>
      <w:r w:rsidDel="00000000" w:rsidR="00000000" w:rsidRPr="00000000">
        <w:rPr>
          <w:rtl w:val="0"/>
        </w:rPr>
      </w:r>
    </w:p>
    <w:p w:rsidR="00000000" w:rsidDel="00000000" w:rsidP="00000000" w:rsidRDefault="00000000" w:rsidRPr="00000000" w14:paraId="000007C7">
      <w:pPr>
        <w:pStyle w:val="Heading2"/>
        <w:rPr>
          <w:color w:val="000000"/>
        </w:rPr>
      </w:pPr>
      <w:bookmarkStart w:colFirst="0" w:colLast="0" w:name="_heading=h.2w5ecyt" w:id="77"/>
      <w:bookmarkEnd w:id="77"/>
      <w:r w:rsidDel="00000000" w:rsidR="00000000" w:rsidRPr="00000000">
        <w:rPr>
          <w:color w:val="000000"/>
          <w:rtl w:val="0"/>
        </w:rPr>
        <w:t xml:space="preserve">Estimating admixture</w:t>
      </w:r>
    </w:p>
    <w:p w:rsidR="00000000" w:rsidDel="00000000" w:rsidP="00000000" w:rsidRDefault="00000000" w:rsidRPr="00000000" w14:paraId="000007C8">
      <w:pPr>
        <w:rPr>
          <w:i w:val="1"/>
          <w:color w:val="44546a"/>
          <w:sz w:val="18"/>
          <w:szCs w:val="18"/>
        </w:rPr>
      </w:pPr>
      <w:r w:rsidDel="00000000" w:rsidR="00000000" w:rsidRPr="00000000">
        <w:rPr>
          <w:rtl w:val="0"/>
        </w:rPr>
        <w:t xml:space="preserve">We next analysed our ancient continental samples using again the supervised model-based clustering implemented in ADMIXTURE</w:t>
      </w:r>
      <w:hyperlink r:id="rId169">
        <w:r w:rsidDel="00000000" w:rsidR="00000000" w:rsidRPr="00000000">
          <w:rPr>
            <w:color w:val="000000"/>
            <w:vertAlign w:val="superscript"/>
            <w:rtl w:val="0"/>
          </w:rPr>
          <w:t xml:space="preserve">172</w:t>
        </w:r>
      </w:hyperlink>
      <w:r w:rsidDel="00000000" w:rsidR="00000000" w:rsidRPr="00000000">
        <w:rPr>
          <w:rtl w:val="0"/>
        </w:rPr>
        <w:t xml:space="preserve"> against a Europe-wide panel of 7 modern reference population (</w:t>
      </w:r>
      <w:r w:rsidDel="00000000" w:rsidR="00000000" w:rsidRPr="00000000">
        <w:rPr>
          <w:i w:val="1"/>
          <w:rtl w:val="0"/>
        </w:rPr>
        <w:t xml:space="preserve">K </w:t>
      </w:r>
      <w:r w:rsidDel="00000000" w:rsidR="00000000" w:rsidRPr="00000000">
        <w:rPr>
          <w:rtl w:val="0"/>
        </w:rPr>
        <w:t xml:space="preserve">= 7) (Supp. Fig. 4.4, Supp. Table 4.3). This panel consists of the CNE (Denmark, northern Germany; </w:t>
      </w:r>
      <w:r w:rsidDel="00000000" w:rsidR="00000000" w:rsidRPr="00000000">
        <w:rPr>
          <w:i w:val="1"/>
          <w:rtl w:val="0"/>
        </w:rPr>
        <w:t xml:space="preserve">n</w:t>
      </w:r>
      <w:r w:rsidDel="00000000" w:rsidR="00000000" w:rsidRPr="00000000">
        <w:rPr>
          <w:rtl w:val="0"/>
        </w:rPr>
        <w:t xml:space="preserve"> = 407), WBI (Ireland, Northern Ireland Scotland, Wales; </w:t>
      </w:r>
      <w:r w:rsidDel="00000000" w:rsidR="00000000" w:rsidRPr="00000000">
        <w:rPr>
          <w:i w:val="1"/>
          <w:rtl w:val="0"/>
        </w:rPr>
        <w:t xml:space="preserve">n</w:t>
      </w:r>
      <w:r w:rsidDel="00000000" w:rsidR="00000000" w:rsidRPr="00000000">
        <w:rPr>
          <w:rtl w:val="0"/>
        </w:rPr>
        <w:t xml:space="preserve"> = 667), NOR (Norway, Sweden; </w:t>
      </w:r>
      <w:r w:rsidDel="00000000" w:rsidR="00000000" w:rsidRPr="00000000">
        <w:rPr>
          <w:i w:val="1"/>
          <w:rtl w:val="0"/>
        </w:rPr>
        <w:t xml:space="preserve">n </w:t>
      </w:r>
      <w:r w:rsidDel="00000000" w:rsidR="00000000" w:rsidRPr="00000000">
        <w:rPr>
          <w:rtl w:val="0"/>
        </w:rPr>
        <w:t xml:space="preserve">= 1910), FIN (Finland, </w:t>
      </w:r>
      <w:r w:rsidDel="00000000" w:rsidR="00000000" w:rsidRPr="00000000">
        <w:rPr>
          <w:i w:val="1"/>
          <w:rtl w:val="0"/>
        </w:rPr>
        <w:t xml:space="preserve">n</w:t>
      </w:r>
      <w:r w:rsidDel="00000000" w:rsidR="00000000" w:rsidRPr="00000000">
        <w:rPr>
          <w:rtl w:val="0"/>
        </w:rPr>
        <w:t xml:space="preserve"> = 780), POL (Poland, </w:t>
      </w:r>
      <w:r w:rsidDel="00000000" w:rsidR="00000000" w:rsidRPr="00000000">
        <w:rPr>
          <w:i w:val="1"/>
          <w:rtl w:val="0"/>
        </w:rPr>
        <w:t xml:space="preserve">n</w:t>
      </w:r>
      <w:r w:rsidDel="00000000" w:rsidR="00000000" w:rsidRPr="00000000">
        <w:rPr>
          <w:rtl w:val="0"/>
        </w:rPr>
        <w:t xml:space="preserve"> = 96), IBS (Spain, </w:t>
      </w:r>
      <w:r w:rsidDel="00000000" w:rsidR="00000000" w:rsidRPr="00000000">
        <w:rPr>
          <w:i w:val="1"/>
          <w:rtl w:val="0"/>
        </w:rPr>
        <w:t xml:space="preserve">n</w:t>
      </w:r>
      <w:r w:rsidDel="00000000" w:rsidR="00000000" w:rsidRPr="00000000">
        <w:rPr>
          <w:rtl w:val="0"/>
        </w:rPr>
        <w:t xml:space="preserve"> = 211), and IT (Italy, </w:t>
      </w:r>
      <w:r w:rsidDel="00000000" w:rsidR="00000000" w:rsidRPr="00000000">
        <w:rPr>
          <w:i w:val="1"/>
          <w:rtl w:val="0"/>
        </w:rPr>
        <w:t xml:space="preserve">n</w:t>
      </w:r>
      <w:r w:rsidDel="00000000" w:rsidR="00000000" w:rsidRPr="00000000">
        <w:rPr>
          <w:rtl w:val="0"/>
        </w:rPr>
        <w:t xml:space="preserve"> = 776). As expected, mean CNE ancestry represents the largest ancestry component in our North Sea sample (Supp. Table 4.4). It is maximised in Hiddestorf (99.6% ± 0.3%), Issendorf (96.7% ± 3.3%), Schortens (94.6% ± 5.4%), Drantum (90.8% ± 6.1%), and Dunum (89.8% ± 6.8%). Congruent with PCA positioning and </w:t>
      </w:r>
      <w:r w:rsidDel="00000000" w:rsidR="00000000" w:rsidRPr="00000000">
        <w:rPr>
          <w:i w:val="1"/>
          <w:rtl w:val="0"/>
        </w:rPr>
        <w:t xml:space="preserve">F</w:t>
      </w:r>
      <w:r w:rsidDel="00000000" w:rsidR="00000000" w:rsidRPr="00000000">
        <w:rPr>
          <w:vertAlign w:val="subscript"/>
          <w:rtl w:val="0"/>
        </w:rPr>
        <w:t xml:space="preserve">4 </w:t>
      </w:r>
      <w:r w:rsidDel="00000000" w:rsidR="00000000" w:rsidRPr="00000000">
        <w:rPr>
          <w:rtl w:val="0"/>
        </w:rPr>
        <w:t xml:space="preserve">statistics, we detect the largest average Italian-like ancestry components in Alt-Inden (25.9% ± 7.2%) and Anderten (6.8% ± 3.2%), the southernmost sites in our analysis. In Alt-Inden (the most southwestern site), we also measure the highest average IBS-like ancestry contribution (24.4% ± 6.4%). The largest mean Polish ancestry component was found in Copenhagen (8.8% ± 2.5%). The amount of Polish ancestry is medieval Copenhagen was therefore already highly similar to the one measured in present-day Danes from Zealand (6.28%)</w:t>
      </w:r>
      <w:hyperlink r:id="rId170">
        <w:r w:rsidDel="00000000" w:rsidR="00000000" w:rsidRPr="00000000">
          <w:rPr>
            <w:color w:val="000000"/>
            <w:vertAlign w:val="superscript"/>
            <w:rtl w:val="0"/>
          </w:rPr>
          <w:t xml:space="preserve">177</w:t>
        </w:r>
      </w:hyperlink>
      <w:r w:rsidDel="00000000" w:rsidR="00000000" w:rsidRPr="00000000">
        <w:rPr>
          <w:rtl w:val="0"/>
        </w:rPr>
        <w:t xml:space="preserve">. The Copenhagen individuals, together with samples from Schleswig and Häven, also exhibit on average the highest ancestry contribution from the Scandinavian Peninsula (13.6% ± 3.8% for Copenhagen, 14.5% ± 7.2% for Häven, and 11.3% ± 6.7% for Schleswig), which is expected based on their geographic position between continental Europe and the Scandinavian Peninsula (where this ancestry in maximised in Iron Age and Viking Age individuals, eg. 97.5% in </w:t>
      </w:r>
      <w:r w:rsidDel="00000000" w:rsidR="00000000" w:rsidRPr="00000000">
        <w:rPr>
          <w:i w:val="1"/>
          <w:rtl w:val="0"/>
        </w:rPr>
        <w:t xml:space="preserve">Norway_IA </w:t>
      </w:r>
      <w:r w:rsidDel="00000000" w:rsidR="00000000" w:rsidRPr="00000000">
        <w:rPr>
          <w:rtl w:val="0"/>
        </w:rPr>
        <w:t xml:space="preserve">or 75.8% in </w:t>
      </w:r>
      <w:r w:rsidDel="00000000" w:rsidR="00000000" w:rsidRPr="00000000">
        <w:rPr>
          <w:i w:val="1"/>
          <w:rtl w:val="0"/>
        </w:rPr>
        <w:t xml:space="preserve">Sweden_IA</w:t>
      </w:r>
      <w:r w:rsidDel="00000000" w:rsidR="00000000" w:rsidRPr="00000000">
        <w:rPr>
          <w:rtl w:val="0"/>
        </w:rPr>
        <w:t xml:space="preserve">). Western British and Irish ancestry was present in several sites, scoring highest in Zetel (13.8%), Midlum (9.2% ± 5%), and Alt-Inden (7% ± 2.5%). These sites are located in the west of our sampling range, closest to the British-Irish Isles. Even higher estimates were measured for example in Iron Age samples from the Netherlands (35.9%) or from northern France (20.3%). Consistently with the </w:t>
      </w:r>
      <w:r w:rsidDel="00000000" w:rsidR="00000000" w:rsidRPr="00000000">
        <w:rPr>
          <w:i w:val="1"/>
          <w:rtl w:val="0"/>
        </w:rPr>
        <w:t xml:space="preserve">F</w:t>
      </w:r>
      <w:r w:rsidDel="00000000" w:rsidR="00000000" w:rsidRPr="00000000">
        <w:rPr>
          <w:vertAlign w:val="subscript"/>
          <w:rtl w:val="0"/>
        </w:rPr>
        <w:t xml:space="preserve">4 </w:t>
      </w:r>
      <w:r w:rsidDel="00000000" w:rsidR="00000000" w:rsidRPr="00000000">
        <w:rPr>
          <w:rtl w:val="0"/>
        </w:rPr>
        <w:t xml:space="preserve">statistics, western and northern outlier individuals that we have identified exhibited additional ancestry from Britain and Ireland or from Scandinavia and the Baltics.</w:t>
      </w:r>
      <w:r w:rsidDel="00000000" w:rsidR="00000000" w:rsidRPr="00000000">
        <w:rPr>
          <w:rtl w:val="0"/>
        </w:rPr>
      </w:r>
    </w:p>
    <w:p w:rsidR="00000000" w:rsidDel="00000000" w:rsidP="00000000" w:rsidRDefault="00000000" w:rsidRPr="00000000" w14:paraId="000007C9">
      <w:pPr>
        <w:keepNext w:val="1"/>
        <w:jc w:val="center"/>
        <w:rPr/>
      </w:pPr>
      <w:r w:rsidDel="00000000" w:rsidR="00000000" w:rsidRPr="00000000">
        <w:rPr/>
        <w:drawing>
          <wp:inline distB="0" distT="0" distL="0" distR="0">
            <wp:extent cx="5760720" cy="2769235"/>
            <wp:effectExtent b="0" l="0" r="0" t="0"/>
            <wp:docPr descr="Chart, bar chart&#10;&#10;Description automatically generated" id="132" name="image2.png"/>
            <a:graphic>
              <a:graphicData uri="http://schemas.openxmlformats.org/drawingml/2006/picture">
                <pic:pic>
                  <pic:nvPicPr>
                    <pic:cNvPr descr="Chart, bar chart&#10;&#10;Description automatically generated" id="0" name="image2.png"/>
                    <pic:cNvPicPr preferRelativeResize="0"/>
                  </pic:nvPicPr>
                  <pic:blipFill>
                    <a:blip r:embed="rId171"/>
                    <a:srcRect b="0" l="0" r="0" t="0"/>
                    <a:stretch>
                      <a:fillRect/>
                    </a:stretch>
                  </pic:blipFill>
                  <pic:spPr>
                    <a:xfrm>
                      <a:off x="0" y="0"/>
                      <a:ext cx="5760720" cy="2769235"/>
                    </a:xfrm>
                    <a:prstGeom prst="rect"/>
                    <a:ln/>
                  </pic:spPr>
                </pic:pic>
              </a:graphicData>
            </a:graphic>
          </wp:inline>
        </w:drawing>
      </w:r>
      <w:r w:rsidDel="00000000" w:rsidR="00000000" w:rsidRPr="00000000">
        <w:rPr>
          <w:rtl w:val="0"/>
        </w:rPr>
      </w:r>
    </w:p>
    <w:p w:rsidR="00000000" w:rsidDel="00000000" w:rsidP="00000000" w:rsidRDefault="00000000" w:rsidRPr="00000000" w14:paraId="000007CA">
      <w:pPr>
        <w:pBdr>
          <w:top w:space="0" w:sz="0" w:val="nil"/>
          <w:left w:space="0" w:sz="0" w:val="nil"/>
          <w:bottom w:space="0" w:sz="0" w:val="nil"/>
          <w:right w:space="0" w:sz="0" w:val="nil"/>
          <w:between w:space="0" w:sz="0" w:val="nil"/>
        </w:pBdr>
        <w:spacing w:after="200" w:line="240" w:lineRule="auto"/>
        <w:rPr>
          <w:i w:val="1"/>
          <w:sz w:val="18"/>
          <w:szCs w:val="18"/>
        </w:rPr>
      </w:pPr>
      <w:r w:rsidDel="00000000" w:rsidR="00000000" w:rsidRPr="00000000">
        <w:rPr>
          <w:b w:val="1"/>
          <w:i w:val="1"/>
          <w:sz w:val="18"/>
          <w:szCs w:val="18"/>
          <w:rtl w:val="0"/>
        </w:rPr>
        <w:t xml:space="preserve">Supplementary Figure 4.4, Supervised Admixture analysis across continental medieval northwestern Europe.</w:t>
      </w:r>
      <w:r w:rsidDel="00000000" w:rsidR="00000000" w:rsidRPr="00000000">
        <w:rPr>
          <w:i w:val="1"/>
          <w:sz w:val="18"/>
          <w:szCs w:val="18"/>
          <w:rtl w:val="0"/>
        </w:rPr>
        <w:t xml:space="preserve"> Shown is a supervised ADMIXTURE analysis, modelling Iron Age and medieval continental individuals as a mixture of CNE (red, n = 405), NOR (dark blue, n = 1910), Finland (FIN) (violet, n = 780), Poland (POL) (dark magenta, n = 96), WBI (light blue, n = 667), Spain (IBS) (forestgreen, n = 536), and Italy (IT) (yellow, n = 776). a) Averaged proportions per population are shown as barplot. b)  Averaged proportions per population are shown as pie charts.</w:t>
      </w:r>
    </w:p>
    <w:p w:rsidR="00000000" w:rsidDel="00000000" w:rsidP="00000000" w:rsidRDefault="00000000" w:rsidRPr="00000000" w14:paraId="000007CB">
      <w:pPr>
        <w:rPr/>
      </w:pPr>
      <w:r w:rsidDel="00000000" w:rsidR="00000000" w:rsidRPr="00000000">
        <w:rPr>
          <w:rtl w:val="0"/>
        </w:rPr>
        <w:t xml:space="preserve">Since we identified several outlier individuals within sites in Copenhagen, Groningen, Alt-Inden, and Anderten, we investigated the relationship between populations on a site-specific level. Using </w:t>
      </w:r>
      <w:r w:rsidDel="00000000" w:rsidR="00000000" w:rsidRPr="00000000">
        <w:rPr>
          <w:i w:val="1"/>
          <w:rtl w:val="0"/>
        </w:rPr>
        <w:t xml:space="preserve">qpWave</w:t>
      </w:r>
      <w:r w:rsidDel="00000000" w:rsidR="00000000" w:rsidRPr="00000000">
        <w:rPr>
          <w:rtl w:val="0"/>
        </w:rPr>
        <w:t xml:space="preserve"> we tested, for each site, whether it was consistent with being a clade with all other studied sites (Supp. Fig. 4.5). We used again our basic set of 11 Outgroups (YRI.SG, Poland, Finland, Sweden, Denmark, Ireland, Wales, Italy, Spain, Belgium, Netherlands) and set the option allsnps: YES. Only Schleswig, Anderten, Alt-Inden, and Copenhagen were uniformly not consistent with being a clade with the rest of the Lower Saxony populations (Supp. Table 4.5). As described above, PCA, </w:t>
      </w:r>
      <w:r w:rsidDel="00000000" w:rsidR="00000000" w:rsidRPr="00000000">
        <w:rPr>
          <w:i w:val="1"/>
          <w:rtl w:val="0"/>
        </w:rPr>
        <w:t xml:space="preserve">f</w:t>
      </w:r>
      <w:r w:rsidDel="00000000" w:rsidR="00000000" w:rsidRPr="00000000">
        <w:rPr>
          <w:rtl w:val="0"/>
        </w:rPr>
        <w:t xml:space="preserve">-statistics, and ADMIXTURE suggest that this was due to those populations including individuals with significantly higher western, southern, or eastern European admixture than the rest of the continental individuals. Thus, we tried to model i) Alt-Inden, Anderten, and Schleswig as a mixture of </w:t>
      </w:r>
      <w:r w:rsidDel="00000000" w:rsidR="00000000" w:rsidRPr="00000000">
        <w:rPr>
          <w:i w:val="1"/>
          <w:rtl w:val="0"/>
        </w:rPr>
        <w:t xml:space="preserve">LowerSaxony_EMA </w:t>
      </w:r>
      <w:r w:rsidDel="00000000" w:rsidR="00000000" w:rsidRPr="00000000">
        <w:rPr>
          <w:rtl w:val="0"/>
        </w:rPr>
        <w:t xml:space="preserve">+ </w:t>
      </w:r>
      <w:r w:rsidDel="00000000" w:rsidR="00000000" w:rsidRPr="00000000">
        <w:rPr>
          <w:i w:val="1"/>
          <w:rtl w:val="0"/>
        </w:rPr>
        <w:t xml:space="preserve">southern European Test</w:t>
      </w:r>
      <w:r w:rsidDel="00000000" w:rsidR="00000000" w:rsidRPr="00000000">
        <w:rPr>
          <w:rtl w:val="0"/>
        </w:rPr>
        <w:t xml:space="preserve">, and ii) Copenhagen as mixture of </w:t>
      </w:r>
      <w:r w:rsidDel="00000000" w:rsidR="00000000" w:rsidRPr="00000000">
        <w:rPr>
          <w:i w:val="1"/>
          <w:rtl w:val="0"/>
        </w:rPr>
        <w:t xml:space="preserve">LowerSaxony_EMA </w:t>
      </w:r>
      <w:r w:rsidDel="00000000" w:rsidR="00000000" w:rsidRPr="00000000">
        <w:rPr>
          <w:rtl w:val="0"/>
        </w:rPr>
        <w:t xml:space="preserve">+ </w:t>
      </w:r>
      <w:r w:rsidDel="00000000" w:rsidR="00000000" w:rsidRPr="00000000">
        <w:rPr>
          <w:i w:val="1"/>
          <w:rtl w:val="0"/>
        </w:rPr>
        <w:t xml:space="preserve">northeastern European Test</w:t>
      </w:r>
      <w:r w:rsidDel="00000000" w:rsidR="00000000" w:rsidRPr="00000000">
        <w:rPr>
          <w:rtl w:val="0"/>
        </w:rPr>
        <w:t xml:space="preserve">.</w:t>
      </w:r>
    </w:p>
    <w:p w:rsidR="00000000" w:rsidDel="00000000" w:rsidP="00000000" w:rsidRDefault="00000000" w:rsidRPr="00000000" w14:paraId="000007CC">
      <w:pPr>
        <w:keepNext w:val="1"/>
        <w:rPr/>
      </w:pPr>
      <w:r w:rsidDel="00000000" w:rsidR="00000000" w:rsidRPr="00000000">
        <w:rPr/>
        <w:drawing>
          <wp:inline distB="0" distT="0" distL="0" distR="0">
            <wp:extent cx="5760720" cy="4220845"/>
            <wp:effectExtent b="0" l="0" r="0" t="0"/>
            <wp:docPr descr="Chart, scatter chart&#10;&#10;Description automatically generated" id="133" name="image1.png"/>
            <a:graphic>
              <a:graphicData uri="http://schemas.openxmlformats.org/drawingml/2006/picture">
                <pic:pic>
                  <pic:nvPicPr>
                    <pic:cNvPr descr="Chart, scatter chart&#10;&#10;Description automatically generated" id="0" name="image1.png"/>
                    <pic:cNvPicPr preferRelativeResize="0"/>
                  </pic:nvPicPr>
                  <pic:blipFill>
                    <a:blip r:embed="rId172"/>
                    <a:srcRect b="0" l="0" r="0" t="0"/>
                    <a:stretch>
                      <a:fillRect/>
                    </a:stretch>
                  </pic:blipFill>
                  <pic:spPr>
                    <a:xfrm>
                      <a:off x="0" y="0"/>
                      <a:ext cx="5760720" cy="4220845"/>
                    </a:xfrm>
                    <a:prstGeom prst="rect"/>
                    <a:ln/>
                  </pic:spPr>
                </pic:pic>
              </a:graphicData>
            </a:graphic>
          </wp:inline>
        </w:drawing>
      </w:r>
      <w:r w:rsidDel="00000000" w:rsidR="00000000" w:rsidRPr="00000000">
        <w:rPr>
          <w:rtl w:val="0"/>
        </w:rPr>
      </w:r>
    </w:p>
    <w:p w:rsidR="00000000" w:rsidDel="00000000" w:rsidP="00000000" w:rsidRDefault="00000000" w:rsidRPr="00000000" w14:paraId="000007CD">
      <w:pPr>
        <w:pBdr>
          <w:top w:space="0" w:sz="0" w:val="nil"/>
          <w:left w:space="0" w:sz="0" w:val="nil"/>
          <w:bottom w:space="0" w:sz="0" w:val="nil"/>
          <w:right w:space="0" w:sz="0" w:val="nil"/>
          <w:between w:space="0" w:sz="0" w:val="nil"/>
        </w:pBdr>
        <w:spacing w:after="200" w:line="240" w:lineRule="auto"/>
        <w:rPr>
          <w:i w:val="1"/>
          <w:sz w:val="18"/>
          <w:szCs w:val="18"/>
        </w:rPr>
      </w:pPr>
      <w:r w:rsidDel="00000000" w:rsidR="00000000" w:rsidRPr="00000000">
        <w:rPr>
          <w:b w:val="1"/>
          <w:i w:val="1"/>
          <w:sz w:val="18"/>
          <w:szCs w:val="18"/>
          <w:rtl w:val="0"/>
        </w:rPr>
        <w:t xml:space="preserve">Supplementary Figure 4.5, qpWave analysis. </w:t>
      </w:r>
      <w:r w:rsidDel="00000000" w:rsidR="00000000" w:rsidRPr="00000000">
        <w:rPr>
          <w:i w:val="1"/>
          <w:sz w:val="18"/>
          <w:szCs w:val="18"/>
          <w:rtl w:val="0"/>
        </w:rPr>
        <w:t xml:space="preserve">Pairwise testing for genetic continuity and homogeneity between continental northern European medieval sites. Coloured squares depict whether a particular target group (row) can be modelled using a single source group (column). Rank p-values higher than 0.05 (corresponding to a single source group) were obtained using qpWave with a static set of 11 present-day outgroups.</w:t>
      </w:r>
    </w:p>
    <w:p w:rsidR="00000000" w:rsidDel="00000000" w:rsidP="00000000" w:rsidRDefault="00000000" w:rsidRPr="00000000" w14:paraId="000007CE">
      <w:pPr>
        <w:rPr/>
      </w:pPr>
      <w:r w:rsidDel="00000000" w:rsidR="00000000" w:rsidRPr="00000000">
        <w:rPr>
          <w:rtl w:val="0"/>
        </w:rPr>
        <w:t xml:space="preserve">We carried out the analysis using </w:t>
      </w:r>
      <w:r w:rsidDel="00000000" w:rsidR="00000000" w:rsidRPr="00000000">
        <w:rPr>
          <w:i w:val="1"/>
          <w:rtl w:val="0"/>
        </w:rPr>
        <w:t xml:space="preserve">qpAdm</w:t>
      </w:r>
      <w:r w:rsidDel="00000000" w:rsidR="00000000" w:rsidRPr="00000000">
        <w:rPr>
          <w:rtl w:val="0"/>
        </w:rPr>
        <w:t xml:space="preserve"> from ADMIXTOOLS</w:t>
      </w:r>
      <w:r w:rsidDel="00000000" w:rsidR="00000000" w:rsidRPr="00000000">
        <w:rPr>
          <w:vertAlign w:val="superscript"/>
          <w:rtl w:val="0"/>
        </w:rPr>
        <w:t xml:space="preserve">60</w:t>
      </w:r>
      <w:r w:rsidDel="00000000" w:rsidR="00000000" w:rsidRPr="00000000">
        <w:rPr>
          <w:rtl w:val="0"/>
        </w:rPr>
        <w:t xml:space="preserve"> and the basic set of 11 Outgroups. To investigate i) southern European ancestry in Alt-Inden, Anderten, and Schleswig we added the following populations to the 11 Outgroups:</w:t>
      </w:r>
    </w:p>
    <w:p w:rsidR="00000000" w:rsidDel="00000000" w:rsidP="00000000" w:rsidRDefault="00000000" w:rsidRPr="00000000" w14:paraId="000007CF">
      <w:pPr>
        <w:numPr>
          <w:ilvl w:val="0"/>
          <w:numId w:val="7"/>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000000"/>
          <w:rtl w:val="0"/>
        </w:rPr>
        <w:t xml:space="preserve">Greece</w:t>
      </w:r>
    </w:p>
    <w:p w:rsidR="00000000" w:rsidDel="00000000" w:rsidP="00000000" w:rsidRDefault="00000000" w:rsidRPr="00000000" w14:paraId="000007D0">
      <w:pPr>
        <w:numPr>
          <w:ilvl w:val="0"/>
          <w:numId w:val="7"/>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000000"/>
          <w:rtl w:val="0"/>
        </w:rPr>
        <w:t xml:space="preserve">Serbia</w:t>
      </w:r>
    </w:p>
    <w:p w:rsidR="00000000" w:rsidDel="00000000" w:rsidP="00000000" w:rsidRDefault="00000000" w:rsidRPr="00000000" w14:paraId="000007D1">
      <w:pPr>
        <w:numPr>
          <w:ilvl w:val="0"/>
          <w:numId w:val="7"/>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000000"/>
          <w:rtl w:val="0"/>
        </w:rPr>
        <w:t xml:space="preserve">Morocco</w:t>
      </w:r>
    </w:p>
    <w:p w:rsidR="00000000" w:rsidDel="00000000" w:rsidP="00000000" w:rsidRDefault="00000000" w:rsidRPr="00000000" w14:paraId="000007D2">
      <w:pPr>
        <w:spacing w:before="200" w:lineRule="auto"/>
        <w:rPr/>
      </w:pPr>
      <w:r w:rsidDel="00000000" w:rsidR="00000000" w:rsidRPr="00000000">
        <w:rPr>
          <w:rtl w:val="0"/>
        </w:rPr>
        <w:t xml:space="preserve">To investigate ii) north-eastern European ancestry in Copenhagen we added the following populations to the 11 Outgroups:</w:t>
      </w:r>
    </w:p>
    <w:p w:rsidR="00000000" w:rsidDel="00000000" w:rsidP="00000000" w:rsidRDefault="00000000" w:rsidRPr="00000000" w14:paraId="000007D3">
      <w:pPr>
        <w:numPr>
          <w:ilvl w:val="0"/>
          <w:numId w:val="5"/>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000000"/>
          <w:rtl w:val="0"/>
        </w:rPr>
        <w:t xml:space="preserve">CHB.SG</w:t>
      </w:r>
    </w:p>
    <w:p w:rsidR="00000000" w:rsidDel="00000000" w:rsidP="00000000" w:rsidRDefault="00000000" w:rsidRPr="00000000" w14:paraId="000007D4">
      <w:pPr>
        <w:numPr>
          <w:ilvl w:val="0"/>
          <w:numId w:val="5"/>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000000"/>
          <w:rtl w:val="0"/>
        </w:rPr>
        <w:t xml:space="preserve">Estonia</w:t>
      </w:r>
    </w:p>
    <w:p w:rsidR="00000000" w:rsidDel="00000000" w:rsidP="00000000" w:rsidRDefault="00000000" w:rsidRPr="00000000" w14:paraId="000007D5">
      <w:pPr>
        <w:numPr>
          <w:ilvl w:val="0"/>
          <w:numId w:val="5"/>
        </w:numPr>
        <w:pBdr>
          <w:top w:space="0" w:sz="0" w:val="nil"/>
          <w:left w:space="0" w:sz="0" w:val="nil"/>
          <w:bottom w:space="0" w:sz="0" w:val="nil"/>
          <w:right w:space="0" w:sz="0" w:val="nil"/>
          <w:between w:space="0" w:sz="0" w:val="nil"/>
        </w:pBdr>
        <w:ind w:left="720" w:hanging="360"/>
        <w:rPr>
          <w:color w:val="000000"/>
        </w:rPr>
      </w:pPr>
      <w:r w:rsidDel="00000000" w:rsidR="00000000" w:rsidRPr="00000000">
        <w:rPr>
          <w:color w:val="000000"/>
          <w:rtl w:val="0"/>
        </w:rPr>
        <w:t xml:space="preserve">Belarus</w:t>
      </w:r>
    </w:p>
    <w:p w:rsidR="00000000" w:rsidDel="00000000" w:rsidP="00000000" w:rsidRDefault="00000000" w:rsidRPr="00000000" w14:paraId="000007D6">
      <w:pPr>
        <w:rPr>
          <w:color w:val="44546a"/>
          <w:sz w:val="18"/>
          <w:szCs w:val="18"/>
        </w:rPr>
      </w:pPr>
      <w:r w:rsidDel="00000000" w:rsidR="00000000" w:rsidRPr="00000000">
        <w:rPr>
          <w:rtl w:val="0"/>
        </w:rPr>
        <w:t xml:space="preserve">Regarding the southern European ancestry in medieval Germany, many populations can be used to explain the mixture observed in Alt-Inden, Anderten, and Schleswig. Those possible sources include Bronze, Iron Age and medieval populations from the Iberian Peninsula, Italy, southern Germany, the northern Balkans, as well as France (Supp. Table 4.6). For Alt-Inden, we see that all ancestry could be derived from French Iron Age sources without any (GrandEst &amp; HautsDeFrance) or considerable (Occitanie &amp; SouthEast) contribution from </w:t>
      </w:r>
      <w:r w:rsidDel="00000000" w:rsidR="00000000" w:rsidRPr="00000000">
        <w:rPr>
          <w:i w:val="1"/>
          <w:rtl w:val="0"/>
        </w:rPr>
        <w:t xml:space="preserve">LowerSaxony_EMA </w:t>
      </w:r>
      <w:r w:rsidDel="00000000" w:rsidR="00000000" w:rsidRPr="00000000">
        <w:rPr>
          <w:rtl w:val="0"/>
        </w:rPr>
        <w:t xml:space="preserve">(Supp. Table 4.6)</w:t>
      </w:r>
      <w:r w:rsidDel="00000000" w:rsidR="00000000" w:rsidRPr="00000000">
        <w:rPr>
          <w:i w:val="1"/>
          <w:rtl w:val="0"/>
        </w:rPr>
        <w:t xml:space="preserve">. </w:t>
      </w:r>
      <w:r w:rsidDel="00000000" w:rsidR="00000000" w:rsidRPr="00000000">
        <w:rPr>
          <w:rtl w:val="0"/>
        </w:rPr>
        <w:t xml:space="preserve">This similarity between the Merovingian site Alt-Inden and the Iron Age French is the first insight into the population structure of the Frankish Kingdom and points at genetic continuity and homogeneity across France and western Germany from the Iron Age until the Early Middle Ages.</w:t>
      </w:r>
      <w:r w:rsidDel="00000000" w:rsidR="00000000" w:rsidRPr="00000000">
        <w:rPr>
          <w:rtl w:val="0"/>
        </w:rPr>
      </w:r>
    </w:p>
    <w:p w:rsidR="00000000" w:rsidDel="00000000" w:rsidP="00000000" w:rsidRDefault="00000000" w:rsidRPr="00000000" w14:paraId="000007D7">
      <w:pPr>
        <w:rPr/>
      </w:pPr>
      <w:r w:rsidDel="00000000" w:rsidR="00000000" w:rsidRPr="00000000">
        <w:rPr>
          <w:rtl w:val="0"/>
        </w:rPr>
        <w:t xml:space="preserve">Regarding the north-eastern European ancestry in Copenhagen, we find that fitting sources are Lithuanian Late Bronze Age and Iron Age, and Polish medieval populations. The estimated contributions for all models with a rank </w:t>
      </w:r>
      <w:r w:rsidDel="00000000" w:rsidR="00000000" w:rsidRPr="00000000">
        <w:rPr>
          <w:i w:val="1"/>
          <w:rtl w:val="0"/>
        </w:rPr>
        <w:t xml:space="preserve">p</w:t>
      </w:r>
      <w:r w:rsidDel="00000000" w:rsidR="00000000" w:rsidRPr="00000000">
        <w:rPr>
          <w:rtl w:val="0"/>
        </w:rPr>
        <w:t xml:space="preserve">-value larger than 0.01 range between 7.6% and 14.7%, which is close to our averaged estimate obtained using ADMIXTURE. The observation of notable proportions of eastern European ancestry in Zealand is consistent with previous studies of modern and ancient DNA, suggesting that the medieval and present-day Danish population was and is to some extent structured by the proportion of eastern European ancestry</w:t>
      </w:r>
      <w:hyperlink r:id="rId173">
        <w:r w:rsidDel="00000000" w:rsidR="00000000" w:rsidRPr="00000000">
          <w:rPr>
            <w:color w:val="000000"/>
            <w:vertAlign w:val="superscript"/>
            <w:rtl w:val="0"/>
          </w:rPr>
          <w:t xml:space="preserve">120,177</w:t>
        </w:r>
      </w:hyperlink>
      <w:r w:rsidDel="00000000" w:rsidR="00000000" w:rsidRPr="00000000">
        <w:rPr>
          <w:rtl w:val="0"/>
        </w:rPr>
        <w:t xml:space="preserve">.</w:t>
      </w:r>
    </w:p>
    <w:p w:rsidR="00000000" w:rsidDel="00000000" w:rsidP="00000000" w:rsidRDefault="00000000" w:rsidRPr="00000000" w14:paraId="000007D8">
      <w:pPr>
        <w:rPr/>
      </w:pPr>
      <w:r w:rsidDel="00000000" w:rsidR="00000000" w:rsidRPr="00000000">
        <w:rPr>
          <w:rtl w:val="0"/>
        </w:rPr>
      </w:r>
    </w:p>
    <w:p w:rsidR="00000000" w:rsidDel="00000000" w:rsidP="00000000" w:rsidRDefault="00000000" w:rsidRPr="00000000" w14:paraId="000007D9">
      <w:pPr>
        <w:pStyle w:val="Heading1"/>
        <w:rPr>
          <w:color w:val="000000"/>
          <w:sz w:val="28"/>
          <w:szCs w:val="28"/>
        </w:rPr>
      </w:pPr>
      <w:bookmarkStart w:colFirst="0" w:colLast="0" w:name="_heading=h.1baon6m" w:id="78"/>
      <w:bookmarkEnd w:id="78"/>
      <w:r w:rsidDel="00000000" w:rsidR="00000000" w:rsidRPr="00000000">
        <w:br w:type="page"/>
      </w:r>
      <w:r w:rsidDel="00000000" w:rsidR="00000000" w:rsidRPr="00000000">
        <w:rPr>
          <w:rtl w:val="0"/>
        </w:rPr>
      </w:r>
    </w:p>
    <w:p w:rsidR="00000000" w:rsidDel="00000000" w:rsidP="00000000" w:rsidRDefault="00000000" w:rsidRPr="00000000" w14:paraId="000007DA">
      <w:pPr>
        <w:pStyle w:val="Heading1"/>
        <w:rPr>
          <w:i w:val="1"/>
          <w:color w:val="000000"/>
          <w:sz w:val="28"/>
          <w:szCs w:val="28"/>
        </w:rPr>
      </w:pPr>
      <w:bookmarkStart w:colFirst="0" w:colLast="0" w:name="_heading=h.3vac5uf" w:id="79"/>
      <w:bookmarkEnd w:id="79"/>
      <w:r w:rsidDel="00000000" w:rsidR="00000000" w:rsidRPr="00000000">
        <w:rPr>
          <w:color w:val="000000"/>
          <w:sz w:val="28"/>
          <w:szCs w:val="28"/>
          <w:rtl w:val="0"/>
        </w:rPr>
        <w:t xml:space="preserve">Supplementary Note 5 </w:t>
      </w:r>
      <w:r w:rsidDel="00000000" w:rsidR="00000000" w:rsidRPr="00000000">
        <w:rPr>
          <w:i w:val="1"/>
          <w:color w:val="000000"/>
          <w:sz w:val="28"/>
          <w:szCs w:val="28"/>
          <w:rtl w:val="0"/>
        </w:rPr>
        <w:t xml:space="preserve">Continental west European ancestry in ancient and modern England</w:t>
      </w:r>
    </w:p>
    <w:p w:rsidR="00000000" w:rsidDel="00000000" w:rsidP="00000000" w:rsidRDefault="00000000" w:rsidRPr="00000000" w14:paraId="000007DB">
      <w:pPr>
        <w:pStyle w:val="Heading2"/>
        <w:rPr>
          <w:color w:val="000000"/>
        </w:rPr>
      </w:pPr>
      <w:bookmarkStart w:colFirst="0" w:colLast="0" w:name="_heading=h.2afmg28" w:id="80"/>
      <w:bookmarkEnd w:id="80"/>
      <w:r w:rsidDel="00000000" w:rsidR="00000000" w:rsidRPr="00000000">
        <w:rPr>
          <w:color w:val="000000"/>
          <w:rtl w:val="0"/>
        </w:rPr>
        <w:t xml:space="preserve">Modelling early medieval England</w:t>
      </w:r>
    </w:p>
    <w:p w:rsidR="00000000" w:rsidDel="00000000" w:rsidP="00000000" w:rsidRDefault="00000000" w:rsidRPr="00000000" w14:paraId="000007DC">
      <w:pPr>
        <w:rPr/>
      </w:pPr>
      <w:r w:rsidDel="00000000" w:rsidR="00000000" w:rsidRPr="00000000">
        <w:rPr>
          <w:rtl w:val="0"/>
        </w:rPr>
        <w:t xml:space="preserve">PCA implies that several sites, especially from southern England (namely Apple Down, Buckland, Eastry, and Rookery Hill) exhibit remarkable diversity in terms of their ancestry. Besides England Iron Age and early medieval Lower Saxony-like ancestries, we also find individuals that cluster with present-day southern and western Europeans, especially with Belgians and French. This area of the PCA space is also occupied by Iron Age French and early medieval individuals from Alt-Inden (Extended Data Fig. 7). We therefore suggest that early medieval admixture patterns were heterogeneous across Britain, with ancestry from Lower Saxony being dominant in central and northern England (e.g. Oakington, Hatherdene, Lakenheath, and West Heslerton), while ancestry from western and southern Europe is observed in southern England, especially Sussex and Kent (Eastry, Rookery Hill, and Apple Down). </w:t>
      </w:r>
    </w:p>
    <w:p w:rsidR="00000000" w:rsidDel="00000000" w:rsidP="00000000" w:rsidRDefault="00000000" w:rsidRPr="00000000" w14:paraId="000007DD">
      <w:pPr>
        <w:pStyle w:val="Heading3"/>
        <w:rPr>
          <w:color w:val="000000"/>
        </w:rPr>
      </w:pPr>
      <w:bookmarkStart w:colFirst="0" w:colLast="0" w:name="_heading=h.pkwqa1" w:id="81"/>
      <w:bookmarkEnd w:id="81"/>
      <w:r w:rsidDel="00000000" w:rsidR="00000000" w:rsidRPr="00000000">
        <w:rPr>
          <w:color w:val="000000"/>
          <w:rtl w:val="0"/>
        </w:rPr>
        <w:t xml:space="preserve">Identifying outliers</w:t>
      </w:r>
    </w:p>
    <w:p w:rsidR="00000000" w:rsidDel="00000000" w:rsidP="00000000" w:rsidRDefault="00000000" w:rsidRPr="00000000" w14:paraId="000007DE">
      <w:pPr>
        <w:rPr/>
      </w:pPr>
      <w:r w:rsidDel="00000000" w:rsidR="00000000" w:rsidRPr="00000000">
        <w:rPr>
          <w:rtl w:val="0"/>
        </w:rPr>
        <w:t xml:space="preserve">To investigate this southern and western ancestry, we computed the widely-used West Eurasian PCA (introduced by Lazardis et al. 2014</w:t>
      </w:r>
      <w:hyperlink r:id="rId174">
        <w:r w:rsidDel="00000000" w:rsidR="00000000" w:rsidRPr="00000000">
          <w:rPr>
            <w:color w:val="000000"/>
            <w:vertAlign w:val="superscript"/>
            <w:rtl w:val="0"/>
          </w:rPr>
          <w:t xml:space="preserve">113</w:t>
        </w:r>
      </w:hyperlink>
      <w:r w:rsidDel="00000000" w:rsidR="00000000" w:rsidRPr="00000000">
        <w:rPr>
          <w:rtl w:val="0"/>
        </w:rPr>
        <w:t xml:space="preserve">) and projected our </w:t>
      </w:r>
      <w:r w:rsidDel="00000000" w:rsidR="00000000" w:rsidRPr="00000000">
        <w:rPr>
          <w:i w:val="1"/>
          <w:rtl w:val="0"/>
        </w:rPr>
        <w:t xml:space="preserve">England_EMA </w:t>
      </w:r>
      <w:r w:rsidDel="00000000" w:rsidR="00000000" w:rsidRPr="00000000">
        <w:rPr>
          <w:rtl w:val="0"/>
        </w:rPr>
        <w:t xml:space="preserve">samples onto the genetic variation of 59 West-Eurasian populations (Supp. Fig. 5.1). We note that with the exception of one individual, all </w:t>
      </w:r>
      <w:r w:rsidDel="00000000" w:rsidR="00000000" w:rsidRPr="00000000">
        <w:rPr>
          <w:i w:val="1"/>
          <w:rtl w:val="0"/>
        </w:rPr>
        <w:t xml:space="preserve">England_EMA </w:t>
      </w:r>
      <w:r w:rsidDel="00000000" w:rsidR="00000000" w:rsidRPr="00000000">
        <w:rPr>
          <w:rtl w:val="0"/>
        </w:rPr>
        <w:t xml:space="preserve">samples fall within the European diversity, especially of northwestern Europeans like English, Norwegians, and French. Only a very limited number of individuals falls outside the variation of those northwestern Europeans. This is consistent with our previous PCA results and highlights the issue that immigrant individuals either came from adjacent regions within Europe (especially from western Europe like Spain or France or southern Europe like Italy) or were only slightly admixed with non-European sources. PCA alone is not suitable to differentiate between those two patterns. </w:t>
      </w:r>
    </w:p>
    <w:p w:rsidR="00000000" w:rsidDel="00000000" w:rsidP="00000000" w:rsidRDefault="00000000" w:rsidRPr="00000000" w14:paraId="000007DF">
      <w:pPr>
        <w:spacing w:after="200" w:line="240" w:lineRule="auto"/>
        <w:rPr>
          <w:i w:val="1"/>
          <w:color w:val="44546a"/>
          <w:sz w:val="18"/>
          <w:szCs w:val="18"/>
        </w:rPr>
      </w:pPr>
      <w:r w:rsidDel="00000000" w:rsidR="00000000" w:rsidRPr="00000000">
        <w:rPr/>
        <w:drawing>
          <wp:inline distB="0" distT="0" distL="0" distR="0">
            <wp:extent cx="5760720" cy="5102225"/>
            <wp:effectExtent b="0" l="0" r="0" t="0"/>
            <wp:docPr descr="Chart, scatter chart&#10;&#10;Description automatically generated" id="114" name="image20.png"/>
            <a:graphic>
              <a:graphicData uri="http://schemas.openxmlformats.org/drawingml/2006/picture">
                <pic:pic>
                  <pic:nvPicPr>
                    <pic:cNvPr descr="Chart, scatter chart&#10;&#10;Description automatically generated" id="0" name="image20.png"/>
                    <pic:cNvPicPr preferRelativeResize="0"/>
                  </pic:nvPicPr>
                  <pic:blipFill>
                    <a:blip r:embed="rId175"/>
                    <a:srcRect b="0" l="0" r="0" t="0"/>
                    <a:stretch>
                      <a:fillRect/>
                    </a:stretch>
                  </pic:blipFill>
                  <pic:spPr>
                    <a:xfrm>
                      <a:off x="0" y="0"/>
                      <a:ext cx="5760720" cy="5102225"/>
                    </a:xfrm>
                    <a:prstGeom prst="rect"/>
                    <a:ln/>
                  </pic:spPr>
                </pic:pic>
              </a:graphicData>
            </a:graphic>
          </wp:inline>
        </w:drawing>
      </w:r>
      <w:r w:rsidDel="00000000" w:rsidR="00000000" w:rsidRPr="00000000">
        <w:rPr>
          <w:rtl w:val="0"/>
        </w:rPr>
      </w:r>
    </w:p>
    <w:p w:rsidR="00000000" w:rsidDel="00000000" w:rsidP="00000000" w:rsidRDefault="00000000" w:rsidRPr="00000000" w14:paraId="000007E0">
      <w:pPr>
        <w:spacing w:after="200" w:line="240" w:lineRule="auto"/>
        <w:rPr/>
      </w:pPr>
      <w:r w:rsidDel="00000000" w:rsidR="00000000" w:rsidRPr="00000000">
        <w:rPr>
          <w:b w:val="1"/>
          <w:i w:val="1"/>
          <w:sz w:val="18"/>
          <w:szCs w:val="18"/>
          <w:rtl w:val="0"/>
        </w:rPr>
        <w:t xml:space="preserve">Supplementary Figure 5.1, PCA of present-day genomes from western Eurasia.</w:t>
      </w:r>
      <w:r w:rsidDel="00000000" w:rsidR="00000000" w:rsidRPr="00000000">
        <w:rPr>
          <w:i w:val="1"/>
          <w:sz w:val="18"/>
          <w:szCs w:val="18"/>
          <w:rtl w:val="0"/>
        </w:rPr>
        <w:t xml:space="preserve"> Relevant present-day populations are highlighted. Ancient England_EMA individuals are projected onto the PCs as red up-facing triangles. </w:t>
      </w:r>
      <w:r w:rsidDel="00000000" w:rsidR="00000000" w:rsidRPr="00000000">
        <w:rPr>
          <w:rtl w:val="0"/>
        </w:rPr>
      </w:r>
    </w:p>
    <w:p w:rsidR="00000000" w:rsidDel="00000000" w:rsidP="00000000" w:rsidRDefault="00000000" w:rsidRPr="00000000" w14:paraId="000007E1">
      <w:pPr>
        <w:rPr/>
      </w:pPr>
      <w:r w:rsidDel="00000000" w:rsidR="00000000" w:rsidRPr="00000000">
        <w:rPr>
          <w:rtl w:val="0"/>
        </w:rPr>
        <w:t xml:space="preserve">We therefore used unsupervised ADMIXTURE to identify potential Asian, Middle Eastern, or African ancestry within our ancient samples. At </w:t>
      </w:r>
      <w:r w:rsidDel="00000000" w:rsidR="00000000" w:rsidRPr="00000000">
        <w:rPr>
          <w:i w:val="1"/>
          <w:rtl w:val="0"/>
        </w:rPr>
        <w:t xml:space="preserve">K </w:t>
      </w:r>
      <w:r w:rsidDel="00000000" w:rsidR="00000000" w:rsidRPr="00000000">
        <w:rPr>
          <w:rtl w:val="0"/>
        </w:rPr>
        <w:t xml:space="preserve">= 7, we identify two components mainly located in sub-Saharan Africa (a southern and western African), one north African/Middle Eastern component, one northern European component, one component maximised in populations from the Caucasus and South Asia, as well as two components located in eastern Asia, one maximised in northern Eurasians and one in East Asians (Supp. Fig. 5.2a). We identify several individuals in the </w:t>
      </w:r>
      <w:r w:rsidDel="00000000" w:rsidR="00000000" w:rsidRPr="00000000">
        <w:rPr>
          <w:i w:val="1"/>
          <w:rtl w:val="0"/>
        </w:rPr>
        <w:t xml:space="preserve">England_EMA </w:t>
      </w:r>
      <w:r w:rsidDel="00000000" w:rsidR="00000000" w:rsidRPr="00000000">
        <w:rPr>
          <w:rtl w:val="0"/>
        </w:rPr>
        <w:t xml:space="preserve">population that harbour elevated amounts of the North African/Middle Eastern and Caucasus/South Asia component, although this ancestry accounts only for 3.4% and 2.4% in the mean </w:t>
      </w:r>
      <w:r w:rsidDel="00000000" w:rsidR="00000000" w:rsidRPr="00000000">
        <w:rPr>
          <w:i w:val="1"/>
          <w:rtl w:val="0"/>
        </w:rPr>
        <w:t xml:space="preserve">England_EMA </w:t>
      </w:r>
      <w:r w:rsidDel="00000000" w:rsidR="00000000" w:rsidRPr="00000000">
        <w:rPr>
          <w:rtl w:val="0"/>
        </w:rPr>
        <w:t xml:space="preserve">population (Supp. Fig. 5.2c). Similar high amounts of those ancetries were also found in the Alt-Inden population (where they represent 19.1% and 4.6% of the ancestry on average) as well as in outlier individuals from Anderten, Schleswig, and Groningen (Supp. Fig. 5.2b). However, those proportions are very similar to the ones measured in present-day French, Spanish, Italians, and Bulgarians, and do therefore probably not reflect recent admixture with a north African or Middle Easterns source. Rather, those outlier came from regions in Europe, where North African/Middle Eastern ancestry is elevated, e.g. the Southwest and Southeast. The only exception is the outlier individual I11570 from Worth Matravers. This individual exhibits 22.4% ancestry from the western African component maximised in present-day Yoruba, Mende, and Esan. Similar amounts are measured in present-day north Africans like Algerians and Mozabites, however, those populations also carry high amounts of the North Africa/Middle Eastern component, which is minimal in I11570. It is therefore more likely that I11570 is the product of recent admixture between a northern European and a west African source. While small amounts of sub-Saharan African ancestry might be the result of low-coverage and/or contamination, there is no reason to assume this for I11570.</w:t>
      </w:r>
    </w:p>
    <w:p w:rsidR="00000000" w:rsidDel="00000000" w:rsidP="00000000" w:rsidRDefault="00000000" w:rsidRPr="00000000" w14:paraId="000007E2">
      <w:pPr>
        <w:spacing w:after="200" w:line="240" w:lineRule="auto"/>
        <w:rPr>
          <w:i w:val="1"/>
          <w:color w:val="44546a"/>
          <w:sz w:val="18"/>
          <w:szCs w:val="18"/>
        </w:rPr>
      </w:pPr>
      <w:r w:rsidDel="00000000" w:rsidR="00000000" w:rsidRPr="00000000">
        <w:rPr/>
        <w:drawing>
          <wp:inline distB="0" distT="0" distL="0" distR="0">
            <wp:extent cx="5760720" cy="5139055"/>
            <wp:effectExtent b="0" l="0" r="0" t="0"/>
            <wp:docPr descr="Chart, histogram&#10;&#10;Description automatically generated" id="115" name="image12.png"/>
            <a:graphic>
              <a:graphicData uri="http://schemas.openxmlformats.org/drawingml/2006/picture">
                <pic:pic>
                  <pic:nvPicPr>
                    <pic:cNvPr descr="Chart, histogram&#10;&#10;Description automatically generated" id="0" name="image12.png"/>
                    <pic:cNvPicPr preferRelativeResize="0"/>
                  </pic:nvPicPr>
                  <pic:blipFill>
                    <a:blip r:embed="rId176"/>
                    <a:srcRect b="0" l="0" r="0" t="0"/>
                    <a:stretch>
                      <a:fillRect/>
                    </a:stretch>
                  </pic:blipFill>
                  <pic:spPr>
                    <a:xfrm>
                      <a:off x="0" y="0"/>
                      <a:ext cx="5760720" cy="5139055"/>
                    </a:xfrm>
                    <a:prstGeom prst="rect"/>
                    <a:ln/>
                  </pic:spPr>
                </pic:pic>
              </a:graphicData>
            </a:graphic>
          </wp:inline>
        </w:drawing>
      </w:r>
      <w:r w:rsidDel="00000000" w:rsidR="00000000" w:rsidRPr="00000000">
        <w:rPr>
          <w:rtl w:val="0"/>
        </w:rPr>
      </w:r>
    </w:p>
    <w:p w:rsidR="00000000" w:rsidDel="00000000" w:rsidP="00000000" w:rsidRDefault="00000000" w:rsidRPr="00000000" w14:paraId="000007E3">
      <w:pPr>
        <w:spacing w:after="200" w:line="240" w:lineRule="auto"/>
        <w:rPr/>
      </w:pPr>
      <w:r w:rsidDel="00000000" w:rsidR="00000000" w:rsidRPr="00000000">
        <w:rPr>
          <w:b w:val="1"/>
          <w:i w:val="1"/>
          <w:sz w:val="18"/>
          <w:szCs w:val="18"/>
          <w:rtl w:val="0"/>
        </w:rPr>
        <w:t xml:space="preserve">Supplementary Figure 5.2 Unsupervised ADMIXTURE analysis.</w:t>
      </w:r>
      <w:r w:rsidDel="00000000" w:rsidR="00000000" w:rsidRPr="00000000">
        <w:rPr>
          <w:i w:val="1"/>
          <w:sz w:val="18"/>
          <w:szCs w:val="18"/>
          <w:rtl w:val="0"/>
        </w:rPr>
        <w:t xml:space="preserve"> Hierarchical clustering of Euclidean distances calculated on the mean ancestry component proportions from unsupervised ADMIXTURE analysis, using Ward's minimum variance method (ward.D2) presented as a phylogram. The bar chart below each branch shows the mean ancestry proportions from unsupervised ADMIXTURE for the respective population. a) For K = 7, only depicting present-day populations. b) For K = 7, highlighting outlier individuals. c) For K = 7, depicting population means of ancient populations. </w:t>
      </w:r>
      <w:r w:rsidDel="00000000" w:rsidR="00000000" w:rsidRPr="00000000">
        <w:rPr>
          <w:rtl w:val="0"/>
        </w:rPr>
      </w:r>
    </w:p>
    <w:p w:rsidR="00000000" w:rsidDel="00000000" w:rsidP="00000000" w:rsidRDefault="00000000" w:rsidRPr="00000000" w14:paraId="000007E4">
      <w:pPr>
        <w:rPr/>
      </w:pPr>
      <w:r w:rsidDel="00000000" w:rsidR="00000000" w:rsidRPr="00000000">
        <w:rPr>
          <w:rtl w:val="0"/>
        </w:rPr>
        <w:t xml:space="preserve">Based on the PCA and ADMIXTURE results, we tried to identify the geographic origin of the continental southwestern outliers. We grouped individuals together that deviated from the </w:t>
      </w:r>
      <w:r w:rsidDel="00000000" w:rsidR="00000000" w:rsidRPr="00000000">
        <w:rPr>
          <w:i w:val="1"/>
          <w:rtl w:val="0"/>
        </w:rPr>
        <w:t xml:space="preserve">England_IA</w:t>
      </w:r>
      <w:r w:rsidDel="00000000" w:rsidR="00000000" w:rsidRPr="00000000">
        <w:rPr>
          <w:rtl w:val="0"/>
        </w:rPr>
        <w:t xml:space="preserve">-</w:t>
      </w:r>
      <w:r w:rsidDel="00000000" w:rsidR="00000000" w:rsidRPr="00000000">
        <w:rPr>
          <w:i w:val="1"/>
          <w:rtl w:val="0"/>
        </w:rPr>
        <w:t xml:space="preserve">England_EMA</w:t>
      </w:r>
      <w:r w:rsidDel="00000000" w:rsidR="00000000" w:rsidRPr="00000000">
        <w:rPr>
          <w:rtl w:val="0"/>
        </w:rPr>
        <w:t xml:space="preserve"> cline as </w:t>
      </w:r>
      <w:r w:rsidDel="00000000" w:rsidR="00000000" w:rsidRPr="00000000">
        <w:rPr>
          <w:i w:val="1"/>
          <w:rtl w:val="0"/>
        </w:rPr>
        <w:t xml:space="preserve">England_EMA_CWE </w:t>
      </w:r>
      <w:r w:rsidDel="00000000" w:rsidR="00000000" w:rsidRPr="00000000">
        <w:rPr>
          <w:rtl w:val="0"/>
        </w:rPr>
        <w:t xml:space="preserve">(CWE= Continental Western European). We then calculated pairwise </w:t>
      </w:r>
      <w:r w:rsidDel="00000000" w:rsidR="00000000" w:rsidRPr="00000000">
        <w:rPr>
          <w:i w:val="1"/>
          <w:rtl w:val="0"/>
        </w:rPr>
        <w:t xml:space="preserve">F</w:t>
      </w:r>
      <w:r w:rsidDel="00000000" w:rsidR="00000000" w:rsidRPr="00000000">
        <w:rPr>
          <w:vertAlign w:val="subscript"/>
          <w:rtl w:val="0"/>
        </w:rPr>
        <w:t xml:space="preserve">3</w:t>
      </w:r>
      <w:r w:rsidDel="00000000" w:rsidR="00000000" w:rsidRPr="00000000">
        <w:rPr>
          <w:rtl w:val="0"/>
        </w:rPr>
        <w:t xml:space="preserve"> statistics as mentioned in Supp. Note 3 and visualised the results using MDS (Supp. Fig. 5.3a). The </w:t>
      </w:r>
      <w:r w:rsidDel="00000000" w:rsidR="00000000" w:rsidRPr="00000000">
        <w:rPr>
          <w:i w:val="1"/>
          <w:rtl w:val="0"/>
        </w:rPr>
        <w:t xml:space="preserve">England_EMA_CWE </w:t>
      </w:r>
      <w:r w:rsidDel="00000000" w:rsidR="00000000" w:rsidRPr="00000000">
        <w:rPr>
          <w:rtl w:val="0"/>
        </w:rPr>
        <w:t xml:space="preserve">population plots separate from the </w:t>
      </w:r>
      <w:r w:rsidDel="00000000" w:rsidR="00000000" w:rsidRPr="00000000">
        <w:rPr>
          <w:i w:val="1"/>
          <w:rtl w:val="0"/>
        </w:rPr>
        <w:t xml:space="preserve">England_MBA</w:t>
      </w:r>
      <w:r w:rsidDel="00000000" w:rsidR="00000000" w:rsidRPr="00000000">
        <w:rPr>
          <w:rtl w:val="0"/>
        </w:rPr>
        <w:t xml:space="preserve">, </w:t>
      </w:r>
      <w:r w:rsidDel="00000000" w:rsidR="00000000" w:rsidRPr="00000000">
        <w:rPr>
          <w:i w:val="1"/>
          <w:rtl w:val="0"/>
        </w:rPr>
        <w:t xml:space="preserve">England_LBA</w:t>
      </w:r>
      <w:r w:rsidDel="00000000" w:rsidR="00000000" w:rsidRPr="00000000">
        <w:rPr>
          <w:rtl w:val="0"/>
        </w:rPr>
        <w:t xml:space="preserve">, and </w:t>
      </w:r>
      <w:r w:rsidDel="00000000" w:rsidR="00000000" w:rsidRPr="00000000">
        <w:rPr>
          <w:i w:val="1"/>
          <w:rtl w:val="0"/>
        </w:rPr>
        <w:t xml:space="preserve">England_IA </w:t>
      </w:r>
      <w:r w:rsidDel="00000000" w:rsidR="00000000" w:rsidRPr="00000000">
        <w:rPr>
          <w:rtl w:val="0"/>
        </w:rPr>
        <w:t xml:space="preserve">populations, closer to continental populations like Anderten, Schleswig, Norway_medieval, as well as Altinden and Germany_EarlyMedieval_Alemannic on coordinate 2. A higher resolution was obtained using our </w:t>
      </w:r>
      <w:r w:rsidDel="00000000" w:rsidR="00000000" w:rsidRPr="00000000">
        <w:rPr>
          <w:i w:val="1"/>
          <w:rtl w:val="0"/>
        </w:rPr>
        <w:t xml:space="preserve">F</w:t>
      </w:r>
      <w:r w:rsidDel="00000000" w:rsidR="00000000" w:rsidRPr="00000000">
        <w:rPr>
          <w:vertAlign w:val="subscript"/>
          <w:rtl w:val="0"/>
        </w:rPr>
        <w:t xml:space="preserve">4</w:t>
      </w:r>
      <w:r w:rsidDel="00000000" w:rsidR="00000000" w:rsidRPr="00000000">
        <w:rPr>
          <w:rtl w:val="0"/>
        </w:rPr>
        <w:t xml:space="preserve">-PCA approach from Supp. Note 3 (Supp. Fig. 5.3b). Here, the </w:t>
      </w:r>
      <w:r w:rsidDel="00000000" w:rsidR="00000000" w:rsidRPr="00000000">
        <w:rPr>
          <w:i w:val="1"/>
          <w:rtl w:val="0"/>
        </w:rPr>
        <w:t xml:space="preserve">England_EMA_CWE </w:t>
      </w:r>
      <w:r w:rsidDel="00000000" w:rsidR="00000000" w:rsidRPr="00000000">
        <w:rPr>
          <w:rtl w:val="0"/>
        </w:rPr>
        <w:t xml:space="preserve">population clusters distinctly from other English groups between the </w:t>
      </w:r>
      <w:r w:rsidDel="00000000" w:rsidR="00000000" w:rsidRPr="00000000">
        <w:rPr>
          <w:i w:val="1"/>
          <w:rtl w:val="0"/>
        </w:rPr>
        <w:t xml:space="preserve">Czech_LBA_Knoviz</w:t>
      </w:r>
      <w:r w:rsidDel="00000000" w:rsidR="00000000" w:rsidRPr="00000000">
        <w:rPr>
          <w:rtl w:val="0"/>
        </w:rPr>
        <w:t xml:space="preserve">, </w:t>
      </w:r>
      <w:r w:rsidDel="00000000" w:rsidR="00000000" w:rsidRPr="00000000">
        <w:rPr>
          <w:i w:val="1"/>
          <w:rtl w:val="0"/>
        </w:rPr>
        <w:t xml:space="preserve">Czech_IA_LaTene</w:t>
      </w:r>
      <w:r w:rsidDel="00000000" w:rsidR="00000000" w:rsidRPr="00000000">
        <w:rPr>
          <w:rtl w:val="0"/>
        </w:rPr>
        <w:t xml:space="preserve">, </w:t>
      </w:r>
      <w:r w:rsidDel="00000000" w:rsidR="00000000" w:rsidRPr="00000000">
        <w:rPr>
          <w:i w:val="1"/>
          <w:rtl w:val="0"/>
        </w:rPr>
        <w:t xml:space="preserve">France_GrandEst_IA2</w:t>
      </w:r>
      <w:r w:rsidDel="00000000" w:rsidR="00000000" w:rsidRPr="00000000">
        <w:rPr>
          <w:rtl w:val="0"/>
        </w:rPr>
        <w:t xml:space="preserve">, and </w:t>
      </w:r>
      <w:r w:rsidDel="00000000" w:rsidR="00000000" w:rsidRPr="00000000">
        <w:rPr>
          <w:i w:val="1"/>
          <w:rtl w:val="0"/>
        </w:rPr>
        <w:t xml:space="preserve">France_HautsDeFrance_IA2 </w:t>
      </w:r>
      <w:r w:rsidDel="00000000" w:rsidR="00000000" w:rsidRPr="00000000">
        <w:rPr>
          <w:rtl w:val="0"/>
        </w:rPr>
        <w:t xml:space="preserve">populations due their elevated affinity to present-day French and Spanish. </w:t>
      </w:r>
    </w:p>
    <w:p w:rsidR="00000000" w:rsidDel="00000000" w:rsidP="00000000" w:rsidRDefault="00000000" w:rsidRPr="00000000" w14:paraId="000007E5">
      <w:pPr>
        <w:rPr/>
      </w:pPr>
      <w:r w:rsidDel="00000000" w:rsidR="00000000" w:rsidRPr="00000000">
        <w:rPr/>
        <w:drawing>
          <wp:inline distB="0" distT="0" distL="0" distR="0">
            <wp:extent cx="5760720" cy="2826385"/>
            <wp:effectExtent b="0" l="0" r="0" t="0"/>
            <wp:docPr descr="Graphical user interface&#10;&#10;Description automatically generated" id="116" name="image7.png"/>
            <a:graphic>
              <a:graphicData uri="http://schemas.openxmlformats.org/drawingml/2006/picture">
                <pic:pic>
                  <pic:nvPicPr>
                    <pic:cNvPr descr="Graphical user interface&#10;&#10;Description automatically generated" id="0" name="image7.png"/>
                    <pic:cNvPicPr preferRelativeResize="0"/>
                  </pic:nvPicPr>
                  <pic:blipFill>
                    <a:blip r:embed="rId177"/>
                    <a:srcRect b="0" l="0" r="0" t="0"/>
                    <a:stretch>
                      <a:fillRect/>
                    </a:stretch>
                  </pic:blipFill>
                  <pic:spPr>
                    <a:xfrm>
                      <a:off x="0" y="0"/>
                      <a:ext cx="5760720" cy="2826385"/>
                    </a:xfrm>
                    <a:prstGeom prst="rect"/>
                    <a:ln/>
                  </pic:spPr>
                </pic:pic>
              </a:graphicData>
            </a:graphic>
          </wp:inline>
        </w:drawing>
      </w:r>
      <w:r w:rsidDel="00000000" w:rsidR="00000000" w:rsidRPr="00000000">
        <w:rPr>
          <w:rtl w:val="0"/>
        </w:rPr>
      </w:r>
    </w:p>
    <w:p w:rsidR="00000000" w:rsidDel="00000000" w:rsidP="00000000" w:rsidRDefault="00000000" w:rsidRPr="00000000" w14:paraId="000007E6">
      <w:pPr>
        <w:spacing w:after="200" w:line="240" w:lineRule="auto"/>
        <w:rPr/>
      </w:pPr>
      <w:r w:rsidDel="00000000" w:rsidR="00000000" w:rsidRPr="00000000">
        <w:rPr>
          <w:b w:val="1"/>
          <w:i w:val="1"/>
          <w:sz w:val="18"/>
          <w:szCs w:val="18"/>
          <w:rtl w:val="0"/>
        </w:rPr>
        <w:t xml:space="preserve">Supplementary Figure 5.3, F</w:t>
      </w:r>
      <w:r w:rsidDel="00000000" w:rsidR="00000000" w:rsidRPr="00000000">
        <w:rPr>
          <w:b w:val="1"/>
          <w:i w:val="1"/>
          <w:sz w:val="18"/>
          <w:szCs w:val="18"/>
          <w:vertAlign w:val="subscript"/>
          <w:rtl w:val="0"/>
        </w:rPr>
        <w:t xml:space="preserve">3</w:t>
      </w:r>
      <w:r w:rsidDel="00000000" w:rsidR="00000000" w:rsidRPr="00000000">
        <w:rPr>
          <w:b w:val="1"/>
          <w:i w:val="1"/>
          <w:sz w:val="18"/>
          <w:szCs w:val="18"/>
          <w:rtl w:val="0"/>
        </w:rPr>
        <w:t xml:space="preserve"> and F</w:t>
      </w:r>
      <w:r w:rsidDel="00000000" w:rsidR="00000000" w:rsidRPr="00000000">
        <w:rPr>
          <w:b w:val="1"/>
          <w:i w:val="1"/>
          <w:sz w:val="18"/>
          <w:szCs w:val="18"/>
          <w:vertAlign w:val="subscript"/>
          <w:rtl w:val="0"/>
        </w:rPr>
        <w:t xml:space="preserve">4</w:t>
      </w:r>
      <w:r w:rsidDel="00000000" w:rsidR="00000000" w:rsidRPr="00000000">
        <w:rPr>
          <w:b w:val="1"/>
          <w:i w:val="1"/>
          <w:sz w:val="18"/>
          <w:szCs w:val="18"/>
          <w:rtl w:val="0"/>
        </w:rPr>
        <w:t xml:space="preserve"> statistics. </w:t>
      </w:r>
      <w:r w:rsidDel="00000000" w:rsidR="00000000" w:rsidRPr="00000000">
        <w:rPr>
          <w:i w:val="1"/>
          <w:sz w:val="18"/>
          <w:szCs w:val="18"/>
          <w:rtl w:val="0"/>
        </w:rPr>
        <w:t xml:space="preserve">Genetic affinity between early medieval English individuals that deviate from the England_IA-England_EMA cline (England_EMA_CWE) and contemporary continental populations. a)  Multidimensional Scaling Plot of pairwise F</w:t>
      </w:r>
      <w:r w:rsidDel="00000000" w:rsidR="00000000" w:rsidRPr="00000000">
        <w:rPr>
          <w:i w:val="1"/>
          <w:sz w:val="18"/>
          <w:szCs w:val="18"/>
          <w:vertAlign w:val="subscript"/>
          <w:rtl w:val="0"/>
        </w:rPr>
        <w:t xml:space="preserve">3</w:t>
      </w:r>
      <w:r w:rsidDel="00000000" w:rsidR="00000000" w:rsidRPr="00000000">
        <w:rPr>
          <w:i w:val="1"/>
          <w:sz w:val="18"/>
          <w:szCs w:val="18"/>
          <w:rtl w:val="0"/>
        </w:rPr>
        <w:t xml:space="preserve"> distances of the form F</w:t>
      </w:r>
      <w:r w:rsidDel="00000000" w:rsidR="00000000" w:rsidRPr="00000000">
        <w:rPr>
          <w:i w:val="1"/>
          <w:sz w:val="18"/>
          <w:szCs w:val="18"/>
          <w:vertAlign w:val="subscript"/>
          <w:rtl w:val="0"/>
        </w:rPr>
        <w:t xml:space="preserve">3</w:t>
      </w:r>
      <w:r w:rsidDel="00000000" w:rsidR="00000000" w:rsidRPr="00000000">
        <w:rPr>
          <w:i w:val="1"/>
          <w:sz w:val="18"/>
          <w:szCs w:val="18"/>
          <w:rtl w:val="0"/>
        </w:rPr>
        <w:t xml:space="preserve">(CHB, ancient population A, ancient population B). b) PCA of F</w:t>
      </w:r>
      <w:r w:rsidDel="00000000" w:rsidR="00000000" w:rsidRPr="00000000">
        <w:rPr>
          <w:i w:val="1"/>
          <w:sz w:val="18"/>
          <w:szCs w:val="18"/>
          <w:vertAlign w:val="subscript"/>
          <w:rtl w:val="0"/>
        </w:rPr>
        <w:t xml:space="preserve">4</w:t>
      </w:r>
      <w:r w:rsidDel="00000000" w:rsidR="00000000" w:rsidRPr="00000000">
        <w:rPr>
          <w:i w:val="1"/>
          <w:sz w:val="18"/>
          <w:szCs w:val="18"/>
          <w:rtl w:val="0"/>
        </w:rPr>
        <w:t xml:space="preserve"> statistics of the form F</w:t>
      </w:r>
      <w:r w:rsidDel="00000000" w:rsidR="00000000" w:rsidRPr="00000000">
        <w:rPr>
          <w:i w:val="1"/>
          <w:sz w:val="18"/>
          <w:szCs w:val="18"/>
          <w:vertAlign w:val="subscript"/>
          <w:rtl w:val="0"/>
        </w:rPr>
        <w:t xml:space="preserve">4</w:t>
      </w:r>
      <w:r w:rsidDel="00000000" w:rsidR="00000000" w:rsidRPr="00000000">
        <w:rPr>
          <w:i w:val="1"/>
          <w:sz w:val="18"/>
          <w:szCs w:val="18"/>
          <w:rtl w:val="0"/>
        </w:rPr>
        <w:t xml:space="preserve">(YRI, ancient population; TestA, TestB). TestA and TestB iterate through 15 present-day European populations (Methods). Additionally, a neighbour-joining tree of the same dataset was projected onto the two PCs.</w:t>
      </w:r>
      <w:r w:rsidDel="00000000" w:rsidR="00000000" w:rsidRPr="00000000">
        <w:rPr>
          <w:rtl w:val="0"/>
        </w:rPr>
      </w:r>
    </w:p>
    <w:p w:rsidR="00000000" w:rsidDel="00000000" w:rsidP="00000000" w:rsidRDefault="00000000" w:rsidRPr="00000000" w14:paraId="000007E7">
      <w:pPr>
        <w:rPr/>
      </w:pPr>
      <w:r w:rsidDel="00000000" w:rsidR="00000000" w:rsidRPr="00000000">
        <w:rPr>
          <w:rtl w:val="0"/>
        </w:rPr>
        <w:t xml:space="preserve">However, PCA positions imply that most outlier individuals are not unadmixed immigrants but already harbour varying amounts of </w:t>
      </w:r>
      <w:r w:rsidDel="00000000" w:rsidR="00000000" w:rsidRPr="00000000">
        <w:rPr>
          <w:i w:val="1"/>
          <w:rtl w:val="0"/>
        </w:rPr>
        <w:t xml:space="preserve">England_IA </w:t>
      </w:r>
      <w:r w:rsidDel="00000000" w:rsidR="00000000" w:rsidRPr="00000000">
        <w:rPr>
          <w:rtl w:val="0"/>
        </w:rPr>
        <w:t xml:space="preserve">or </w:t>
      </w:r>
      <w:r w:rsidDel="00000000" w:rsidR="00000000" w:rsidRPr="00000000">
        <w:rPr>
          <w:i w:val="1"/>
          <w:rtl w:val="0"/>
        </w:rPr>
        <w:t xml:space="preserve">LowerSaxony_EMA </w:t>
      </w:r>
      <w:r w:rsidDel="00000000" w:rsidR="00000000" w:rsidRPr="00000000">
        <w:rPr>
          <w:rtl w:val="0"/>
        </w:rPr>
        <w:t xml:space="preserve">ancestry. We therefore tested which continental populations qualify as source of ancestry for this </w:t>
      </w:r>
      <w:r w:rsidDel="00000000" w:rsidR="00000000" w:rsidRPr="00000000">
        <w:rPr>
          <w:i w:val="1"/>
          <w:rtl w:val="0"/>
        </w:rPr>
        <w:t xml:space="preserve">England_EMA_CWE </w:t>
      </w:r>
      <w:r w:rsidDel="00000000" w:rsidR="00000000" w:rsidRPr="00000000">
        <w:rPr>
          <w:rtl w:val="0"/>
        </w:rPr>
        <w:t xml:space="preserve">group in the three-way model </w:t>
      </w:r>
      <w:r w:rsidDel="00000000" w:rsidR="00000000" w:rsidRPr="00000000">
        <w:rPr>
          <w:i w:val="1"/>
          <w:rtl w:val="0"/>
        </w:rPr>
        <w:t xml:space="preserve">England_LIA_Roman </w:t>
      </w:r>
      <w:r w:rsidDel="00000000" w:rsidR="00000000" w:rsidRPr="00000000">
        <w:rPr>
          <w:rtl w:val="0"/>
        </w:rPr>
        <w:t xml:space="preserve">+ </w:t>
      </w:r>
      <w:r w:rsidDel="00000000" w:rsidR="00000000" w:rsidRPr="00000000">
        <w:rPr>
          <w:i w:val="1"/>
          <w:rtl w:val="0"/>
        </w:rPr>
        <w:t xml:space="preserve">England_EMA_CNE </w:t>
      </w:r>
      <w:r w:rsidDel="00000000" w:rsidR="00000000" w:rsidRPr="00000000">
        <w:rPr>
          <w:rtl w:val="0"/>
        </w:rPr>
        <w:t xml:space="preserve">+</w:t>
      </w:r>
      <w:r w:rsidDel="00000000" w:rsidR="00000000" w:rsidRPr="00000000">
        <w:rPr>
          <w:i w:val="1"/>
          <w:rtl w:val="0"/>
        </w:rPr>
        <w:t xml:space="preserve"> Test </w:t>
      </w:r>
      <w:r w:rsidDel="00000000" w:rsidR="00000000" w:rsidRPr="00000000">
        <w:rPr>
          <w:rtl w:val="0"/>
        </w:rPr>
        <w:t xml:space="preserve">using </w:t>
      </w:r>
      <w:r w:rsidDel="00000000" w:rsidR="00000000" w:rsidRPr="00000000">
        <w:rPr>
          <w:i w:val="1"/>
          <w:rtl w:val="0"/>
        </w:rPr>
        <w:t xml:space="preserve">qpAdm</w:t>
      </w:r>
      <w:hyperlink r:id="rId178">
        <w:r w:rsidDel="00000000" w:rsidR="00000000" w:rsidRPr="00000000">
          <w:rPr>
            <w:i w:val="1"/>
            <w:color w:val="000000"/>
            <w:vertAlign w:val="superscript"/>
            <w:rtl w:val="0"/>
          </w:rPr>
          <w:t xml:space="preserve">171</w:t>
        </w:r>
      </w:hyperlink>
      <w:r w:rsidDel="00000000" w:rsidR="00000000" w:rsidRPr="00000000">
        <w:rPr>
          <w:rtl w:val="0"/>
        </w:rPr>
        <w:t xml:space="preserve"> from ADMIXTOOLS</w:t>
      </w:r>
      <w:hyperlink r:id="rId179">
        <w:r w:rsidDel="00000000" w:rsidR="00000000" w:rsidRPr="00000000">
          <w:rPr>
            <w:color w:val="000000"/>
            <w:vertAlign w:val="superscript"/>
            <w:rtl w:val="0"/>
          </w:rPr>
          <w:t xml:space="preserve">174</w:t>
        </w:r>
      </w:hyperlink>
      <w:r w:rsidDel="00000000" w:rsidR="00000000" w:rsidRPr="00000000">
        <w:rPr>
          <w:rtl w:val="0"/>
        </w:rPr>
        <w:t xml:space="preserve"> (v.4.1). We set the option allsnps: YES. For </w:t>
      </w:r>
      <w:r w:rsidDel="00000000" w:rsidR="00000000" w:rsidRPr="00000000">
        <w:rPr>
          <w:i w:val="1"/>
          <w:rtl w:val="0"/>
        </w:rPr>
        <w:t xml:space="preserve">Test</w:t>
      </w:r>
      <w:r w:rsidDel="00000000" w:rsidR="00000000" w:rsidRPr="00000000">
        <w:rPr>
          <w:rtl w:val="0"/>
        </w:rPr>
        <w:t xml:space="preserve">, we selected 163 prehistoric and historic populations from Europe, especially covering central, southern, southwestern and western European populations. While 37 Bronze, Iron, and Middle Age European populations produce fitting models, the majority of those are located in western and central Europe. Highest density of suitable proxy populations is found in  France, followed by the Alps region, the northwestern Balkans, and the Iberian peninsula (Supp. Fig. 5.4, Supp. Table 5.1). </w:t>
      </w:r>
    </w:p>
    <w:p w:rsidR="00000000" w:rsidDel="00000000" w:rsidP="00000000" w:rsidRDefault="00000000" w:rsidRPr="00000000" w14:paraId="000007E8">
      <w:pPr>
        <w:rPr/>
      </w:pPr>
      <w:r w:rsidDel="00000000" w:rsidR="00000000" w:rsidRPr="00000000">
        <w:rPr/>
        <w:drawing>
          <wp:inline distB="114300" distT="114300" distL="114300" distR="114300">
            <wp:extent cx="5760410" cy="5765800"/>
            <wp:effectExtent b="0" l="0" r="0" t="0"/>
            <wp:docPr id="117" name="image10.png"/>
            <a:graphic>
              <a:graphicData uri="http://schemas.openxmlformats.org/drawingml/2006/picture">
                <pic:pic>
                  <pic:nvPicPr>
                    <pic:cNvPr id="0" name="image10.png"/>
                    <pic:cNvPicPr preferRelativeResize="0"/>
                  </pic:nvPicPr>
                  <pic:blipFill>
                    <a:blip r:embed="rId180"/>
                    <a:srcRect b="0" l="0" r="0" t="0"/>
                    <a:stretch>
                      <a:fillRect/>
                    </a:stretch>
                  </pic:blipFill>
                  <pic:spPr>
                    <a:xfrm>
                      <a:off x="0" y="0"/>
                      <a:ext cx="5760410" cy="5765800"/>
                    </a:xfrm>
                    <a:prstGeom prst="rect"/>
                    <a:ln/>
                  </pic:spPr>
                </pic:pic>
              </a:graphicData>
            </a:graphic>
          </wp:inline>
        </w:drawing>
      </w:r>
      <w:r w:rsidDel="00000000" w:rsidR="00000000" w:rsidRPr="00000000">
        <w:rPr>
          <w:rtl w:val="0"/>
        </w:rPr>
      </w:r>
    </w:p>
    <w:p w:rsidR="00000000" w:rsidDel="00000000" w:rsidP="00000000" w:rsidRDefault="00000000" w:rsidRPr="00000000" w14:paraId="000007E9">
      <w:pPr>
        <w:spacing w:after="200" w:line="240" w:lineRule="auto"/>
        <w:rPr>
          <w:sz w:val="18"/>
          <w:szCs w:val="18"/>
        </w:rPr>
      </w:pPr>
      <w:r w:rsidDel="00000000" w:rsidR="00000000" w:rsidRPr="00000000">
        <w:rPr>
          <w:b w:val="1"/>
          <w:i w:val="1"/>
          <w:sz w:val="18"/>
          <w:szCs w:val="18"/>
          <w:rtl w:val="0"/>
        </w:rPr>
        <w:t xml:space="preserve">Supplementary Figure 5.4, Potential sources of CWE ancestry in early medieval England. </w:t>
      </w:r>
      <w:r w:rsidDel="00000000" w:rsidR="00000000" w:rsidRPr="00000000">
        <w:rPr>
          <w:i w:val="1"/>
          <w:sz w:val="18"/>
          <w:szCs w:val="18"/>
          <w:rtl w:val="0"/>
        </w:rPr>
        <w:t xml:space="preserve">Shown is a 2D kernel density estimation of continental populations that act as feasible proxies for a three-way qpAdm admixture model of England_EMA_CWE.</w:t>
      </w:r>
      <w:r w:rsidDel="00000000" w:rsidR="00000000" w:rsidRPr="00000000">
        <w:rPr>
          <w:rtl w:val="0"/>
        </w:rPr>
      </w:r>
    </w:p>
    <w:p w:rsidR="00000000" w:rsidDel="00000000" w:rsidP="00000000" w:rsidRDefault="00000000" w:rsidRPr="00000000" w14:paraId="000007EA">
      <w:pPr>
        <w:pStyle w:val="Heading3"/>
        <w:rPr>
          <w:color w:val="000000"/>
        </w:rPr>
      </w:pPr>
      <w:bookmarkStart w:colFirst="0" w:colLast="0" w:name="_heading=h.39kk8xu" w:id="82"/>
      <w:bookmarkEnd w:id="82"/>
      <w:r w:rsidDel="00000000" w:rsidR="00000000" w:rsidRPr="00000000">
        <w:rPr>
          <w:color w:val="000000"/>
          <w:rtl w:val="0"/>
        </w:rPr>
        <w:t xml:space="preserve">Modelling early medieval England</w:t>
      </w:r>
    </w:p>
    <w:p w:rsidR="00000000" w:rsidDel="00000000" w:rsidP="00000000" w:rsidRDefault="00000000" w:rsidRPr="00000000" w14:paraId="000007EB">
      <w:pPr>
        <w:rPr/>
      </w:pPr>
      <w:r w:rsidDel="00000000" w:rsidR="00000000" w:rsidRPr="00000000">
        <w:rPr>
          <w:rtl w:val="0"/>
        </w:rPr>
        <w:t xml:space="preserve">To assess the impact of immigration on the early medieval English population from western and southwestern European regions, we used a modification of the </w:t>
      </w:r>
      <w:r w:rsidDel="00000000" w:rsidR="00000000" w:rsidRPr="00000000">
        <w:rPr>
          <w:i w:val="1"/>
          <w:rtl w:val="0"/>
        </w:rPr>
        <w:t xml:space="preserve">qpAdm</w:t>
      </w:r>
      <w:r w:rsidDel="00000000" w:rsidR="00000000" w:rsidRPr="00000000">
        <w:rPr>
          <w:rtl w:val="0"/>
        </w:rPr>
        <w:t xml:space="preserve"> model introduced in Supplementary Note 3 on a site-specific level. Initially, we calculated for each early medieval English site (</w:t>
      </w:r>
      <w:r w:rsidDel="00000000" w:rsidR="00000000" w:rsidRPr="00000000">
        <w:rPr>
          <w:i w:val="1"/>
          <w:rtl w:val="0"/>
        </w:rPr>
        <w:t xml:space="preserve">n </w:t>
      </w:r>
      <w:r w:rsidDel="00000000" w:rsidR="00000000" w:rsidRPr="00000000">
        <w:rPr>
          <w:rtl w:val="0"/>
        </w:rPr>
        <w:t xml:space="preserve">= 28) the proportions of </w:t>
      </w:r>
      <w:r w:rsidDel="00000000" w:rsidR="00000000" w:rsidRPr="00000000">
        <w:rPr>
          <w:i w:val="1"/>
          <w:rtl w:val="0"/>
        </w:rPr>
        <w:t xml:space="preserve">England_LIA </w:t>
      </w:r>
      <w:r w:rsidDel="00000000" w:rsidR="00000000" w:rsidRPr="00000000">
        <w:rPr>
          <w:rtl w:val="0"/>
        </w:rPr>
        <w:t xml:space="preserve">and </w:t>
      </w:r>
      <w:r w:rsidDel="00000000" w:rsidR="00000000" w:rsidRPr="00000000">
        <w:rPr>
          <w:i w:val="1"/>
          <w:rtl w:val="0"/>
        </w:rPr>
        <w:t xml:space="preserve">LowerSaxony_EMA</w:t>
      </w:r>
      <w:r w:rsidDel="00000000" w:rsidR="00000000" w:rsidRPr="00000000">
        <w:rPr>
          <w:rtl w:val="0"/>
        </w:rPr>
        <w:t xml:space="preserve">-related ancestry. As stated earlier, the estimates of “modern” (ADMIXTURE) and “ancient” (</w:t>
      </w:r>
      <w:r w:rsidDel="00000000" w:rsidR="00000000" w:rsidRPr="00000000">
        <w:rPr>
          <w:i w:val="1"/>
          <w:rtl w:val="0"/>
        </w:rPr>
        <w:t xml:space="preserve">qpAdm</w:t>
      </w:r>
      <w:r w:rsidDel="00000000" w:rsidR="00000000" w:rsidRPr="00000000">
        <w:rPr>
          <w:rtl w:val="0"/>
        </w:rPr>
        <w:t xml:space="preserve">) CNE ancestry for each site are highly congruent and correlated, indicating that both methods independently identify the same signal of admixture and accurately measure the respective ancestry proportions (Supp. Fig. 5.5, Supp. Table 5.3). </w:t>
      </w:r>
    </w:p>
    <w:p w:rsidR="00000000" w:rsidDel="00000000" w:rsidP="00000000" w:rsidRDefault="00000000" w:rsidRPr="00000000" w14:paraId="000007EC">
      <w:pPr>
        <w:rPr/>
      </w:pPr>
      <w:r w:rsidDel="00000000" w:rsidR="00000000" w:rsidRPr="00000000">
        <w:rPr/>
        <w:drawing>
          <wp:inline distB="114300" distT="114300" distL="114300" distR="114300">
            <wp:extent cx="5760410" cy="5765800"/>
            <wp:effectExtent b="0" l="0" r="0" t="0"/>
            <wp:docPr id="118" name="image3.png"/>
            <a:graphic>
              <a:graphicData uri="http://schemas.openxmlformats.org/drawingml/2006/picture">
                <pic:pic>
                  <pic:nvPicPr>
                    <pic:cNvPr id="0" name="image3.png"/>
                    <pic:cNvPicPr preferRelativeResize="0"/>
                  </pic:nvPicPr>
                  <pic:blipFill>
                    <a:blip r:embed="rId181"/>
                    <a:srcRect b="0" l="0" r="0" t="0"/>
                    <a:stretch>
                      <a:fillRect/>
                    </a:stretch>
                  </pic:blipFill>
                  <pic:spPr>
                    <a:xfrm>
                      <a:off x="0" y="0"/>
                      <a:ext cx="5760410" cy="5765800"/>
                    </a:xfrm>
                    <a:prstGeom prst="rect"/>
                    <a:ln/>
                  </pic:spPr>
                </pic:pic>
              </a:graphicData>
            </a:graphic>
          </wp:inline>
        </w:drawing>
      </w:r>
      <w:r w:rsidDel="00000000" w:rsidR="00000000" w:rsidRPr="00000000">
        <w:rPr>
          <w:b w:val="1"/>
          <w:i w:val="1"/>
          <w:sz w:val="18"/>
          <w:szCs w:val="18"/>
          <w:rtl w:val="0"/>
        </w:rPr>
        <w:t xml:space="preserve">Supplementary Figure 5.5,  Validation of CNE estimates across different methods. </w:t>
      </w:r>
      <w:r w:rsidDel="00000000" w:rsidR="00000000" w:rsidRPr="00000000">
        <w:rPr>
          <w:i w:val="1"/>
          <w:sz w:val="18"/>
          <w:szCs w:val="18"/>
          <w:rtl w:val="0"/>
        </w:rPr>
        <w:t xml:space="preserve">Correlogram illustrating pairwise correlations between different measurement of genetic affinity to CNE and WBI (mean supervised ADMIXTURE estimates at K = 2, F</w:t>
      </w:r>
      <w:r w:rsidDel="00000000" w:rsidR="00000000" w:rsidRPr="00000000">
        <w:rPr>
          <w:i w:val="1"/>
          <w:sz w:val="18"/>
          <w:szCs w:val="18"/>
          <w:vertAlign w:val="subscript"/>
          <w:rtl w:val="0"/>
        </w:rPr>
        <w:t xml:space="preserve">4</w:t>
      </w:r>
      <w:r w:rsidDel="00000000" w:rsidR="00000000" w:rsidRPr="00000000">
        <w:rPr>
          <w:i w:val="1"/>
          <w:sz w:val="18"/>
          <w:szCs w:val="18"/>
          <w:rtl w:val="0"/>
        </w:rPr>
        <w:t xml:space="preserve"> statistics of the form F</w:t>
      </w:r>
      <w:r w:rsidDel="00000000" w:rsidR="00000000" w:rsidRPr="00000000">
        <w:rPr>
          <w:i w:val="1"/>
          <w:sz w:val="18"/>
          <w:szCs w:val="18"/>
          <w:vertAlign w:val="subscript"/>
          <w:rtl w:val="0"/>
        </w:rPr>
        <w:t xml:space="preserve">4</w:t>
      </w:r>
      <w:r w:rsidDel="00000000" w:rsidR="00000000" w:rsidRPr="00000000">
        <w:rPr>
          <w:i w:val="1"/>
          <w:sz w:val="18"/>
          <w:szCs w:val="18"/>
          <w:rtl w:val="0"/>
        </w:rPr>
        <w:t xml:space="preserve">(YRI, X; WBI, CNE), mean PC1, and PC2 coordinates in our North Sea PCA) for 28 early medieval English sites. Pearson’s r for each pairwise correlation test are indicated in the upper triangle of the matrix. Error bands represent ± 2 standard errors.</w:t>
      </w:r>
      <w:r w:rsidDel="00000000" w:rsidR="00000000" w:rsidRPr="00000000">
        <w:rPr>
          <w:rtl w:val="0"/>
        </w:rPr>
      </w:r>
    </w:p>
    <w:p w:rsidR="00000000" w:rsidDel="00000000" w:rsidP="00000000" w:rsidRDefault="00000000" w:rsidRPr="00000000" w14:paraId="000007ED">
      <w:pPr>
        <w:rPr/>
      </w:pPr>
      <w:r w:rsidDel="00000000" w:rsidR="00000000" w:rsidRPr="00000000">
        <w:rPr>
          <w:rtl w:val="0"/>
        </w:rPr>
        <w:t xml:space="preserve">However, for the southern English sites of Apple Down, Eastry, and Rookery Hill we obtain either no fitting or only borderline-fitting </w:t>
      </w:r>
      <w:r w:rsidDel="00000000" w:rsidR="00000000" w:rsidRPr="00000000">
        <w:rPr>
          <w:i w:val="1"/>
          <w:rtl w:val="0"/>
        </w:rPr>
        <w:t xml:space="preserve">p</w:t>
      </w:r>
      <w:r w:rsidDel="00000000" w:rsidR="00000000" w:rsidRPr="00000000">
        <w:rPr>
          <w:rtl w:val="0"/>
        </w:rPr>
        <w:t xml:space="preserve">-values (</w:t>
      </w:r>
      <w:r w:rsidDel="00000000" w:rsidR="00000000" w:rsidRPr="00000000">
        <w:rPr>
          <w:i w:val="1"/>
          <w:rtl w:val="0"/>
        </w:rPr>
        <w:t xml:space="preserve">p</w:t>
      </w:r>
      <w:r w:rsidDel="00000000" w:rsidR="00000000" w:rsidRPr="00000000">
        <w:rPr>
          <w:rtl w:val="0"/>
        </w:rPr>
        <w:t xml:space="preserve">-values &lt; 0.05) (Supp. Table 5.3). We therefore allowed for a third source approximating western or southwestern European ancestry. Based on </w:t>
      </w:r>
      <w:r w:rsidDel="00000000" w:rsidR="00000000" w:rsidRPr="00000000">
        <w:rPr>
          <w:i w:val="1"/>
          <w:rtl w:val="0"/>
        </w:rPr>
        <w:t xml:space="preserve">qpAdm</w:t>
      </w:r>
      <w:r w:rsidDel="00000000" w:rsidR="00000000" w:rsidRPr="00000000">
        <w:rPr>
          <w:rtl w:val="0"/>
        </w:rPr>
        <w:t xml:space="preserve"> analysis presented above we suggest populations from France, the Alps region, or the Iberian peninsula as reasonable proxies for this kind of ancestry (Supp. Fig. 6.4). For the following </w:t>
      </w:r>
      <w:r w:rsidDel="00000000" w:rsidR="00000000" w:rsidRPr="00000000">
        <w:rPr>
          <w:i w:val="1"/>
          <w:rtl w:val="0"/>
        </w:rPr>
        <w:t xml:space="preserve">qpAdm </w:t>
      </w:r>
      <w:r w:rsidDel="00000000" w:rsidR="00000000" w:rsidRPr="00000000">
        <w:rPr>
          <w:rtl w:val="0"/>
        </w:rPr>
        <w:t xml:space="preserve">models, we decided to group published French Iron Age individuals together, called here </w:t>
      </w:r>
      <w:r w:rsidDel="00000000" w:rsidR="00000000" w:rsidRPr="00000000">
        <w:rPr>
          <w:i w:val="1"/>
          <w:rtl w:val="0"/>
        </w:rPr>
        <w:t xml:space="preserve">France_IA</w:t>
      </w:r>
      <w:r w:rsidDel="00000000" w:rsidR="00000000" w:rsidRPr="00000000">
        <w:rPr>
          <w:rtl w:val="0"/>
        </w:rPr>
        <w:t xml:space="preserve">,</w:t>
      </w:r>
      <w:r w:rsidDel="00000000" w:rsidR="00000000" w:rsidRPr="00000000">
        <w:rPr>
          <w:i w:val="1"/>
          <w:rtl w:val="0"/>
        </w:rPr>
        <w:t xml:space="preserve"> </w:t>
      </w:r>
      <w:r w:rsidDel="00000000" w:rsidR="00000000" w:rsidRPr="00000000">
        <w:rPr>
          <w:rtl w:val="0"/>
        </w:rPr>
        <w:t xml:space="preserve">due to their temporal and geographical proximity. Most central and northern English sites do not profit from adding this third western European source; instead, three-way models for those populations are infeasible, producing negative </w:t>
      </w:r>
      <w:r w:rsidDel="00000000" w:rsidR="00000000" w:rsidRPr="00000000">
        <w:rPr>
          <w:i w:val="1"/>
          <w:rtl w:val="0"/>
        </w:rPr>
        <w:t xml:space="preserve">France_IA </w:t>
      </w:r>
      <w:r w:rsidDel="00000000" w:rsidR="00000000" w:rsidRPr="00000000">
        <w:rPr>
          <w:rtl w:val="0"/>
        </w:rPr>
        <w:t xml:space="preserve">admixture coefficients. In contrast, for Apple Down, Rookery Hill, Eastry, and Lincoln we obtain significantly better fits (</w:t>
      </w:r>
      <w:r w:rsidDel="00000000" w:rsidR="00000000" w:rsidRPr="00000000">
        <w:rPr>
          <w:i w:val="1"/>
          <w:rtl w:val="0"/>
        </w:rPr>
        <w:t xml:space="preserve">p</w:t>
      </w:r>
      <w:r w:rsidDel="00000000" w:rsidR="00000000" w:rsidRPr="00000000">
        <w:rPr>
          <w:rtl w:val="0"/>
        </w:rPr>
        <w:t xml:space="preserve">-values &gt; 0.05) using a three-way model with </w:t>
      </w:r>
      <w:r w:rsidDel="00000000" w:rsidR="00000000" w:rsidRPr="00000000">
        <w:rPr>
          <w:i w:val="1"/>
          <w:rtl w:val="0"/>
        </w:rPr>
        <w:t xml:space="preserve">France_IA </w:t>
      </w:r>
      <w:r w:rsidDel="00000000" w:rsidR="00000000" w:rsidRPr="00000000">
        <w:rPr>
          <w:rtl w:val="0"/>
        </w:rPr>
        <w:t xml:space="preserve">ancestry included as a source (Supp. Table 5.4). In all these sites, </w:t>
      </w:r>
      <w:r w:rsidDel="00000000" w:rsidR="00000000" w:rsidRPr="00000000">
        <w:rPr>
          <w:i w:val="1"/>
          <w:rtl w:val="0"/>
        </w:rPr>
        <w:t xml:space="preserve">France_IA </w:t>
      </w:r>
      <w:r w:rsidDel="00000000" w:rsidR="00000000" w:rsidRPr="00000000">
        <w:rPr>
          <w:rtl w:val="0"/>
        </w:rPr>
        <w:t xml:space="preserve">ancestry comprises a substantial part of the ancestry (Supp. Table 5.4). </w:t>
      </w:r>
    </w:p>
    <w:p w:rsidR="00000000" w:rsidDel="00000000" w:rsidP="00000000" w:rsidRDefault="00000000" w:rsidRPr="00000000" w14:paraId="000007EE">
      <w:pPr>
        <w:rPr/>
      </w:pPr>
      <w:r w:rsidDel="00000000" w:rsidR="00000000" w:rsidRPr="00000000">
        <w:rPr>
          <w:rtl w:val="0"/>
        </w:rPr>
        <w:t xml:space="preserve">To check this observation of French-like ancestry, we then calculated admixture proportions for each medieval English individual and site in a supervised ADMIXTURE analysis using an extended three-way model with CNE, WBI, and CWE as the source populations. Here, CWE (“continental western European”) consists of present-day French and Belgians (</w:t>
      </w:r>
      <w:r w:rsidDel="00000000" w:rsidR="00000000" w:rsidRPr="00000000">
        <w:rPr>
          <w:i w:val="1"/>
          <w:rtl w:val="0"/>
        </w:rPr>
        <w:t xml:space="preserve">n</w:t>
      </w:r>
      <w:r w:rsidDel="00000000" w:rsidR="00000000" w:rsidRPr="00000000">
        <w:rPr>
          <w:rtl w:val="0"/>
        </w:rPr>
        <w:t xml:space="preserve"> = 1074), who show the highest genetic affinity to </w:t>
      </w:r>
      <w:r w:rsidDel="00000000" w:rsidR="00000000" w:rsidRPr="00000000">
        <w:rPr>
          <w:i w:val="1"/>
          <w:rtl w:val="0"/>
        </w:rPr>
        <w:t xml:space="preserve">France_IA </w:t>
      </w:r>
      <w:r w:rsidDel="00000000" w:rsidR="00000000" w:rsidRPr="00000000">
        <w:rPr>
          <w:rtl w:val="0"/>
        </w:rPr>
        <w:t xml:space="preserve">across all modern Europeans in our dataset (</w:t>
      </w:r>
      <w:r w:rsidDel="00000000" w:rsidR="00000000" w:rsidRPr="00000000">
        <w:rPr>
          <w:i w:val="1"/>
          <w:rtl w:val="0"/>
        </w:rPr>
        <w:t xml:space="preserve">F</w:t>
      </w:r>
      <w:r w:rsidDel="00000000" w:rsidR="00000000" w:rsidRPr="00000000">
        <w:rPr>
          <w:vertAlign w:val="subscript"/>
          <w:rtl w:val="0"/>
        </w:rPr>
        <w:t xml:space="preserve">ST</w:t>
      </w:r>
      <w:r w:rsidDel="00000000" w:rsidR="00000000" w:rsidRPr="00000000">
        <w:rPr>
          <w:rtl w:val="0"/>
        </w:rPr>
        <w:t xml:space="preserve"> </w:t>
      </w:r>
      <w:r w:rsidDel="00000000" w:rsidR="00000000" w:rsidRPr="00000000">
        <w:rPr>
          <w:vertAlign w:val="subscript"/>
          <w:rtl w:val="0"/>
        </w:rPr>
        <w:t xml:space="preserve">France</w:t>
      </w:r>
      <w:r w:rsidDel="00000000" w:rsidR="00000000" w:rsidRPr="00000000">
        <w:rPr>
          <w:rtl w:val="0"/>
        </w:rPr>
        <w:t xml:space="preserve">: 0.0037 ± 0.0007; </w:t>
      </w:r>
      <w:r w:rsidDel="00000000" w:rsidR="00000000" w:rsidRPr="00000000">
        <w:rPr>
          <w:i w:val="1"/>
          <w:rtl w:val="0"/>
        </w:rPr>
        <w:t xml:space="preserve">F</w:t>
      </w:r>
      <w:r w:rsidDel="00000000" w:rsidR="00000000" w:rsidRPr="00000000">
        <w:rPr>
          <w:vertAlign w:val="subscript"/>
          <w:rtl w:val="0"/>
        </w:rPr>
        <w:t xml:space="preserve">ST Belgium</w:t>
      </w:r>
      <w:r w:rsidDel="00000000" w:rsidR="00000000" w:rsidRPr="00000000">
        <w:rPr>
          <w:rtl w:val="0"/>
        </w:rPr>
        <w:t xml:space="preserve">: 0.0041 ± 0.0007) and therefore most closely approximate the ancient admixture source. As indicated by PCA, supervised ADMIXTURE identifies sizable proportions of modern French/Belgian-like ancestry in our ancient samples, reaching as much as 100% in some individuals (Supp. Fig. 5.6a, Supp. Table 5.5). Calculating the average for each site, we find, congruently with our </w:t>
      </w:r>
      <w:r w:rsidDel="00000000" w:rsidR="00000000" w:rsidRPr="00000000">
        <w:rPr>
          <w:i w:val="1"/>
          <w:rtl w:val="0"/>
        </w:rPr>
        <w:t xml:space="preserve">qpAdm</w:t>
      </w:r>
      <w:r w:rsidDel="00000000" w:rsidR="00000000" w:rsidRPr="00000000">
        <w:rPr>
          <w:rtl w:val="0"/>
        </w:rPr>
        <w:t xml:space="preserve"> approach, the highest proportions of French/Belgian-like ancestry in Lincoln (59.9%), Rookery Hill (43.3%), Apple Down (27.8%), Eastry (25.6%), and Dover Buckland (22.5%) (Supp. Fig. 5.6b). In the remaining sites, French/Belgian-like ancestry accounts for less than 10% of the total ancestry. In summary, additional western and/or southern European related ancestry appears to be the main cause for the remarkable genetic diversity observed especially in southern English early medieval sites (Supp. Fig. 5.7).</w:t>
      </w:r>
    </w:p>
    <w:p w:rsidR="00000000" w:rsidDel="00000000" w:rsidP="00000000" w:rsidRDefault="00000000" w:rsidRPr="00000000" w14:paraId="000007EF">
      <w:pPr>
        <w:rPr/>
      </w:pPr>
      <w:r w:rsidDel="00000000" w:rsidR="00000000" w:rsidRPr="00000000">
        <w:rPr/>
        <w:drawing>
          <wp:inline distB="0" distT="0" distL="0" distR="0">
            <wp:extent cx="5340350" cy="9072245"/>
            <wp:effectExtent b="0" l="0" r="0" t="0"/>
            <wp:docPr descr="Graphical user interface&#10;&#10;Description automatically generated" id="119" name="image14.png"/>
            <a:graphic>
              <a:graphicData uri="http://schemas.openxmlformats.org/drawingml/2006/picture">
                <pic:pic>
                  <pic:nvPicPr>
                    <pic:cNvPr descr="Graphical user interface&#10;&#10;Description automatically generated" id="0" name="image14.png"/>
                    <pic:cNvPicPr preferRelativeResize="0"/>
                  </pic:nvPicPr>
                  <pic:blipFill>
                    <a:blip r:embed="rId182"/>
                    <a:srcRect b="0" l="0" r="0" t="0"/>
                    <a:stretch>
                      <a:fillRect/>
                    </a:stretch>
                  </pic:blipFill>
                  <pic:spPr>
                    <a:xfrm>
                      <a:off x="0" y="0"/>
                      <a:ext cx="5340350" cy="9072245"/>
                    </a:xfrm>
                    <a:prstGeom prst="rect"/>
                    <a:ln/>
                  </pic:spPr>
                </pic:pic>
              </a:graphicData>
            </a:graphic>
          </wp:inline>
        </w:drawing>
      </w:r>
      <w:r w:rsidDel="00000000" w:rsidR="00000000" w:rsidRPr="00000000">
        <w:rPr>
          <w:rtl w:val="0"/>
        </w:rPr>
      </w:r>
    </w:p>
    <w:p w:rsidR="00000000" w:rsidDel="00000000" w:rsidP="00000000" w:rsidRDefault="00000000" w:rsidRPr="00000000" w14:paraId="000007F0">
      <w:pPr>
        <w:spacing w:after="200" w:line="240" w:lineRule="auto"/>
        <w:rPr>
          <w:i w:val="1"/>
          <w:sz w:val="18"/>
          <w:szCs w:val="18"/>
        </w:rPr>
      </w:pPr>
      <w:r w:rsidDel="00000000" w:rsidR="00000000" w:rsidRPr="00000000">
        <w:rPr>
          <w:b w:val="1"/>
          <w:i w:val="1"/>
          <w:sz w:val="18"/>
          <w:szCs w:val="18"/>
          <w:rtl w:val="0"/>
        </w:rPr>
        <w:t xml:space="preserve">Supplementary Figure 5.6 Distribution of continental western European (CWE) ancestry across early medieval England.</w:t>
      </w:r>
      <w:r w:rsidDel="00000000" w:rsidR="00000000" w:rsidRPr="00000000">
        <w:rPr>
          <w:i w:val="1"/>
          <w:sz w:val="18"/>
          <w:szCs w:val="18"/>
          <w:rtl w:val="0"/>
        </w:rPr>
        <w:t xml:space="preserve"> a) Distribution of continental western European (CWE) ancestry across early medieval English corresponding to PC1 and PC2 in our Northwestern European PCA as inferred using supervised ADMIXTURE. b) Shown are the estimates as boxplots per site. Bounds of the Box represent the 25</w:t>
      </w:r>
      <w:r w:rsidDel="00000000" w:rsidR="00000000" w:rsidRPr="00000000">
        <w:rPr>
          <w:i w:val="1"/>
          <w:sz w:val="18"/>
          <w:szCs w:val="18"/>
          <w:vertAlign w:val="superscript"/>
          <w:rtl w:val="0"/>
        </w:rPr>
        <w:t xml:space="preserve">th</w:t>
      </w:r>
      <w:r w:rsidDel="00000000" w:rsidR="00000000" w:rsidRPr="00000000">
        <w:rPr>
          <w:i w:val="1"/>
          <w:sz w:val="18"/>
          <w:szCs w:val="18"/>
          <w:rtl w:val="0"/>
        </w:rPr>
        <w:t xml:space="preserve"> and 75</w:t>
      </w:r>
      <w:r w:rsidDel="00000000" w:rsidR="00000000" w:rsidRPr="00000000">
        <w:rPr>
          <w:i w:val="1"/>
          <w:sz w:val="18"/>
          <w:szCs w:val="18"/>
          <w:vertAlign w:val="superscript"/>
          <w:rtl w:val="0"/>
        </w:rPr>
        <w:t xml:space="preserve">th</w:t>
      </w:r>
      <w:r w:rsidDel="00000000" w:rsidR="00000000" w:rsidRPr="00000000">
        <w:rPr>
          <w:i w:val="1"/>
          <w:sz w:val="18"/>
          <w:szCs w:val="18"/>
          <w:rtl w:val="0"/>
        </w:rPr>
        <w:t xml:space="preserve"> Percentile. The centre represents the median. Whiskers represent the smallest value greater than the 25</w:t>
      </w:r>
      <w:r w:rsidDel="00000000" w:rsidR="00000000" w:rsidRPr="00000000">
        <w:rPr>
          <w:i w:val="1"/>
          <w:sz w:val="18"/>
          <w:szCs w:val="18"/>
          <w:vertAlign w:val="superscript"/>
          <w:rtl w:val="0"/>
        </w:rPr>
        <w:t xml:space="preserve">th</w:t>
      </w:r>
      <w:r w:rsidDel="00000000" w:rsidR="00000000" w:rsidRPr="00000000">
        <w:rPr>
          <w:i w:val="1"/>
          <w:sz w:val="18"/>
          <w:szCs w:val="18"/>
          <w:rtl w:val="0"/>
        </w:rPr>
        <w:t xml:space="preserve"> Percentile minus 1.5 times the interquartile range and largest value less than the 75</w:t>
      </w:r>
      <w:r w:rsidDel="00000000" w:rsidR="00000000" w:rsidRPr="00000000">
        <w:rPr>
          <w:i w:val="1"/>
          <w:sz w:val="18"/>
          <w:szCs w:val="18"/>
          <w:vertAlign w:val="superscript"/>
          <w:rtl w:val="0"/>
        </w:rPr>
        <w:t xml:space="preserve">th</w:t>
      </w:r>
      <w:r w:rsidDel="00000000" w:rsidR="00000000" w:rsidRPr="00000000">
        <w:rPr>
          <w:i w:val="1"/>
          <w:sz w:val="18"/>
          <w:szCs w:val="18"/>
          <w:rtl w:val="0"/>
        </w:rPr>
        <w:t xml:space="preserve"> Percentile plus 1.5 times the interquartile range, respectively. Outliers present the minimum and maximum values in the data. Samples sizes for early medieval English sites are indicated in Supplementary Table 5.3.</w:t>
      </w:r>
    </w:p>
    <w:p w:rsidR="00000000" w:rsidDel="00000000" w:rsidP="00000000" w:rsidRDefault="00000000" w:rsidRPr="00000000" w14:paraId="000007F1">
      <w:pPr>
        <w:spacing w:after="200" w:line="240" w:lineRule="auto"/>
        <w:rPr>
          <w:i w:val="1"/>
          <w:sz w:val="18"/>
          <w:szCs w:val="18"/>
        </w:rPr>
      </w:pPr>
      <w:r w:rsidDel="00000000" w:rsidR="00000000" w:rsidRPr="00000000">
        <w:rPr/>
        <w:drawing>
          <wp:inline distB="0" distT="0" distL="0" distR="0">
            <wp:extent cx="5760720" cy="7031355"/>
            <wp:effectExtent b="0" l="0" r="0" t="0"/>
            <wp:docPr descr="Engineering drawing&#10;&#10;Description automatically generated" id="120" name="image17.png"/>
            <a:graphic>
              <a:graphicData uri="http://schemas.openxmlformats.org/drawingml/2006/picture">
                <pic:pic>
                  <pic:nvPicPr>
                    <pic:cNvPr descr="Engineering drawing&#10;&#10;Description automatically generated" id="0" name="image17.png"/>
                    <pic:cNvPicPr preferRelativeResize="0"/>
                  </pic:nvPicPr>
                  <pic:blipFill>
                    <a:blip r:embed="rId183"/>
                    <a:srcRect b="0" l="0" r="0" t="0"/>
                    <a:stretch>
                      <a:fillRect/>
                    </a:stretch>
                  </pic:blipFill>
                  <pic:spPr>
                    <a:xfrm>
                      <a:off x="0" y="0"/>
                      <a:ext cx="5760720" cy="7031355"/>
                    </a:xfrm>
                    <a:prstGeom prst="rect"/>
                    <a:ln/>
                  </pic:spPr>
                </pic:pic>
              </a:graphicData>
            </a:graphic>
          </wp:inline>
        </w:drawing>
      </w:r>
      <w:r w:rsidDel="00000000" w:rsidR="00000000" w:rsidRPr="00000000">
        <w:rPr>
          <w:i w:val="1"/>
          <w:color w:val="44546a"/>
          <w:sz w:val="18"/>
          <w:szCs w:val="18"/>
          <w:rtl w:val="0"/>
        </w:rPr>
        <w:br w:type="textWrapping"/>
      </w:r>
      <w:r w:rsidDel="00000000" w:rsidR="00000000" w:rsidRPr="00000000">
        <w:rPr>
          <w:b w:val="1"/>
          <w:i w:val="1"/>
          <w:sz w:val="18"/>
          <w:szCs w:val="18"/>
          <w:rtl w:val="0"/>
        </w:rPr>
        <w:t xml:space="preserve">Supplementary Figure 5.7 Variation of ancestry and admixture patterns across early medieval English sites.</w:t>
      </w:r>
      <w:r w:rsidDel="00000000" w:rsidR="00000000" w:rsidRPr="00000000">
        <w:rPr>
          <w:i w:val="1"/>
          <w:sz w:val="18"/>
          <w:szCs w:val="18"/>
          <w:rtl w:val="0"/>
        </w:rPr>
        <w:t xml:space="preserve"> For eight selected English sites, ancient individuals are projected onto the first two principal components of our Northwestern European PCA. The Individuals are coloured according to their WBI, CNE, and CWE ancestry proportions as inferred using supervised ADMIXTURE. For England_LIA, France_SouthEast_IA, and LowerSaxony_EMA the distribution across PC1 and PC2 are indicated. a) Hatherdene Close, b) Oakington, c) RAF Lakenheath, d) Worth Matravers, e) Polhill, f) Sedgeford, g) Eastry, h) West Heslerton, i) Rookery Hill, j) Apple Down, and k) Dover Buckland.</w:t>
      </w:r>
    </w:p>
    <w:p w:rsidR="00000000" w:rsidDel="00000000" w:rsidP="00000000" w:rsidRDefault="00000000" w:rsidRPr="00000000" w14:paraId="000007F2">
      <w:pPr>
        <w:pStyle w:val="Heading2"/>
        <w:rPr>
          <w:color w:val="000000"/>
        </w:rPr>
      </w:pPr>
      <w:bookmarkStart w:colFirst="0" w:colLast="0" w:name="_heading=h.1opuj5n" w:id="83"/>
      <w:bookmarkEnd w:id="83"/>
      <w:r w:rsidDel="00000000" w:rsidR="00000000" w:rsidRPr="00000000">
        <w:rPr>
          <w:color w:val="000000"/>
          <w:rtl w:val="0"/>
        </w:rPr>
        <w:t xml:space="preserve">Modelling present-day England</w:t>
      </w:r>
    </w:p>
    <w:p w:rsidR="00000000" w:rsidDel="00000000" w:rsidP="00000000" w:rsidRDefault="00000000" w:rsidRPr="00000000" w14:paraId="000007F3">
      <w:pPr>
        <w:rPr/>
      </w:pPr>
      <w:r w:rsidDel="00000000" w:rsidR="00000000" w:rsidRPr="00000000">
        <w:rPr>
          <w:rtl w:val="0"/>
        </w:rPr>
        <w:t xml:space="preserve">Since our approach to identifying and measuring admixture worked well in an ancient DNA context, we went on to model present-day British and Irish populations. First, we tested if six Irish and British metapopulations (England (randomly downsampled to 100 individuals), Wales, Scotland, Orkney, the Republic of Ireland, and Northern Ireland) could be modelled as simple two-way admixture between </w:t>
      </w:r>
      <w:r w:rsidDel="00000000" w:rsidR="00000000" w:rsidRPr="00000000">
        <w:rPr>
          <w:i w:val="1"/>
          <w:rtl w:val="0"/>
        </w:rPr>
        <w:t xml:space="preserve">England_EMA_CNE</w:t>
      </w:r>
      <w:r w:rsidDel="00000000" w:rsidR="00000000" w:rsidRPr="00000000">
        <w:rPr>
          <w:rtl w:val="0"/>
        </w:rPr>
        <w:t xml:space="preserve"> and one of twelve post-Neolithic British and Irish sources (</w:t>
      </w:r>
      <w:r w:rsidDel="00000000" w:rsidR="00000000" w:rsidRPr="00000000">
        <w:rPr>
          <w:i w:val="1"/>
          <w:rtl w:val="0"/>
        </w:rPr>
        <w:t xml:space="preserve">England_C_EBA</w:t>
      </w:r>
      <w:r w:rsidDel="00000000" w:rsidR="00000000" w:rsidRPr="00000000">
        <w:rPr>
          <w:rtl w:val="0"/>
        </w:rPr>
        <w:t xml:space="preserve">, </w:t>
      </w:r>
      <w:r w:rsidDel="00000000" w:rsidR="00000000" w:rsidRPr="00000000">
        <w:rPr>
          <w:i w:val="1"/>
          <w:rtl w:val="0"/>
        </w:rPr>
        <w:t xml:space="preserve">England_MBA</w:t>
      </w:r>
      <w:r w:rsidDel="00000000" w:rsidR="00000000" w:rsidRPr="00000000">
        <w:rPr>
          <w:rtl w:val="0"/>
        </w:rPr>
        <w:t xml:space="preserve">, </w:t>
      </w:r>
      <w:r w:rsidDel="00000000" w:rsidR="00000000" w:rsidRPr="00000000">
        <w:rPr>
          <w:i w:val="1"/>
          <w:rtl w:val="0"/>
        </w:rPr>
        <w:t xml:space="preserve">England_LBA</w:t>
      </w:r>
      <w:r w:rsidDel="00000000" w:rsidR="00000000" w:rsidRPr="00000000">
        <w:rPr>
          <w:rtl w:val="0"/>
        </w:rPr>
        <w:t xml:space="preserve">, </w:t>
      </w:r>
      <w:r w:rsidDel="00000000" w:rsidR="00000000" w:rsidRPr="00000000">
        <w:rPr>
          <w:i w:val="1"/>
          <w:rtl w:val="0"/>
        </w:rPr>
        <w:t xml:space="preserve">England_IA</w:t>
      </w:r>
      <w:r w:rsidDel="00000000" w:rsidR="00000000" w:rsidRPr="00000000">
        <w:rPr>
          <w:rtl w:val="0"/>
        </w:rPr>
        <w:t xml:space="preserve">; </w:t>
      </w:r>
      <w:r w:rsidDel="00000000" w:rsidR="00000000" w:rsidRPr="00000000">
        <w:rPr>
          <w:i w:val="1"/>
          <w:rtl w:val="0"/>
        </w:rPr>
        <w:t xml:space="preserve">Ireland_EBA</w:t>
      </w:r>
      <w:r w:rsidDel="00000000" w:rsidR="00000000" w:rsidRPr="00000000">
        <w:rPr>
          <w:rtl w:val="0"/>
        </w:rPr>
        <w:t xml:space="preserve">; </w:t>
      </w:r>
      <w:r w:rsidDel="00000000" w:rsidR="00000000" w:rsidRPr="00000000">
        <w:rPr>
          <w:i w:val="1"/>
          <w:rtl w:val="0"/>
        </w:rPr>
        <w:t xml:space="preserve">Scotland_C_EBA</w:t>
      </w:r>
      <w:r w:rsidDel="00000000" w:rsidR="00000000" w:rsidRPr="00000000">
        <w:rPr>
          <w:rtl w:val="0"/>
        </w:rPr>
        <w:t xml:space="preserve">, </w:t>
      </w:r>
      <w:r w:rsidDel="00000000" w:rsidR="00000000" w:rsidRPr="00000000">
        <w:rPr>
          <w:i w:val="1"/>
          <w:rtl w:val="0"/>
        </w:rPr>
        <w:t xml:space="preserve">Scotland_MBA</w:t>
      </w:r>
      <w:r w:rsidDel="00000000" w:rsidR="00000000" w:rsidRPr="00000000">
        <w:rPr>
          <w:rtl w:val="0"/>
        </w:rPr>
        <w:t xml:space="preserve">, </w:t>
      </w:r>
      <w:r w:rsidDel="00000000" w:rsidR="00000000" w:rsidRPr="00000000">
        <w:rPr>
          <w:i w:val="1"/>
          <w:rtl w:val="0"/>
        </w:rPr>
        <w:t xml:space="preserve">Scotland_LBA, Scotland_IA, Wales_MBA, Wales_LBA, Wales_IA</w:t>
      </w:r>
      <w:r w:rsidDel="00000000" w:rsidR="00000000" w:rsidRPr="00000000">
        <w:rPr>
          <w:rtl w:val="0"/>
        </w:rPr>
        <w:t xml:space="preserve">) (Supp. Fig. 5.8, Supp. Table 5.6). We find that Ireland and Northern Ireland can be both modelled successfully as such a two-way mixture involving either Welsh or Scottish Bronze Age sources, with a higher proportion of CNE ancestry in Northern Ireland. Higher amounts of CNE ancestry in Northern Ireland (13.5% ± 3.2% using </w:t>
      </w:r>
      <w:r w:rsidDel="00000000" w:rsidR="00000000" w:rsidRPr="00000000">
        <w:rPr>
          <w:i w:val="1"/>
          <w:rtl w:val="0"/>
        </w:rPr>
        <w:t xml:space="preserve">Scotland_LBA</w:t>
      </w:r>
      <w:r w:rsidDel="00000000" w:rsidR="00000000" w:rsidRPr="00000000">
        <w:rPr>
          <w:rtl w:val="0"/>
        </w:rPr>
        <w:t xml:space="preserve">) than in the Republic of Ireland (5.9% ± 3.8% using </w:t>
      </w:r>
      <w:r w:rsidDel="00000000" w:rsidR="00000000" w:rsidRPr="00000000">
        <w:rPr>
          <w:i w:val="1"/>
          <w:rtl w:val="0"/>
        </w:rPr>
        <w:t xml:space="preserve">Scotland_LBA</w:t>
      </w:r>
      <w:r w:rsidDel="00000000" w:rsidR="00000000" w:rsidRPr="00000000">
        <w:rPr>
          <w:rtl w:val="0"/>
        </w:rPr>
        <w:t xml:space="preserve">) may reflect the plantation of Ulster, the colonisation of Ulster by people from Britain, beginning in 1609, as suggested by previous studies</w:t>
      </w:r>
      <w:hyperlink r:id="rId184">
        <w:r w:rsidDel="00000000" w:rsidR="00000000" w:rsidRPr="00000000">
          <w:rPr>
            <w:color w:val="000000"/>
            <w:vertAlign w:val="superscript"/>
            <w:rtl w:val="0"/>
          </w:rPr>
          <w:t xml:space="preserve">56,178–180</w:t>
        </w:r>
      </w:hyperlink>
      <w:r w:rsidDel="00000000" w:rsidR="00000000" w:rsidRPr="00000000">
        <w:rPr>
          <w:rtl w:val="0"/>
        </w:rPr>
        <w:t xml:space="preserve">. We further obtain fitting models for Scotland and Orkney, where we estimate a higher amount of CNE ancestry in Orcadians (29.5% ± 2.8% using </w:t>
      </w:r>
      <w:r w:rsidDel="00000000" w:rsidR="00000000" w:rsidRPr="00000000">
        <w:rPr>
          <w:i w:val="1"/>
          <w:rtl w:val="0"/>
        </w:rPr>
        <w:t xml:space="preserve">Scotland_LBA</w:t>
      </w:r>
      <w:r w:rsidDel="00000000" w:rsidR="00000000" w:rsidRPr="00000000">
        <w:rPr>
          <w:rtl w:val="0"/>
        </w:rPr>
        <w:t xml:space="preserve">) than in Scottish (20.5% ± 3.1% using </w:t>
      </w:r>
      <w:r w:rsidDel="00000000" w:rsidR="00000000" w:rsidRPr="00000000">
        <w:rPr>
          <w:i w:val="1"/>
          <w:rtl w:val="0"/>
        </w:rPr>
        <w:t xml:space="preserve">Scotland_LBA</w:t>
      </w:r>
      <w:r w:rsidDel="00000000" w:rsidR="00000000" w:rsidRPr="00000000">
        <w:rPr>
          <w:rtl w:val="0"/>
        </w:rPr>
        <w:t xml:space="preserve">), which is probably the result of intensive Viking and later Scandinavian colonisation (Orkney was a part of Norway from 875 to 1472)</w:t>
      </w:r>
      <w:hyperlink r:id="rId185">
        <w:r w:rsidDel="00000000" w:rsidR="00000000" w:rsidRPr="00000000">
          <w:rPr>
            <w:color w:val="000000"/>
            <w:vertAlign w:val="superscript"/>
            <w:rtl w:val="0"/>
          </w:rPr>
          <w:t xml:space="preserve">56,180</w:t>
        </w:r>
      </w:hyperlink>
      <w:r w:rsidDel="00000000" w:rsidR="00000000" w:rsidRPr="00000000">
        <w:rPr>
          <w:rtl w:val="0"/>
        </w:rPr>
        <w:t xml:space="preserve">. Wales can be well modelled using Welsh Bronze Age or Iron Age populations as proxy for local British ancestry, involving only a minor CNE contribution (15.7% ± 4.8%), which supports earlier assumptions that the Welsh population indeed most closely resembles the Iron Age population of Britain</w:t>
      </w:r>
      <w:hyperlink r:id="rId186">
        <w:r w:rsidDel="00000000" w:rsidR="00000000" w:rsidRPr="00000000">
          <w:rPr>
            <w:color w:val="000000"/>
            <w:vertAlign w:val="superscript"/>
            <w:rtl w:val="0"/>
          </w:rPr>
          <w:t xml:space="preserve">56,121</w:t>
        </w:r>
      </w:hyperlink>
      <w:r w:rsidDel="00000000" w:rsidR="00000000" w:rsidRPr="00000000">
        <w:rPr>
          <w:rtl w:val="0"/>
        </w:rPr>
        <w:t xml:space="preserve">. However, strikingly, none of the two-way models generates significant fits for England (all </w:t>
      </w:r>
      <w:r w:rsidDel="00000000" w:rsidR="00000000" w:rsidRPr="00000000">
        <w:rPr>
          <w:i w:val="1"/>
          <w:rtl w:val="0"/>
        </w:rPr>
        <w:t xml:space="preserve">p</w:t>
      </w:r>
      <w:r w:rsidDel="00000000" w:rsidR="00000000" w:rsidRPr="00000000">
        <w:rPr>
          <w:rtl w:val="0"/>
        </w:rPr>
        <w:t xml:space="preserve"> &lt; 0.01), which is congruent with previous analyses rejecting a simple two-way admixture in England</w:t>
      </w:r>
      <w:hyperlink r:id="rId187">
        <w:r w:rsidDel="00000000" w:rsidR="00000000" w:rsidRPr="00000000">
          <w:rPr>
            <w:color w:val="000000"/>
            <w:vertAlign w:val="superscript"/>
            <w:rtl w:val="0"/>
          </w:rPr>
          <w:t xml:space="preserve">56,120</w:t>
        </w:r>
      </w:hyperlink>
      <w:r w:rsidDel="00000000" w:rsidR="00000000" w:rsidRPr="00000000">
        <w:rPr>
          <w:rtl w:val="0"/>
        </w:rPr>
        <w:t xml:space="preserve">. </w:t>
      </w:r>
    </w:p>
    <w:p w:rsidR="00000000" w:rsidDel="00000000" w:rsidP="00000000" w:rsidRDefault="00000000" w:rsidRPr="00000000" w14:paraId="000007F4">
      <w:pPr>
        <w:keepNext w:val="1"/>
        <w:rPr/>
      </w:pPr>
      <w:r w:rsidDel="00000000" w:rsidR="00000000" w:rsidRPr="00000000">
        <w:rPr/>
        <w:drawing>
          <wp:inline distB="0" distT="0" distL="0" distR="0">
            <wp:extent cx="5760720" cy="4947920"/>
            <wp:effectExtent b="0" l="0" r="0" t="0"/>
            <wp:docPr descr="Chart, bar chart&#10;&#10;Description automatically generated" id="121" name="image6.png"/>
            <a:graphic>
              <a:graphicData uri="http://schemas.openxmlformats.org/drawingml/2006/picture">
                <pic:pic>
                  <pic:nvPicPr>
                    <pic:cNvPr descr="Chart, bar chart&#10;&#10;Description automatically generated" id="0" name="image6.png"/>
                    <pic:cNvPicPr preferRelativeResize="0"/>
                  </pic:nvPicPr>
                  <pic:blipFill>
                    <a:blip r:embed="rId188"/>
                    <a:srcRect b="0" l="0" r="0" t="0"/>
                    <a:stretch>
                      <a:fillRect/>
                    </a:stretch>
                  </pic:blipFill>
                  <pic:spPr>
                    <a:xfrm>
                      <a:off x="0" y="0"/>
                      <a:ext cx="5760720" cy="4947920"/>
                    </a:xfrm>
                    <a:prstGeom prst="rect"/>
                    <a:ln/>
                  </pic:spPr>
                </pic:pic>
              </a:graphicData>
            </a:graphic>
          </wp:inline>
        </w:drawing>
      </w:r>
      <w:r w:rsidDel="00000000" w:rsidR="00000000" w:rsidRPr="00000000">
        <w:rPr>
          <w:rtl w:val="0"/>
        </w:rPr>
      </w:r>
    </w:p>
    <w:p w:rsidR="00000000" w:rsidDel="00000000" w:rsidP="00000000" w:rsidRDefault="00000000" w:rsidRPr="00000000" w14:paraId="000007F5">
      <w:pPr>
        <w:pBdr>
          <w:top w:space="0" w:sz="0" w:val="nil"/>
          <w:left w:space="0" w:sz="0" w:val="nil"/>
          <w:bottom w:space="0" w:sz="0" w:val="nil"/>
          <w:right w:space="0" w:sz="0" w:val="nil"/>
          <w:between w:space="0" w:sz="0" w:val="nil"/>
        </w:pBdr>
        <w:spacing w:after="200" w:line="240" w:lineRule="auto"/>
        <w:rPr>
          <w:i w:val="1"/>
          <w:sz w:val="18"/>
          <w:szCs w:val="18"/>
        </w:rPr>
      </w:pPr>
      <w:r w:rsidDel="00000000" w:rsidR="00000000" w:rsidRPr="00000000">
        <w:rPr>
          <w:b w:val="1"/>
          <w:i w:val="1"/>
          <w:sz w:val="18"/>
          <w:szCs w:val="18"/>
          <w:rtl w:val="0"/>
        </w:rPr>
        <w:t xml:space="preserve">Supplementary Figure 5.8, qpAdm analysis of present-day Britain and Ireland. </w:t>
      </w:r>
      <w:r w:rsidDel="00000000" w:rsidR="00000000" w:rsidRPr="00000000">
        <w:rPr>
          <w:i w:val="1"/>
          <w:sz w:val="18"/>
          <w:szCs w:val="18"/>
          <w:rtl w:val="0"/>
        </w:rPr>
        <w:t xml:space="preserve">Ancestry proportions of present-day British and Irish populations (n = 6) inferred using qpAdm. Target groups were modelled using two distal sources representing CNE (England_EMA_CNE) and WBI (eight English, Scottish, and Irish Bronze and Iron Age Test populations) ancestry. Opacity is determined by the corresponding qpAdm p-value. Samples sizes are indicated in Supplementary Table 5.6. Error bars represent ± 1 standard error.</w:t>
      </w:r>
    </w:p>
    <w:p w:rsidR="00000000" w:rsidDel="00000000" w:rsidP="00000000" w:rsidRDefault="00000000" w:rsidRPr="00000000" w14:paraId="000007F6">
      <w:pPr>
        <w:rPr>
          <w:color w:val="000000"/>
        </w:rPr>
      </w:pPr>
      <w:r w:rsidDel="00000000" w:rsidR="00000000" w:rsidRPr="00000000">
        <w:rPr>
          <w:rtl w:val="0"/>
        </w:rPr>
        <w:t xml:space="preserve">We therefore tested if the addition of a third source may improve model fit as observed in the ancient population modelling. Due to the temporal and geographic proximity, we used England Late Iron and Roman Age (</w:t>
      </w:r>
      <w:r w:rsidDel="00000000" w:rsidR="00000000" w:rsidRPr="00000000">
        <w:rPr>
          <w:i w:val="1"/>
          <w:rtl w:val="0"/>
        </w:rPr>
        <w:t xml:space="preserve">England_LIA</w:t>
      </w:r>
      <w:r w:rsidDel="00000000" w:rsidR="00000000" w:rsidRPr="00000000">
        <w:rPr>
          <w:rtl w:val="0"/>
        </w:rPr>
        <w:t xml:space="preserve"> + </w:t>
      </w:r>
      <w:r w:rsidDel="00000000" w:rsidR="00000000" w:rsidRPr="00000000">
        <w:rPr>
          <w:i w:val="1"/>
          <w:rtl w:val="0"/>
        </w:rPr>
        <w:t xml:space="preserve">England_IA_Roman, </w:t>
      </w:r>
      <w:r w:rsidDel="00000000" w:rsidR="00000000" w:rsidRPr="00000000">
        <w:rPr>
          <w:rtl w:val="0"/>
        </w:rPr>
        <w:t xml:space="preserve">excluding one Middle Eastern outlier, </w:t>
      </w:r>
      <w:r w:rsidDel="00000000" w:rsidR="00000000" w:rsidRPr="00000000">
        <w:rPr>
          <w:i w:val="1"/>
          <w:rtl w:val="0"/>
        </w:rPr>
        <w:t xml:space="preserve">n </w:t>
      </w:r>
      <w:r w:rsidDel="00000000" w:rsidR="00000000" w:rsidRPr="00000000">
        <w:rPr>
          <w:rtl w:val="0"/>
        </w:rPr>
        <w:t xml:space="preserve">= 27)</w:t>
      </w:r>
      <w:hyperlink r:id="rId189">
        <w:r w:rsidDel="00000000" w:rsidR="00000000" w:rsidRPr="00000000">
          <w:rPr>
            <w:color w:val="000000"/>
            <w:vertAlign w:val="superscript"/>
            <w:rtl w:val="0"/>
          </w:rPr>
          <w:t xml:space="preserve">121,137</w:t>
        </w:r>
      </w:hyperlink>
      <w:r w:rsidDel="00000000" w:rsidR="00000000" w:rsidRPr="00000000">
        <w:rPr>
          <w:rtl w:val="0"/>
        </w:rPr>
        <w:t xml:space="preserve"> as proxy for local English ancestry (</w:t>
      </w:r>
      <w:r w:rsidDel="00000000" w:rsidR="00000000" w:rsidRPr="00000000">
        <w:rPr>
          <w:i w:val="1"/>
          <w:rtl w:val="0"/>
        </w:rPr>
        <w:t xml:space="preserve">England_LIA</w:t>
      </w:r>
      <w:r w:rsidDel="00000000" w:rsidR="00000000" w:rsidRPr="00000000">
        <w:rPr>
          <w:rtl w:val="0"/>
        </w:rPr>
        <w:t xml:space="preserve">). As source of CNE ancestry we used </w:t>
      </w:r>
      <w:r w:rsidDel="00000000" w:rsidR="00000000" w:rsidRPr="00000000">
        <w:rPr>
          <w:i w:val="1"/>
          <w:color w:val="000000"/>
          <w:rtl w:val="0"/>
        </w:rPr>
        <w:t xml:space="preserve">England_EMA_CNE</w:t>
      </w:r>
      <w:r w:rsidDel="00000000" w:rsidR="00000000" w:rsidRPr="00000000">
        <w:rPr>
          <w:color w:val="000000"/>
          <w:rtl w:val="0"/>
        </w:rPr>
        <w:t xml:space="preserve">: A subset of </w:t>
      </w:r>
      <w:r w:rsidDel="00000000" w:rsidR="00000000" w:rsidRPr="00000000">
        <w:rPr>
          <w:rtl w:val="0"/>
        </w:rPr>
        <w:t xml:space="preserve">109 unrelated Early Anglo-Saxon period</w:t>
      </w:r>
      <w:r w:rsidDel="00000000" w:rsidR="00000000" w:rsidRPr="00000000">
        <w:rPr>
          <w:color w:val="000000"/>
          <w:rtl w:val="0"/>
        </w:rPr>
        <w:t xml:space="preserve"> individuals that exhibit not more than 5% WBI ancestry in our </w:t>
      </w:r>
      <w:r w:rsidDel="00000000" w:rsidR="00000000" w:rsidRPr="00000000">
        <w:rPr>
          <w:rtl w:val="0"/>
        </w:rPr>
        <w:t xml:space="preserve">s</w:t>
      </w:r>
      <w:r w:rsidDel="00000000" w:rsidR="00000000" w:rsidRPr="00000000">
        <w:rPr>
          <w:color w:val="000000"/>
          <w:rtl w:val="0"/>
        </w:rPr>
        <w:t xml:space="preserve">upervised ADMIXTURE approach. Data for </w:t>
      </w:r>
      <w:r w:rsidDel="00000000" w:rsidR="00000000" w:rsidRPr="00000000">
        <w:rPr>
          <w:rtl w:val="0"/>
        </w:rPr>
        <w:t xml:space="preserve">these </w:t>
      </w:r>
      <w:r w:rsidDel="00000000" w:rsidR="00000000" w:rsidRPr="00000000">
        <w:rPr>
          <w:color w:val="000000"/>
          <w:rtl w:val="0"/>
        </w:rPr>
        <w:t xml:space="preserve">individuals was produced using both 1240k capture and SG sequencing.</w:t>
      </w:r>
    </w:p>
    <w:p w:rsidR="00000000" w:rsidDel="00000000" w:rsidP="00000000" w:rsidRDefault="00000000" w:rsidRPr="00000000" w14:paraId="000007F7">
      <w:pPr>
        <w:rPr/>
      </w:pPr>
      <w:r w:rsidDel="00000000" w:rsidR="00000000" w:rsidRPr="00000000">
        <w:rPr>
          <w:rtl w:val="0"/>
        </w:rPr>
        <w:t xml:space="preserve">As a potential third source, we selected 163 prehistoric and historic populations from Europe, especially covering central, southern, southwestern and western European populations (Supp. Fig. 5.9). Indeed, the inclusion of a third source from continental Europe resulted in 32 cases in fitting models (Supp. Table 5.2, Supp. Table 5.7). As observed in our ancient sample, the best fitting populations across all models are from central, western, and southwestern Europe, especially France, Iberia, and the alpine countries, which supports our observation that England underwent additional introgression of southern and/or western European ancestry, consistent with previous analyses of modern and ancient mtDNA diversity</w:t>
      </w:r>
      <w:hyperlink r:id="rId190">
        <w:r w:rsidDel="00000000" w:rsidR="00000000" w:rsidRPr="00000000">
          <w:rPr>
            <w:color w:val="000000"/>
            <w:vertAlign w:val="superscript"/>
            <w:rtl w:val="0"/>
          </w:rPr>
          <w:t xml:space="preserve">181</w:t>
        </w:r>
      </w:hyperlink>
      <w:r w:rsidDel="00000000" w:rsidR="00000000" w:rsidRPr="00000000">
        <w:rPr>
          <w:rtl w:val="0"/>
        </w:rPr>
        <w:t xml:space="preserve">. The extent of this introgression varies between 8% and 50% depending on the source, with a mean of 22% +/- 9% SD (Supp. Fig 6.10). We highlight that 10 out of 32 non-rejected source populations (31%) are located in France, and twelve (38%) on the Iberian Peninsula, strongly suggesting a southwestern European origin of this ancestry.</w:t>
      </w:r>
    </w:p>
    <w:p w:rsidR="00000000" w:rsidDel="00000000" w:rsidP="00000000" w:rsidRDefault="00000000" w:rsidRPr="00000000" w14:paraId="000007F8">
      <w:pPr>
        <w:rPr/>
      </w:pPr>
      <w:r w:rsidDel="00000000" w:rsidR="00000000" w:rsidRPr="00000000">
        <w:rPr/>
        <w:drawing>
          <wp:inline distB="114300" distT="114300" distL="114300" distR="114300">
            <wp:extent cx="5760410" cy="5765800"/>
            <wp:effectExtent b="0" l="0" r="0" t="0"/>
            <wp:docPr id="122" name="image16.png"/>
            <a:graphic>
              <a:graphicData uri="http://schemas.openxmlformats.org/drawingml/2006/picture">
                <pic:pic>
                  <pic:nvPicPr>
                    <pic:cNvPr id="0" name="image16.png"/>
                    <pic:cNvPicPr preferRelativeResize="0"/>
                  </pic:nvPicPr>
                  <pic:blipFill>
                    <a:blip r:embed="rId191"/>
                    <a:srcRect b="0" l="0" r="0" t="0"/>
                    <a:stretch>
                      <a:fillRect/>
                    </a:stretch>
                  </pic:blipFill>
                  <pic:spPr>
                    <a:xfrm>
                      <a:off x="0" y="0"/>
                      <a:ext cx="5760410" cy="5765800"/>
                    </a:xfrm>
                    <a:prstGeom prst="rect"/>
                    <a:ln/>
                  </pic:spPr>
                </pic:pic>
              </a:graphicData>
            </a:graphic>
          </wp:inline>
        </w:drawing>
      </w:r>
      <w:r w:rsidDel="00000000" w:rsidR="00000000" w:rsidRPr="00000000">
        <w:rPr>
          <w:rtl w:val="0"/>
        </w:rPr>
      </w:r>
    </w:p>
    <w:p w:rsidR="00000000" w:rsidDel="00000000" w:rsidP="00000000" w:rsidRDefault="00000000" w:rsidRPr="00000000" w14:paraId="000007F9">
      <w:pPr>
        <w:spacing w:after="200" w:line="240" w:lineRule="auto"/>
        <w:rPr/>
      </w:pPr>
      <w:r w:rsidDel="00000000" w:rsidR="00000000" w:rsidRPr="00000000">
        <w:rPr>
          <w:b w:val="1"/>
          <w:i w:val="1"/>
          <w:sz w:val="18"/>
          <w:szCs w:val="18"/>
          <w:rtl w:val="0"/>
        </w:rPr>
        <w:t xml:space="preserve">Supplementary Figure 5.9, Potential sources of CWE ancestry in present-day England.</w:t>
      </w:r>
      <w:r w:rsidDel="00000000" w:rsidR="00000000" w:rsidRPr="00000000">
        <w:rPr>
          <w:i w:val="1"/>
          <w:sz w:val="18"/>
          <w:szCs w:val="18"/>
          <w:rtl w:val="0"/>
        </w:rPr>
        <w:t xml:space="preserve"> Shown is a 2D kernel density estimation of continental populations that act as feasible proxies for a three-way qpAdm admixture model of present-day England.</w:t>
      </w:r>
      <w:r w:rsidDel="00000000" w:rsidR="00000000" w:rsidRPr="00000000">
        <w:rPr>
          <w:rtl w:val="0"/>
        </w:rPr>
      </w:r>
    </w:p>
    <w:p w:rsidR="00000000" w:rsidDel="00000000" w:rsidP="00000000" w:rsidRDefault="00000000" w:rsidRPr="00000000" w14:paraId="000007FA">
      <w:pPr>
        <w:rPr/>
      </w:pPr>
      <w:bookmarkStart w:colFirst="0" w:colLast="0" w:name="_heading=h.48pi1tg" w:id="84"/>
      <w:bookmarkEnd w:id="84"/>
      <w:r w:rsidDel="00000000" w:rsidR="00000000" w:rsidRPr="00000000">
        <w:rPr/>
        <w:drawing>
          <wp:inline distB="0" distT="0" distL="0" distR="0">
            <wp:extent cx="5760720" cy="4370070"/>
            <wp:effectExtent b="0" l="0" r="0" t="0"/>
            <wp:docPr descr="Chart&#10;&#10;Description automatically generated" id="123" name="image11.png"/>
            <a:graphic>
              <a:graphicData uri="http://schemas.openxmlformats.org/drawingml/2006/picture">
                <pic:pic>
                  <pic:nvPicPr>
                    <pic:cNvPr descr="Chart&#10;&#10;Description automatically generated" id="0" name="image11.png"/>
                    <pic:cNvPicPr preferRelativeResize="0"/>
                  </pic:nvPicPr>
                  <pic:blipFill>
                    <a:blip r:embed="rId192"/>
                    <a:srcRect b="0" l="0" r="0" t="0"/>
                    <a:stretch>
                      <a:fillRect/>
                    </a:stretch>
                  </pic:blipFill>
                  <pic:spPr>
                    <a:xfrm>
                      <a:off x="0" y="0"/>
                      <a:ext cx="5760720" cy="4370070"/>
                    </a:xfrm>
                    <a:prstGeom prst="rect"/>
                    <a:ln/>
                  </pic:spPr>
                </pic:pic>
              </a:graphicData>
            </a:graphic>
          </wp:inline>
        </w:drawing>
      </w:r>
      <w:r w:rsidDel="00000000" w:rsidR="00000000" w:rsidRPr="00000000">
        <w:rPr>
          <w:rtl w:val="0"/>
        </w:rPr>
      </w:r>
    </w:p>
    <w:p w:rsidR="00000000" w:rsidDel="00000000" w:rsidP="00000000" w:rsidRDefault="00000000" w:rsidRPr="00000000" w14:paraId="000007FB">
      <w:pPr>
        <w:spacing w:after="200" w:line="240" w:lineRule="auto"/>
        <w:rPr>
          <w:i w:val="1"/>
          <w:sz w:val="18"/>
          <w:szCs w:val="18"/>
        </w:rPr>
      </w:pPr>
      <w:r w:rsidDel="00000000" w:rsidR="00000000" w:rsidRPr="00000000">
        <w:rPr>
          <w:b w:val="1"/>
          <w:i w:val="1"/>
          <w:sz w:val="18"/>
          <w:szCs w:val="18"/>
          <w:rtl w:val="0"/>
        </w:rPr>
        <w:t xml:space="preserve">Supplementary Figure 5.10, Sources of CWE ancestry in present-day England. </w:t>
      </w:r>
      <w:r w:rsidDel="00000000" w:rsidR="00000000" w:rsidRPr="00000000">
        <w:rPr>
          <w:i w:val="1"/>
          <w:sz w:val="18"/>
          <w:szCs w:val="18"/>
          <w:rtl w:val="0"/>
        </w:rPr>
        <w:t xml:space="preserve">Admixture proportions in present-day England (n = 1678) corresponding to the feasible models presented in Supp. Fig 6.5</w:t>
      </w:r>
      <w:r w:rsidDel="00000000" w:rsidR="00000000" w:rsidRPr="00000000">
        <w:rPr>
          <w:b w:val="1"/>
          <w:i w:val="1"/>
          <w:sz w:val="18"/>
          <w:szCs w:val="18"/>
          <w:rtl w:val="0"/>
        </w:rPr>
        <w:t xml:space="preserve">.</w:t>
      </w:r>
      <w:r w:rsidDel="00000000" w:rsidR="00000000" w:rsidRPr="00000000">
        <w:rPr>
          <w:i w:val="1"/>
          <w:sz w:val="18"/>
          <w:szCs w:val="18"/>
          <w:rtl w:val="0"/>
        </w:rPr>
        <w:t xml:space="preserve"> Bars are ordered according to the country of the southwestern source. Samples sizes for continental populations  are indicated in Supplementary Table 5.7. Error bars represent ± 1 standard error.</w:t>
      </w:r>
    </w:p>
    <w:p w:rsidR="00000000" w:rsidDel="00000000" w:rsidP="00000000" w:rsidRDefault="00000000" w:rsidRPr="00000000" w14:paraId="000007FC">
      <w:pPr>
        <w:pStyle w:val="Heading3"/>
        <w:rPr>
          <w:color w:val="000000"/>
        </w:rPr>
      </w:pPr>
      <w:bookmarkStart w:colFirst="0" w:colLast="0" w:name="_heading=h.2nusc19" w:id="85"/>
      <w:bookmarkEnd w:id="85"/>
      <w:r w:rsidDel="00000000" w:rsidR="00000000" w:rsidRPr="00000000">
        <w:rPr>
          <w:color w:val="000000"/>
          <w:rtl w:val="0"/>
        </w:rPr>
        <w:t xml:space="preserve">Identification of southern European-reated ancestry in England</w:t>
      </w:r>
    </w:p>
    <w:p w:rsidR="00000000" w:rsidDel="00000000" w:rsidP="00000000" w:rsidRDefault="00000000" w:rsidRPr="00000000" w14:paraId="000007FD">
      <w:pPr>
        <w:rPr/>
      </w:pPr>
      <w:bookmarkStart w:colFirst="0" w:colLast="0" w:name="_heading=h.1302m92" w:id="86"/>
      <w:bookmarkEnd w:id="86"/>
      <w:r w:rsidDel="00000000" w:rsidR="00000000" w:rsidRPr="00000000">
        <w:rPr>
          <w:rtl w:val="0"/>
        </w:rPr>
        <w:t xml:space="preserve">We then proceeded to investigate regional admixture in contemporary England. First, we considered the possibility that the presence of continental western European ancestry in present-day England was due to the resurgence of ancient English ancestry with higher proportions of western/southwestern European ancestry than </w:t>
      </w:r>
      <w:r w:rsidDel="00000000" w:rsidR="00000000" w:rsidRPr="00000000">
        <w:rPr>
          <w:i w:val="1"/>
          <w:rtl w:val="0"/>
        </w:rPr>
        <w:t xml:space="preserve">England_LIA</w:t>
      </w:r>
      <w:r w:rsidDel="00000000" w:rsidR="00000000" w:rsidRPr="00000000">
        <w:rPr>
          <w:rtl w:val="0"/>
        </w:rPr>
        <w:t xml:space="preserve">. To assess whether continental western European ancestry entered to a large extent after the Iron Age and Roman period or was already present during earlier times, we modelled 23 sampling regions from the PoBI project in </w:t>
      </w:r>
      <w:r w:rsidDel="00000000" w:rsidR="00000000" w:rsidRPr="00000000">
        <w:rPr>
          <w:i w:val="1"/>
          <w:rtl w:val="0"/>
        </w:rPr>
        <w:t xml:space="preserve">qpAdm</w:t>
      </w:r>
      <w:r w:rsidDel="00000000" w:rsidR="00000000" w:rsidRPr="00000000">
        <w:rPr>
          <w:rtl w:val="0"/>
        </w:rPr>
        <w:t xml:space="preserve"> using either a two-way (</w:t>
      </w:r>
      <w:r w:rsidDel="00000000" w:rsidR="00000000" w:rsidRPr="00000000">
        <w:rPr>
          <w:i w:val="1"/>
          <w:rtl w:val="0"/>
        </w:rPr>
        <w:t xml:space="preserve">pre-EMA England</w:t>
      </w:r>
      <w:r w:rsidDel="00000000" w:rsidR="00000000" w:rsidRPr="00000000">
        <w:rPr>
          <w:rtl w:val="0"/>
        </w:rPr>
        <w:t xml:space="preserve"> + </w:t>
      </w:r>
      <w:r w:rsidDel="00000000" w:rsidR="00000000" w:rsidRPr="00000000">
        <w:rPr>
          <w:i w:val="1"/>
          <w:rtl w:val="0"/>
        </w:rPr>
        <w:t xml:space="preserve">CNE</w:t>
      </w:r>
      <w:r w:rsidDel="00000000" w:rsidR="00000000" w:rsidRPr="00000000">
        <w:rPr>
          <w:rtl w:val="0"/>
        </w:rPr>
        <w:t xml:space="preserve">) or three-way model (</w:t>
      </w:r>
      <w:r w:rsidDel="00000000" w:rsidR="00000000" w:rsidRPr="00000000">
        <w:rPr>
          <w:i w:val="1"/>
          <w:rtl w:val="0"/>
        </w:rPr>
        <w:t xml:space="preserve">pre-EMA England</w:t>
      </w:r>
      <w:r w:rsidDel="00000000" w:rsidR="00000000" w:rsidRPr="00000000">
        <w:rPr>
          <w:rtl w:val="0"/>
        </w:rPr>
        <w:t xml:space="preserve"> + </w:t>
      </w:r>
      <w:r w:rsidDel="00000000" w:rsidR="00000000" w:rsidRPr="00000000">
        <w:rPr>
          <w:i w:val="1"/>
          <w:rtl w:val="0"/>
        </w:rPr>
        <w:t xml:space="preserve">CNE </w:t>
      </w:r>
      <w:r w:rsidDel="00000000" w:rsidR="00000000" w:rsidRPr="00000000">
        <w:rPr>
          <w:rtl w:val="0"/>
        </w:rPr>
        <w:t xml:space="preserve">+ </w:t>
      </w:r>
      <w:r w:rsidDel="00000000" w:rsidR="00000000" w:rsidRPr="00000000">
        <w:rPr>
          <w:i w:val="1"/>
          <w:rtl w:val="0"/>
        </w:rPr>
        <w:t xml:space="preserve">France_IA</w:t>
      </w:r>
      <w:r w:rsidDel="00000000" w:rsidR="00000000" w:rsidRPr="00000000">
        <w:rPr>
          <w:rtl w:val="0"/>
        </w:rPr>
        <w:t xml:space="preserve">) (Supp. Fig. 5.11, Supp. Table 5.8). Using Neolithic, Bronze, or Iron Age English populations as proxy for local English ancestry, we do not find any two-way model that provides a fit with </w:t>
      </w:r>
      <w:r w:rsidDel="00000000" w:rsidR="00000000" w:rsidRPr="00000000">
        <w:rPr>
          <w:i w:val="1"/>
          <w:rtl w:val="0"/>
        </w:rPr>
        <w:t xml:space="preserve">p</w:t>
      </w:r>
      <w:r w:rsidDel="00000000" w:rsidR="00000000" w:rsidRPr="00000000">
        <w:rPr>
          <w:rtl w:val="0"/>
        </w:rPr>
        <w:t xml:space="preserve"> &gt; 0.01 (Supp. Fig. 5.11). Only using Roman period individuals, we obtain for Cumbria a model with a </w:t>
      </w:r>
      <w:r w:rsidDel="00000000" w:rsidR="00000000" w:rsidRPr="00000000">
        <w:rPr>
          <w:i w:val="1"/>
          <w:rtl w:val="0"/>
        </w:rPr>
        <w:t xml:space="preserve">p</w:t>
      </w:r>
      <w:r w:rsidDel="00000000" w:rsidR="00000000" w:rsidRPr="00000000">
        <w:rPr>
          <w:rtl w:val="0"/>
        </w:rPr>
        <w:t xml:space="preserve">-value &gt; 0.01. In contrast, applying a three-way model with </w:t>
      </w:r>
      <w:r w:rsidDel="00000000" w:rsidR="00000000" w:rsidRPr="00000000">
        <w:rPr>
          <w:i w:val="1"/>
          <w:rtl w:val="0"/>
        </w:rPr>
        <w:t xml:space="preserve">France_IA </w:t>
      </w:r>
      <w:r w:rsidDel="00000000" w:rsidR="00000000" w:rsidRPr="00000000">
        <w:rPr>
          <w:rtl w:val="0"/>
        </w:rPr>
        <w:t xml:space="preserve">as an additional third source we were able to model all 23 English regions successfully (</w:t>
      </w:r>
      <w:r w:rsidDel="00000000" w:rsidR="00000000" w:rsidRPr="00000000">
        <w:rPr>
          <w:i w:val="1"/>
          <w:rtl w:val="0"/>
        </w:rPr>
        <w:t xml:space="preserve">p</w:t>
      </w:r>
      <w:r w:rsidDel="00000000" w:rsidR="00000000" w:rsidRPr="00000000">
        <w:rPr>
          <w:rtl w:val="0"/>
        </w:rPr>
        <w:t xml:space="preserve"> &gt; 0.05) using </w:t>
      </w:r>
      <w:r w:rsidDel="00000000" w:rsidR="00000000" w:rsidRPr="00000000">
        <w:rPr>
          <w:i w:val="1"/>
          <w:rtl w:val="0"/>
        </w:rPr>
        <w:t xml:space="preserve">England_LIA </w:t>
      </w:r>
      <w:r w:rsidDel="00000000" w:rsidR="00000000" w:rsidRPr="00000000">
        <w:rPr>
          <w:rtl w:val="0"/>
        </w:rPr>
        <w:t xml:space="preserve">or </w:t>
      </w:r>
      <w:r w:rsidDel="00000000" w:rsidR="00000000" w:rsidRPr="00000000">
        <w:rPr>
          <w:i w:val="1"/>
          <w:rtl w:val="0"/>
        </w:rPr>
        <w:t xml:space="preserve">England_IA_Roman </w:t>
      </w:r>
      <w:r w:rsidDel="00000000" w:rsidR="00000000" w:rsidRPr="00000000">
        <w:rPr>
          <w:rtl w:val="0"/>
        </w:rPr>
        <w:t xml:space="preserve">individuals (Supp. Fig. 5.11). Noteworthy, the number of fitting models reduces with the age of the chosen English populations. Using Iron Age/Roman period individuals as a proxy, we were able to obtain 83 fitting (</w:t>
      </w:r>
      <w:r w:rsidDel="00000000" w:rsidR="00000000" w:rsidRPr="00000000">
        <w:rPr>
          <w:i w:val="1"/>
          <w:rtl w:val="0"/>
        </w:rPr>
        <w:t xml:space="preserve">p</w:t>
      </w:r>
      <w:r w:rsidDel="00000000" w:rsidR="00000000" w:rsidRPr="00000000">
        <w:rPr>
          <w:rtl w:val="0"/>
        </w:rPr>
        <w:t xml:space="preserve"> &gt; 0.05) three-way models out of a total of 115. Bronze Age individuals only produced fitting models in 38 out of 92 cases. Finally, using Neolithic individuals as proxy, neither one of the 23 two-way nor one of the 23 three-way models produced a significant fit. This indicates that the prevalence of western European ancestry observed in present-day English cannot be explained by a resurgence of ancient ancestry carrying more western European ancestry than the English population at the transition from the Iron to the Early Middle Ages, since none of the preceding ancient English populations harboured sufficient proportions of this specific southern European ancestry. We further explored this hypothesis by assessing the effect of geographical stratification. To do this, we tested whether ten present-day PoBI sampling regions for which Iron Age data was available, could be modelled as a simple two-way admixture between the respective local Iron Age population and the </w:t>
      </w:r>
      <w:r w:rsidDel="00000000" w:rsidR="00000000" w:rsidRPr="00000000">
        <w:rPr>
          <w:i w:val="1"/>
          <w:rtl w:val="0"/>
        </w:rPr>
        <w:t xml:space="preserve">England_EMA_CNE </w:t>
      </w:r>
      <w:r w:rsidDel="00000000" w:rsidR="00000000" w:rsidRPr="00000000">
        <w:rPr>
          <w:rtl w:val="0"/>
        </w:rPr>
        <w:t xml:space="preserve">population. For none of the ten tested populations this was the case (Supp.Fig. 5.12, Supp. Table 5.9). We furthermore highlight that not only do the preceding English populations exhibit insufficient proportions of southern European ancestry, but the southern European ancestry found in present-day English seemingly differs from the one introduced during the Neolithic. In a three-way </w:t>
      </w:r>
      <w:r w:rsidDel="00000000" w:rsidR="00000000" w:rsidRPr="00000000">
        <w:rPr>
          <w:i w:val="1"/>
          <w:rtl w:val="0"/>
        </w:rPr>
        <w:t xml:space="preserve">qpAdm </w:t>
      </w:r>
      <w:r w:rsidDel="00000000" w:rsidR="00000000" w:rsidRPr="00000000">
        <w:rPr>
          <w:rtl w:val="0"/>
        </w:rPr>
        <w:t xml:space="preserve">setup, modelling present-day England as mixture between </w:t>
      </w:r>
      <w:r w:rsidDel="00000000" w:rsidR="00000000" w:rsidRPr="00000000">
        <w:rPr>
          <w:i w:val="1"/>
          <w:rtl w:val="0"/>
        </w:rPr>
        <w:t xml:space="preserve">England_IA</w:t>
      </w:r>
      <w:r w:rsidDel="00000000" w:rsidR="00000000" w:rsidRPr="00000000">
        <w:rPr>
          <w:rtl w:val="0"/>
        </w:rPr>
        <w:t xml:space="preserve">, </w:t>
      </w:r>
      <w:r w:rsidDel="00000000" w:rsidR="00000000" w:rsidRPr="00000000">
        <w:rPr>
          <w:i w:val="1"/>
          <w:rtl w:val="0"/>
        </w:rPr>
        <w:t xml:space="preserve">England_EMA_CNE</w:t>
      </w:r>
      <w:r w:rsidDel="00000000" w:rsidR="00000000" w:rsidRPr="00000000">
        <w:rPr>
          <w:rtl w:val="0"/>
        </w:rPr>
        <w:t xml:space="preserve">, and a British-Irish Neolithic source (</w:t>
      </w:r>
      <w:r w:rsidDel="00000000" w:rsidR="00000000" w:rsidRPr="00000000">
        <w:rPr>
          <w:i w:val="1"/>
          <w:rtl w:val="0"/>
        </w:rPr>
        <w:t xml:space="preserve">England_N</w:t>
      </w:r>
      <w:r w:rsidDel="00000000" w:rsidR="00000000" w:rsidRPr="00000000">
        <w:rPr>
          <w:rtl w:val="0"/>
        </w:rPr>
        <w:t xml:space="preserve">, </w:t>
      </w:r>
      <w:r w:rsidDel="00000000" w:rsidR="00000000" w:rsidRPr="00000000">
        <w:rPr>
          <w:i w:val="1"/>
          <w:rtl w:val="0"/>
        </w:rPr>
        <w:t xml:space="preserve">Wales_N</w:t>
      </w:r>
      <w:r w:rsidDel="00000000" w:rsidR="00000000" w:rsidRPr="00000000">
        <w:rPr>
          <w:rtl w:val="0"/>
        </w:rPr>
        <w:t xml:space="preserve">, </w:t>
      </w:r>
      <w:r w:rsidDel="00000000" w:rsidR="00000000" w:rsidRPr="00000000">
        <w:rPr>
          <w:i w:val="1"/>
          <w:rtl w:val="0"/>
        </w:rPr>
        <w:t xml:space="preserve">Scotland_N</w:t>
      </w:r>
      <w:r w:rsidDel="00000000" w:rsidR="00000000" w:rsidRPr="00000000">
        <w:rPr>
          <w:rtl w:val="0"/>
        </w:rPr>
        <w:t xml:space="preserve">, </w:t>
      </w:r>
      <w:r w:rsidDel="00000000" w:rsidR="00000000" w:rsidRPr="00000000">
        <w:rPr>
          <w:i w:val="1"/>
          <w:rtl w:val="0"/>
        </w:rPr>
        <w:t xml:space="preserve">Ireland_MN.SG</w:t>
      </w:r>
      <w:r w:rsidDel="00000000" w:rsidR="00000000" w:rsidRPr="00000000">
        <w:rPr>
          <w:rtl w:val="0"/>
        </w:rPr>
        <w:t xml:space="preserve">), each of the four models gets strongly rejected (p &lt; 7.86e-20, p &lt; 2.34e-6, p &lt; 3.95e-16, and 1.63e-19), disagreeing with the hypothesis that southern European ancestry resurged from refugia within the Britain or Ireland. Rather this shows that modern English harbour a distinctive type of southern European ancestry not present in Early Neolithic British farmers.</w:t>
      </w:r>
    </w:p>
    <w:p w:rsidR="00000000" w:rsidDel="00000000" w:rsidP="00000000" w:rsidRDefault="00000000" w:rsidRPr="00000000" w14:paraId="000007FE">
      <w:pPr>
        <w:rPr/>
      </w:pPr>
      <w:bookmarkStart w:colFirst="0" w:colLast="0" w:name="_heading=h.3mzq4wv" w:id="87"/>
      <w:bookmarkEnd w:id="87"/>
      <w:r w:rsidDel="00000000" w:rsidR="00000000" w:rsidRPr="00000000">
        <w:rPr/>
        <w:drawing>
          <wp:inline distB="0" distT="0" distL="0" distR="0">
            <wp:extent cx="5760720" cy="4398645"/>
            <wp:effectExtent b="0" l="0" r="0" t="0"/>
            <wp:docPr descr="Chart&#10;&#10;Description automatically generated" id="158" name="image39.png"/>
            <a:graphic>
              <a:graphicData uri="http://schemas.openxmlformats.org/drawingml/2006/picture">
                <pic:pic>
                  <pic:nvPicPr>
                    <pic:cNvPr descr="Chart&#10;&#10;Description automatically generated" id="0" name="image39.png"/>
                    <pic:cNvPicPr preferRelativeResize="0"/>
                  </pic:nvPicPr>
                  <pic:blipFill>
                    <a:blip r:embed="rId193"/>
                    <a:srcRect b="0" l="0" r="0" t="0"/>
                    <a:stretch>
                      <a:fillRect/>
                    </a:stretch>
                  </pic:blipFill>
                  <pic:spPr>
                    <a:xfrm>
                      <a:off x="0" y="0"/>
                      <a:ext cx="5760720" cy="4398645"/>
                    </a:xfrm>
                    <a:prstGeom prst="rect"/>
                    <a:ln/>
                  </pic:spPr>
                </pic:pic>
              </a:graphicData>
            </a:graphic>
          </wp:inline>
        </w:drawing>
      </w:r>
      <w:r w:rsidDel="00000000" w:rsidR="00000000" w:rsidRPr="00000000">
        <w:rPr>
          <w:rtl w:val="0"/>
        </w:rPr>
      </w:r>
    </w:p>
    <w:p w:rsidR="00000000" w:rsidDel="00000000" w:rsidP="00000000" w:rsidRDefault="00000000" w:rsidRPr="00000000" w14:paraId="000007FF">
      <w:pPr>
        <w:spacing w:after="200" w:line="240" w:lineRule="auto"/>
        <w:rPr/>
      </w:pPr>
      <w:r w:rsidDel="00000000" w:rsidR="00000000" w:rsidRPr="00000000">
        <w:rPr>
          <w:b w:val="1"/>
          <w:i w:val="1"/>
          <w:sz w:val="18"/>
          <w:szCs w:val="18"/>
          <w:rtl w:val="0"/>
        </w:rPr>
        <w:t xml:space="preserve">Supplementary Figure 5.11, Modelling present-day English regions (n = 23) as two-way and three-way admixtures. </w:t>
      </w:r>
      <w:r w:rsidDel="00000000" w:rsidR="00000000" w:rsidRPr="00000000">
        <w:rPr>
          <w:i w:val="1"/>
          <w:sz w:val="18"/>
          <w:szCs w:val="18"/>
          <w:rtl w:val="0"/>
        </w:rPr>
        <w:t xml:space="preserve">The source for local English ancestry iterates through 10 ancient English populations. The distributions of p-values obtained from qpAdm are visualised as boxplots. Bounds of the Box represent the 25</w:t>
      </w:r>
      <w:r w:rsidDel="00000000" w:rsidR="00000000" w:rsidRPr="00000000">
        <w:rPr>
          <w:i w:val="1"/>
          <w:sz w:val="18"/>
          <w:szCs w:val="18"/>
          <w:vertAlign w:val="superscript"/>
          <w:rtl w:val="0"/>
        </w:rPr>
        <w:t xml:space="preserve">th</w:t>
      </w:r>
      <w:r w:rsidDel="00000000" w:rsidR="00000000" w:rsidRPr="00000000">
        <w:rPr>
          <w:i w:val="1"/>
          <w:sz w:val="18"/>
          <w:szCs w:val="18"/>
          <w:rtl w:val="0"/>
        </w:rPr>
        <w:t xml:space="preserve"> and 75</w:t>
      </w:r>
      <w:r w:rsidDel="00000000" w:rsidR="00000000" w:rsidRPr="00000000">
        <w:rPr>
          <w:i w:val="1"/>
          <w:sz w:val="18"/>
          <w:szCs w:val="18"/>
          <w:vertAlign w:val="superscript"/>
          <w:rtl w:val="0"/>
        </w:rPr>
        <w:t xml:space="preserve">th</w:t>
      </w:r>
      <w:r w:rsidDel="00000000" w:rsidR="00000000" w:rsidRPr="00000000">
        <w:rPr>
          <w:i w:val="1"/>
          <w:sz w:val="18"/>
          <w:szCs w:val="18"/>
          <w:rtl w:val="0"/>
        </w:rPr>
        <w:t xml:space="preserve"> Percentile. The centre represents the median. Whiskers represent the smallest value greater than the 25</w:t>
      </w:r>
      <w:r w:rsidDel="00000000" w:rsidR="00000000" w:rsidRPr="00000000">
        <w:rPr>
          <w:i w:val="1"/>
          <w:sz w:val="18"/>
          <w:szCs w:val="18"/>
          <w:vertAlign w:val="superscript"/>
          <w:rtl w:val="0"/>
        </w:rPr>
        <w:t xml:space="preserve">th</w:t>
      </w:r>
      <w:r w:rsidDel="00000000" w:rsidR="00000000" w:rsidRPr="00000000">
        <w:rPr>
          <w:i w:val="1"/>
          <w:sz w:val="18"/>
          <w:szCs w:val="18"/>
          <w:rtl w:val="0"/>
        </w:rPr>
        <w:t xml:space="preserve"> Percentile minus 1.5 times the interquartile range and largest value less than the 75</w:t>
      </w:r>
      <w:r w:rsidDel="00000000" w:rsidR="00000000" w:rsidRPr="00000000">
        <w:rPr>
          <w:i w:val="1"/>
          <w:sz w:val="18"/>
          <w:szCs w:val="18"/>
          <w:vertAlign w:val="superscript"/>
          <w:rtl w:val="0"/>
        </w:rPr>
        <w:t xml:space="preserve">th</w:t>
      </w:r>
      <w:r w:rsidDel="00000000" w:rsidR="00000000" w:rsidRPr="00000000">
        <w:rPr>
          <w:i w:val="1"/>
          <w:sz w:val="18"/>
          <w:szCs w:val="18"/>
          <w:rtl w:val="0"/>
        </w:rPr>
        <w:t xml:space="preserve"> Percentile plus 1.5 times the interquartile range, respectively. Outliers present the minimum and maximum values in the data. Samples sizes are indicated in Supplementary Table 5.8.</w:t>
      </w:r>
      <w:r w:rsidDel="00000000" w:rsidR="00000000" w:rsidRPr="00000000">
        <w:rPr>
          <w:rtl w:val="0"/>
        </w:rPr>
      </w:r>
    </w:p>
    <w:p w:rsidR="00000000" w:rsidDel="00000000" w:rsidP="00000000" w:rsidRDefault="00000000" w:rsidRPr="00000000" w14:paraId="00000800">
      <w:pPr>
        <w:jc w:val="center"/>
        <w:rPr/>
      </w:pPr>
      <w:bookmarkStart w:colFirst="0" w:colLast="0" w:name="_heading=h.2250f4o" w:id="88"/>
      <w:bookmarkEnd w:id="88"/>
      <w:r w:rsidDel="00000000" w:rsidR="00000000" w:rsidRPr="00000000">
        <w:rPr/>
        <w:drawing>
          <wp:inline distB="114300" distT="114300" distL="114300" distR="114300">
            <wp:extent cx="4169281" cy="5258118"/>
            <wp:effectExtent b="0" l="0" r="0" t="0"/>
            <wp:docPr id="161" name="image49.png"/>
            <a:graphic>
              <a:graphicData uri="http://schemas.openxmlformats.org/drawingml/2006/picture">
                <pic:pic>
                  <pic:nvPicPr>
                    <pic:cNvPr id="0" name="image49.png"/>
                    <pic:cNvPicPr preferRelativeResize="0"/>
                  </pic:nvPicPr>
                  <pic:blipFill>
                    <a:blip r:embed="rId194"/>
                    <a:srcRect b="0" l="0" r="0" t="0"/>
                    <a:stretch>
                      <a:fillRect/>
                    </a:stretch>
                  </pic:blipFill>
                  <pic:spPr>
                    <a:xfrm>
                      <a:off x="0" y="0"/>
                      <a:ext cx="4169281" cy="5258118"/>
                    </a:xfrm>
                    <a:prstGeom prst="rect"/>
                    <a:ln/>
                  </pic:spPr>
                </pic:pic>
              </a:graphicData>
            </a:graphic>
          </wp:inline>
        </w:drawing>
      </w:r>
      <w:r w:rsidDel="00000000" w:rsidR="00000000" w:rsidRPr="00000000">
        <w:rPr>
          <w:rtl w:val="0"/>
        </w:rPr>
      </w:r>
    </w:p>
    <w:p w:rsidR="00000000" w:rsidDel="00000000" w:rsidP="00000000" w:rsidRDefault="00000000" w:rsidRPr="00000000" w14:paraId="00000801">
      <w:pPr>
        <w:spacing w:after="200" w:line="240" w:lineRule="auto"/>
        <w:rPr/>
      </w:pPr>
      <w:r w:rsidDel="00000000" w:rsidR="00000000" w:rsidRPr="00000000">
        <w:rPr>
          <w:b w:val="1"/>
          <w:i w:val="1"/>
          <w:sz w:val="18"/>
          <w:szCs w:val="18"/>
          <w:rtl w:val="0"/>
        </w:rPr>
        <w:t xml:space="preserve">Supplementary Figure 5.12. qpAdm analysis using region-specific sources.</w:t>
      </w:r>
      <w:r w:rsidDel="00000000" w:rsidR="00000000" w:rsidRPr="00000000">
        <w:rPr>
          <w:i w:val="1"/>
          <w:sz w:val="18"/>
          <w:szCs w:val="18"/>
          <w:rtl w:val="0"/>
        </w:rPr>
        <w:t xml:space="preserve"> P-values and admixture estimates obtained from modelling present-day English regions as a two-way admixture between their corresponding local Iron Age population and England_EMA_CNE using qpAdm. Samples sizes for local Iron Age populations are indicated in Supplementary Table 5.9.</w:t>
      </w:r>
      <w:r w:rsidDel="00000000" w:rsidR="00000000" w:rsidRPr="00000000">
        <w:rPr>
          <w:rtl w:val="0"/>
        </w:rPr>
      </w:r>
    </w:p>
    <w:p w:rsidR="00000000" w:rsidDel="00000000" w:rsidP="00000000" w:rsidRDefault="00000000" w:rsidRPr="00000000" w14:paraId="00000802">
      <w:pPr>
        <w:rPr/>
      </w:pPr>
      <w:bookmarkStart w:colFirst="0" w:colLast="0" w:name="_heading=h.haapch" w:id="89"/>
      <w:bookmarkEnd w:id="89"/>
      <w:r w:rsidDel="00000000" w:rsidR="00000000" w:rsidRPr="00000000">
        <w:rPr>
          <w:rtl w:val="0"/>
        </w:rPr>
        <w:t xml:space="preserve">This observation is congruent with observations made by Patterson et al. 2021</w:t>
      </w:r>
      <w:hyperlink r:id="rId195">
        <w:r w:rsidDel="00000000" w:rsidR="00000000" w:rsidRPr="00000000">
          <w:rPr>
            <w:color w:val="000000"/>
            <w:vertAlign w:val="superscript"/>
            <w:rtl w:val="0"/>
          </w:rPr>
          <w:t xml:space="preserve">81</w:t>
        </w:r>
      </w:hyperlink>
      <w:r w:rsidDel="00000000" w:rsidR="00000000" w:rsidRPr="00000000">
        <w:rPr>
          <w:rtl w:val="0"/>
        </w:rPr>
        <w:t xml:space="preserve">. They demonstrated that Early European Farmer (</w:t>
      </w:r>
      <w:r w:rsidDel="00000000" w:rsidR="00000000" w:rsidRPr="00000000">
        <w:rPr>
          <w:i w:val="1"/>
          <w:rtl w:val="0"/>
        </w:rPr>
        <w:t xml:space="preserve">EEF</w:t>
      </w:r>
      <w:r w:rsidDel="00000000" w:rsidR="00000000" w:rsidRPr="00000000">
        <w:rPr>
          <w:rtl w:val="0"/>
        </w:rPr>
        <w:t xml:space="preserve">) ancestry increased in southern Britain (England and Wales) due to incorporation of migrants who arrived between 1000 and 875 BCE and over previous centuries, and who were genetically most similar to ancient individuals from France. To better compare the results of this study with our observations, we reproduced the approach of decomposing ancient English ancestry into three ancestral sources (Balkan Neolithic farmers with minimal hunter–gatherer admixture (</w:t>
      </w:r>
      <w:r w:rsidDel="00000000" w:rsidR="00000000" w:rsidRPr="00000000">
        <w:rPr>
          <w:i w:val="1"/>
          <w:rtl w:val="0"/>
        </w:rPr>
        <w:t xml:space="preserve">EEF</w:t>
      </w:r>
      <w:r w:rsidDel="00000000" w:rsidR="00000000" w:rsidRPr="00000000">
        <w:rPr>
          <w:rtl w:val="0"/>
        </w:rPr>
        <w:t xml:space="preserve">), Yamnaya and Poltavka pastoralists (</w:t>
      </w:r>
      <w:r w:rsidDel="00000000" w:rsidR="00000000" w:rsidRPr="00000000">
        <w:rPr>
          <w:i w:val="1"/>
          <w:rtl w:val="0"/>
        </w:rPr>
        <w:t xml:space="preserve">Steppe</w:t>
      </w:r>
      <w:r w:rsidDel="00000000" w:rsidR="00000000" w:rsidRPr="00000000">
        <w:rPr>
          <w:rtl w:val="0"/>
        </w:rPr>
        <w:t xml:space="preserve">), and 18 Mesolithic hunter–gatherers from across western Europe (</w:t>
      </w:r>
      <w:r w:rsidDel="00000000" w:rsidR="00000000" w:rsidRPr="00000000">
        <w:rPr>
          <w:i w:val="1"/>
          <w:rtl w:val="0"/>
        </w:rPr>
        <w:t xml:space="preserve">WHG</w:t>
      </w:r>
      <w:r w:rsidDel="00000000" w:rsidR="00000000" w:rsidRPr="00000000">
        <w:rPr>
          <w:rtl w:val="0"/>
        </w:rPr>
        <w:t xml:space="preserve">)) using the same set of right and outgroup populations (Supp. Table 5.10).</w:t>
      </w:r>
    </w:p>
    <w:p w:rsidR="00000000" w:rsidDel="00000000" w:rsidP="00000000" w:rsidRDefault="00000000" w:rsidRPr="00000000" w14:paraId="00000803">
      <w:pPr>
        <w:rPr/>
      </w:pPr>
      <w:bookmarkStart w:colFirst="0" w:colLast="0" w:name="_heading=h.319y80a" w:id="90"/>
      <w:bookmarkEnd w:id="90"/>
      <w:r w:rsidDel="00000000" w:rsidR="00000000" w:rsidRPr="00000000">
        <w:rPr>
          <w:rtl w:val="0"/>
        </w:rPr>
        <w:t xml:space="preserve">Similar to the results of Patterson et al. 2021, we observe a marked increase of </w:t>
      </w:r>
      <w:r w:rsidDel="00000000" w:rsidR="00000000" w:rsidRPr="00000000">
        <w:rPr>
          <w:i w:val="1"/>
          <w:rtl w:val="0"/>
        </w:rPr>
        <w:t xml:space="preserve">EEF </w:t>
      </w:r>
      <w:r w:rsidDel="00000000" w:rsidR="00000000" w:rsidRPr="00000000">
        <w:rPr>
          <w:rtl w:val="0"/>
        </w:rPr>
        <w:t xml:space="preserve">ancestry in England (Supp. Fig. 5.13, Supp. Fig. 5.14a) (but not Scotland (Supp. Fig. 5.14a)) during the Bronze Age, reaching a local maximum during the Iron Age, which is consistent with prolonged migration from southern Europe into southern Britain during the Middle and Late Bronze Age (Supp.Fig. 5.13, Supp. Fig. 5.14a, Supp. Table 5.11). In contrast, with the beginning of the Early Middle Ages, we note a drop in </w:t>
      </w:r>
      <w:r w:rsidDel="00000000" w:rsidR="00000000" w:rsidRPr="00000000">
        <w:rPr>
          <w:i w:val="1"/>
          <w:rtl w:val="0"/>
        </w:rPr>
        <w:t xml:space="preserve">EEF </w:t>
      </w:r>
      <w:r w:rsidDel="00000000" w:rsidR="00000000" w:rsidRPr="00000000">
        <w:rPr>
          <w:rtl w:val="0"/>
        </w:rPr>
        <w:t xml:space="preserve">ancestry that reflects the introduction of </w:t>
      </w:r>
      <w:r w:rsidDel="00000000" w:rsidR="00000000" w:rsidRPr="00000000">
        <w:rPr>
          <w:i w:val="1"/>
          <w:rtl w:val="0"/>
        </w:rPr>
        <w:t xml:space="preserve">Steppe- </w:t>
      </w:r>
      <w:r w:rsidDel="00000000" w:rsidR="00000000" w:rsidRPr="00000000">
        <w:rPr>
          <w:rtl w:val="0"/>
        </w:rPr>
        <w:t xml:space="preserve">and </w:t>
      </w:r>
      <w:r w:rsidDel="00000000" w:rsidR="00000000" w:rsidRPr="00000000">
        <w:rPr>
          <w:i w:val="1"/>
          <w:rtl w:val="0"/>
        </w:rPr>
        <w:t xml:space="preserve">WHG</w:t>
      </w:r>
      <w:r w:rsidDel="00000000" w:rsidR="00000000" w:rsidRPr="00000000">
        <w:rPr>
          <w:rtl w:val="0"/>
        </w:rPr>
        <w:t xml:space="preserve">-enriched CNE ancestry. During this time, the English population closely resembles Iron Age and medieval populations from northern Germany and Scandinavia (Supp. Fig. 5.14b, Supp. Table 5.12), reflecting the demographic changes illustrated with previous PCA, </w:t>
      </w:r>
      <w:r w:rsidDel="00000000" w:rsidR="00000000" w:rsidRPr="00000000">
        <w:rPr>
          <w:i w:val="1"/>
          <w:rtl w:val="0"/>
        </w:rPr>
        <w:t xml:space="preserve">F</w:t>
      </w:r>
      <w:r w:rsidDel="00000000" w:rsidR="00000000" w:rsidRPr="00000000">
        <w:rPr>
          <w:vertAlign w:val="subscript"/>
          <w:rtl w:val="0"/>
        </w:rPr>
        <w:t xml:space="preserve">4</w:t>
      </w:r>
      <w:r w:rsidDel="00000000" w:rsidR="00000000" w:rsidRPr="00000000">
        <w:rPr>
          <w:rtl w:val="0"/>
        </w:rPr>
        <w:t xml:space="preserve">, ADMIXTURE analyses. This depletion of </w:t>
      </w:r>
      <w:r w:rsidDel="00000000" w:rsidR="00000000" w:rsidRPr="00000000">
        <w:rPr>
          <w:i w:val="1"/>
          <w:rtl w:val="0"/>
        </w:rPr>
        <w:t xml:space="preserve">EEF </w:t>
      </w:r>
      <w:r w:rsidDel="00000000" w:rsidR="00000000" w:rsidRPr="00000000">
        <w:rPr>
          <w:rtl w:val="0"/>
        </w:rPr>
        <w:t xml:space="preserve">ancestry continued at least during the following Viking period corresponding to the Scandinavian origin of migrants during this time period. However, when analysing present-day English (1000 Genomes samples from Cornwall and Kent), we infer that those present-day individuals on the other hand harbour higher levels of </w:t>
      </w:r>
      <w:r w:rsidDel="00000000" w:rsidR="00000000" w:rsidRPr="00000000">
        <w:rPr>
          <w:i w:val="1"/>
          <w:rtl w:val="0"/>
        </w:rPr>
        <w:t xml:space="preserve">EEF </w:t>
      </w:r>
      <w:r w:rsidDel="00000000" w:rsidR="00000000" w:rsidRPr="00000000">
        <w:rPr>
          <w:rtl w:val="0"/>
        </w:rPr>
        <w:t xml:space="preserve">ancestry than the population of the preceding Early Middle Ages (Supp. Fig. 5.13, Supp. Fig. 5.14a) but lower levels of WHG ancestry (Supp. Fig. 5.14b). In fact, we observe in present-day English individuals the highest average proportion of </w:t>
      </w:r>
      <w:r w:rsidDel="00000000" w:rsidR="00000000" w:rsidRPr="00000000">
        <w:rPr>
          <w:i w:val="1"/>
          <w:rtl w:val="0"/>
        </w:rPr>
        <w:t xml:space="preserve">EEF </w:t>
      </w:r>
      <w:r w:rsidDel="00000000" w:rsidR="00000000" w:rsidRPr="00000000">
        <w:rPr>
          <w:rtl w:val="0"/>
        </w:rPr>
        <w:t xml:space="preserve">ancestry since the end of the Neolithic. We therefore conclude that that </w:t>
      </w:r>
      <w:r w:rsidDel="00000000" w:rsidR="00000000" w:rsidRPr="00000000">
        <w:rPr>
          <w:i w:val="1"/>
          <w:rtl w:val="0"/>
        </w:rPr>
        <w:t xml:space="preserve">EEF </w:t>
      </w:r>
      <w:r w:rsidDel="00000000" w:rsidR="00000000" w:rsidRPr="00000000">
        <w:rPr>
          <w:rtl w:val="0"/>
        </w:rPr>
        <w:t xml:space="preserve">ancestry must have risen again after the end of the Early Middle Ages, although there are so far no genomes from later medieval or early modern period England. The extent of this introgression event was comparable to the increase of </w:t>
      </w:r>
      <w:r w:rsidDel="00000000" w:rsidR="00000000" w:rsidRPr="00000000">
        <w:rPr>
          <w:i w:val="1"/>
          <w:rtl w:val="0"/>
        </w:rPr>
        <w:t xml:space="preserve">EEF </w:t>
      </w:r>
      <w:r w:rsidDel="00000000" w:rsidR="00000000" w:rsidRPr="00000000">
        <w:rPr>
          <w:rtl w:val="0"/>
        </w:rPr>
        <w:t xml:space="preserve">ancestry from the MBA to the IA, and resulted in an average </w:t>
      </w:r>
      <w:r w:rsidDel="00000000" w:rsidR="00000000" w:rsidRPr="00000000">
        <w:rPr>
          <w:i w:val="1"/>
          <w:rtl w:val="0"/>
        </w:rPr>
        <w:t xml:space="preserve">EEF </w:t>
      </w:r>
      <w:r w:rsidDel="00000000" w:rsidR="00000000" w:rsidRPr="00000000">
        <w:rPr>
          <w:rtl w:val="0"/>
        </w:rPr>
        <w:t xml:space="preserve">proportion in present-day English higher than ever before since the Neolithic, making it implausible that a resurgence of preceding local British Iron Age groups was the potential cause of this genetic shift. More plausible, the rise of </w:t>
      </w:r>
      <w:r w:rsidDel="00000000" w:rsidR="00000000" w:rsidRPr="00000000">
        <w:rPr>
          <w:i w:val="1"/>
          <w:rtl w:val="0"/>
        </w:rPr>
        <w:t xml:space="preserve">EEF </w:t>
      </w:r>
      <w:r w:rsidDel="00000000" w:rsidR="00000000" w:rsidRPr="00000000">
        <w:rPr>
          <w:rtl w:val="0"/>
        </w:rPr>
        <w:t xml:space="preserve">ancestry was due to resuming migration from the same or at least a genetically similar continental group that already introduced </w:t>
      </w:r>
      <w:r w:rsidDel="00000000" w:rsidR="00000000" w:rsidRPr="00000000">
        <w:rPr>
          <w:i w:val="1"/>
          <w:rtl w:val="0"/>
        </w:rPr>
        <w:t xml:space="preserve">EEF</w:t>
      </w:r>
      <w:r w:rsidDel="00000000" w:rsidR="00000000" w:rsidRPr="00000000">
        <w:rPr>
          <w:rtl w:val="0"/>
        </w:rPr>
        <w:t xml:space="preserve">-enriched ancestry to England during the Bronze Age, and that we see also in some early medieval individuals as described above. </w:t>
      </w:r>
    </w:p>
    <w:p w:rsidR="00000000" w:rsidDel="00000000" w:rsidP="00000000" w:rsidRDefault="00000000" w:rsidRPr="00000000" w14:paraId="00000804">
      <w:pPr>
        <w:rPr/>
      </w:pPr>
      <w:bookmarkStart w:colFirst="0" w:colLast="0" w:name="_heading=h.1gf8i83" w:id="91"/>
      <w:bookmarkEnd w:id="91"/>
      <w:r w:rsidDel="00000000" w:rsidR="00000000" w:rsidRPr="00000000">
        <w:rPr/>
        <w:drawing>
          <wp:inline distB="0" distT="0" distL="0" distR="0">
            <wp:extent cx="5760720" cy="4608830"/>
            <wp:effectExtent b="0" l="0" r="0" t="0"/>
            <wp:docPr descr="Chart&#10;&#10;Description automatically generated" id="162" name="image48.png"/>
            <a:graphic>
              <a:graphicData uri="http://schemas.openxmlformats.org/drawingml/2006/picture">
                <pic:pic>
                  <pic:nvPicPr>
                    <pic:cNvPr descr="Chart&#10;&#10;Description automatically generated" id="0" name="image48.png"/>
                    <pic:cNvPicPr preferRelativeResize="0"/>
                  </pic:nvPicPr>
                  <pic:blipFill>
                    <a:blip r:embed="rId196"/>
                    <a:srcRect b="0" l="0" r="0" t="0"/>
                    <a:stretch>
                      <a:fillRect/>
                    </a:stretch>
                  </pic:blipFill>
                  <pic:spPr>
                    <a:xfrm>
                      <a:off x="0" y="0"/>
                      <a:ext cx="5760720" cy="4608830"/>
                    </a:xfrm>
                    <a:prstGeom prst="rect"/>
                    <a:ln/>
                  </pic:spPr>
                </pic:pic>
              </a:graphicData>
            </a:graphic>
          </wp:inline>
        </w:drawing>
      </w:r>
      <w:r w:rsidDel="00000000" w:rsidR="00000000" w:rsidRPr="00000000">
        <w:rPr>
          <w:rtl w:val="0"/>
        </w:rPr>
      </w:r>
    </w:p>
    <w:p w:rsidR="00000000" w:rsidDel="00000000" w:rsidP="00000000" w:rsidRDefault="00000000" w:rsidRPr="00000000" w14:paraId="00000805">
      <w:pPr>
        <w:spacing w:after="200" w:line="240" w:lineRule="auto"/>
        <w:rPr/>
      </w:pPr>
      <w:r w:rsidDel="00000000" w:rsidR="00000000" w:rsidRPr="00000000">
        <w:rPr>
          <w:b w:val="1"/>
          <w:i w:val="1"/>
          <w:sz w:val="18"/>
          <w:szCs w:val="18"/>
          <w:rtl w:val="0"/>
        </w:rPr>
        <w:t xml:space="preserve">Supplementary Figure 5.13. Early European Framer ancestry as inferred using qpAdm in ancient and present-day English individuals (n = 825).</w:t>
      </w:r>
      <w:r w:rsidDel="00000000" w:rsidR="00000000" w:rsidRPr="00000000">
        <w:rPr>
          <w:i w:val="1"/>
          <w:sz w:val="18"/>
          <w:szCs w:val="18"/>
          <w:rtl w:val="0"/>
        </w:rPr>
        <w:t xml:space="preserve"> Shown is a Loess Regression and corresponding confidence interval in orange and the mean per period (EBA, MBA, LBA, IA, EMA, and present-day) in red. Error bars represent ± 1 standard error.</w:t>
      </w:r>
      <w:r w:rsidDel="00000000" w:rsidR="00000000" w:rsidRPr="00000000">
        <w:rPr>
          <w:rtl w:val="0"/>
        </w:rPr>
      </w:r>
    </w:p>
    <w:p w:rsidR="00000000" w:rsidDel="00000000" w:rsidP="00000000" w:rsidRDefault="00000000" w:rsidRPr="00000000" w14:paraId="00000806">
      <w:pPr>
        <w:spacing w:after="200" w:line="240" w:lineRule="auto"/>
        <w:rPr/>
      </w:pPr>
      <w:r w:rsidDel="00000000" w:rsidR="00000000" w:rsidRPr="00000000">
        <w:rPr>
          <w:rtl w:val="0"/>
        </w:rPr>
      </w:r>
    </w:p>
    <w:p w:rsidR="00000000" w:rsidDel="00000000" w:rsidP="00000000" w:rsidRDefault="00000000" w:rsidRPr="00000000" w14:paraId="00000807">
      <w:pPr>
        <w:spacing w:after="200" w:line="240" w:lineRule="auto"/>
        <w:rPr/>
      </w:pPr>
      <w:r w:rsidDel="00000000" w:rsidR="00000000" w:rsidRPr="00000000">
        <w:rPr/>
        <w:drawing>
          <wp:inline distB="0" distT="0" distL="0" distR="0">
            <wp:extent cx="5760720" cy="8896985"/>
            <wp:effectExtent b="0" l="0" r="0" t="0"/>
            <wp:docPr descr="Chart&#10;&#10;Description automatically generated with medium confidence" id="164" name="image46.png"/>
            <a:graphic>
              <a:graphicData uri="http://schemas.openxmlformats.org/drawingml/2006/picture">
                <pic:pic>
                  <pic:nvPicPr>
                    <pic:cNvPr descr="Chart&#10;&#10;Description automatically generated with medium confidence" id="0" name="image46.png"/>
                    <pic:cNvPicPr preferRelativeResize="0"/>
                  </pic:nvPicPr>
                  <pic:blipFill>
                    <a:blip r:embed="rId197"/>
                    <a:srcRect b="0" l="0" r="0" t="0"/>
                    <a:stretch>
                      <a:fillRect/>
                    </a:stretch>
                  </pic:blipFill>
                  <pic:spPr>
                    <a:xfrm>
                      <a:off x="0" y="0"/>
                      <a:ext cx="5760720" cy="8896985"/>
                    </a:xfrm>
                    <a:prstGeom prst="rect"/>
                    <a:ln/>
                  </pic:spPr>
                </pic:pic>
              </a:graphicData>
            </a:graphic>
          </wp:inline>
        </w:drawing>
      </w:r>
      <w:r w:rsidDel="00000000" w:rsidR="00000000" w:rsidRPr="00000000">
        <w:rPr>
          <w:rtl w:val="0"/>
        </w:rPr>
      </w:r>
    </w:p>
    <w:p w:rsidR="00000000" w:rsidDel="00000000" w:rsidP="00000000" w:rsidRDefault="00000000" w:rsidRPr="00000000" w14:paraId="00000808">
      <w:pPr>
        <w:spacing w:after="200" w:line="240" w:lineRule="auto"/>
        <w:rPr/>
      </w:pPr>
      <w:r w:rsidDel="00000000" w:rsidR="00000000" w:rsidRPr="00000000">
        <w:rPr>
          <w:b w:val="1"/>
          <w:i w:val="1"/>
          <w:sz w:val="18"/>
          <w:szCs w:val="18"/>
          <w:rtl w:val="0"/>
        </w:rPr>
        <w:t xml:space="preserve">Supplementary Figure 5.14, Changes in ancestral admixture component.</w:t>
      </w:r>
      <w:r w:rsidDel="00000000" w:rsidR="00000000" w:rsidRPr="00000000">
        <w:rPr>
          <w:i w:val="1"/>
          <w:sz w:val="18"/>
          <w:szCs w:val="18"/>
          <w:rtl w:val="0"/>
        </w:rPr>
        <w:t xml:space="preserve"> a) Early European Farmer ancestry through time as inferred using qpAdm. For Germany during the Early Middle Ages we plot the sites of Hiddestorf, Liebenau, Issendorf, and Schortens. Error bars represent ± 1 standard error. Samples sizes are indicated in Supplementary Table 5.11. b) PCA of WHG, EEF, and Steppe ancestry estimates for 104 ancient and one present-day populations. Samples sizes are indicated in Supplementary Table 5.12.</w:t>
      </w:r>
      <w:r w:rsidDel="00000000" w:rsidR="00000000" w:rsidRPr="00000000">
        <w:rPr>
          <w:rtl w:val="0"/>
        </w:rPr>
      </w:r>
    </w:p>
    <w:p w:rsidR="00000000" w:rsidDel="00000000" w:rsidP="00000000" w:rsidRDefault="00000000" w:rsidRPr="00000000" w14:paraId="00000809">
      <w:pPr>
        <w:rPr/>
      </w:pPr>
      <w:bookmarkStart w:colFirst="0" w:colLast="0" w:name="_heading=h.40ew0vw" w:id="92"/>
      <w:bookmarkEnd w:id="92"/>
      <w:r w:rsidDel="00000000" w:rsidR="00000000" w:rsidRPr="00000000">
        <w:rPr>
          <w:rtl w:val="0"/>
        </w:rPr>
        <w:t xml:space="preserve">To more directly investigate changing affinities to continental western European populations, we tested the affinity of ancient English individuals to present-day French in relation to our WBI reference group using the </w:t>
      </w:r>
      <w:r w:rsidDel="00000000" w:rsidR="00000000" w:rsidRPr="00000000">
        <w:rPr>
          <w:i w:val="1"/>
          <w:rtl w:val="0"/>
        </w:rPr>
        <w:t xml:space="preserve">F</w:t>
      </w:r>
      <w:r w:rsidDel="00000000" w:rsidR="00000000" w:rsidRPr="00000000">
        <w:rPr>
          <w:vertAlign w:val="subscript"/>
          <w:rtl w:val="0"/>
        </w:rPr>
        <w:t xml:space="preserve">4</w:t>
      </w:r>
      <w:r w:rsidDel="00000000" w:rsidR="00000000" w:rsidRPr="00000000">
        <w:rPr>
          <w:rtl w:val="0"/>
        </w:rPr>
        <w:t xml:space="preserve"> statistic </w:t>
      </w:r>
      <w:r w:rsidDel="00000000" w:rsidR="00000000" w:rsidRPr="00000000">
        <w:rPr>
          <w:i w:val="1"/>
          <w:rtl w:val="0"/>
        </w:rPr>
        <w:t xml:space="preserve">F</w:t>
      </w:r>
      <w:r w:rsidDel="00000000" w:rsidR="00000000" w:rsidRPr="00000000">
        <w:rPr>
          <w:vertAlign w:val="subscript"/>
          <w:rtl w:val="0"/>
        </w:rPr>
        <w:t xml:space="preserve">4</w:t>
      </w:r>
      <w:r w:rsidDel="00000000" w:rsidR="00000000" w:rsidRPr="00000000">
        <w:rPr>
          <w:rtl w:val="0"/>
        </w:rPr>
        <w:t xml:space="preserve">(CHB.SG, </w:t>
      </w:r>
      <w:r w:rsidDel="00000000" w:rsidR="00000000" w:rsidRPr="00000000">
        <w:rPr>
          <w:i w:val="1"/>
          <w:rtl w:val="0"/>
        </w:rPr>
        <w:t xml:space="preserve">Test</w:t>
      </w:r>
      <w:r w:rsidDel="00000000" w:rsidR="00000000" w:rsidRPr="00000000">
        <w:rPr>
          <w:rtl w:val="0"/>
        </w:rPr>
        <w:t xml:space="preserve">; WBI, France) (Supp. Fig. 5.15a, Supp. Table 5.13). Consistent with the increase in </w:t>
      </w:r>
      <w:r w:rsidDel="00000000" w:rsidR="00000000" w:rsidRPr="00000000">
        <w:rPr>
          <w:i w:val="1"/>
          <w:rtl w:val="0"/>
        </w:rPr>
        <w:t xml:space="preserve">EEF </w:t>
      </w:r>
      <w:r w:rsidDel="00000000" w:rsidR="00000000" w:rsidRPr="00000000">
        <w:rPr>
          <w:rtl w:val="0"/>
        </w:rPr>
        <w:t xml:space="preserve">ancestry we observed intensiving affinity to present-day French during the Bronze and Iron Age. Again, during the Early Middle Ages coinciding with the introgression of CNE ancestry, we note a decline of affinity to present-day French to a pre-LBA level. On the other hand, present-day English show elevated affinity to present-day French, higher than any time before in the BA and IA, congruent with their higher proportions of </w:t>
      </w:r>
      <w:r w:rsidDel="00000000" w:rsidR="00000000" w:rsidRPr="00000000">
        <w:rPr>
          <w:i w:val="1"/>
          <w:rtl w:val="0"/>
        </w:rPr>
        <w:t xml:space="preserve">EEF </w:t>
      </w:r>
      <w:r w:rsidDel="00000000" w:rsidR="00000000" w:rsidRPr="00000000">
        <w:rPr>
          <w:rtl w:val="0"/>
        </w:rPr>
        <w:t xml:space="preserve">ancestry. A corresponding </w:t>
      </w:r>
      <w:r w:rsidDel="00000000" w:rsidR="00000000" w:rsidRPr="00000000">
        <w:rPr>
          <w:i w:val="1"/>
          <w:rtl w:val="0"/>
        </w:rPr>
        <w:t xml:space="preserve">F</w:t>
      </w:r>
      <w:r w:rsidDel="00000000" w:rsidR="00000000" w:rsidRPr="00000000">
        <w:rPr>
          <w:vertAlign w:val="subscript"/>
          <w:rtl w:val="0"/>
        </w:rPr>
        <w:t xml:space="preserve">4</w:t>
      </w:r>
      <w:r w:rsidDel="00000000" w:rsidR="00000000" w:rsidRPr="00000000">
        <w:rPr>
          <w:rtl w:val="0"/>
        </w:rPr>
        <w:t xml:space="preserve"> statistic of the form </w:t>
      </w:r>
      <w:r w:rsidDel="00000000" w:rsidR="00000000" w:rsidRPr="00000000">
        <w:rPr>
          <w:i w:val="1"/>
          <w:rtl w:val="0"/>
        </w:rPr>
        <w:t xml:space="preserve">F</w:t>
      </w:r>
      <w:r w:rsidDel="00000000" w:rsidR="00000000" w:rsidRPr="00000000">
        <w:rPr>
          <w:vertAlign w:val="subscript"/>
          <w:rtl w:val="0"/>
        </w:rPr>
        <w:t xml:space="preserve">4</w:t>
      </w:r>
      <w:r w:rsidDel="00000000" w:rsidR="00000000" w:rsidRPr="00000000">
        <w:rPr>
          <w:rtl w:val="0"/>
        </w:rPr>
        <w:t xml:space="preserve">(YRI.SG, </w:t>
      </w:r>
      <w:r w:rsidDel="00000000" w:rsidR="00000000" w:rsidRPr="00000000">
        <w:rPr>
          <w:i w:val="1"/>
          <w:rtl w:val="0"/>
        </w:rPr>
        <w:t xml:space="preserve">Test</w:t>
      </w:r>
      <w:r w:rsidDel="00000000" w:rsidR="00000000" w:rsidRPr="00000000">
        <w:rPr>
          <w:rtl w:val="0"/>
        </w:rPr>
        <w:t xml:space="preserve">; WBI, CNE) demonstrates that these results are not influenced by the introduction of northern European ancestry during any time in the Bronze or Iron Age (supp. Fig. 5.15b, Supp. Table 5.14). Instead, substantial proportions of </w:t>
      </w:r>
      <w:r w:rsidDel="00000000" w:rsidR="00000000" w:rsidRPr="00000000">
        <w:rPr>
          <w:i w:val="1"/>
          <w:rtl w:val="0"/>
        </w:rPr>
        <w:t xml:space="preserve">EEF</w:t>
      </w:r>
      <w:r w:rsidDel="00000000" w:rsidR="00000000" w:rsidRPr="00000000">
        <w:rPr>
          <w:rtl w:val="0"/>
        </w:rPr>
        <w:t xml:space="preserve">-enriched ancestry must have entered England after the Early Middle Ages, perhaps as continuation of a process that already started during the Bronze Age. The observation of outlier individuals with southern/western European-related ancestry in early medieval and Viking period England</w:t>
      </w:r>
      <w:hyperlink r:id="rId198">
        <w:r w:rsidDel="00000000" w:rsidR="00000000" w:rsidRPr="00000000">
          <w:rPr>
            <w:color w:val="000000"/>
            <w:vertAlign w:val="superscript"/>
            <w:rtl w:val="0"/>
          </w:rPr>
          <w:t xml:space="preserve">120</w:t>
        </w:r>
      </w:hyperlink>
      <w:r w:rsidDel="00000000" w:rsidR="00000000" w:rsidRPr="00000000">
        <w:rPr>
          <w:rtl w:val="0"/>
        </w:rPr>
        <w:t xml:space="preserve"> additionally supports a continuing influx of southern/western European ancestry into England also during times of CNE introgression. Therefore, our results show that additional French-related ancestry must have entered England after the Roman Period as suggested by previous analyses</w:t>
      </w:r>
      <w:hyperlink r:id="rId199">
        <w:r w:rsidDel="00000000" w:rsidR="00000000" w:rsidRPr="00000000">
          <w:rPr>
            <w:color w:val="000000"/>
            <w:vertAlign w:val="superscript"/>
            <w:rtl w:val="0"/>
          </w:rPr>
          <w:t xml:space="preserve">56,120,181</w:t>
        </w:r>
      </w:hyperlink>
      <w:r w:rsidDel="00000000" w:rsidR="00000000" w:rsidRPr="00000000">
        <w:rPr>
          <w:rtl w:val="0"/>
        </w:rPr>
        <w:t xml:space="preserve">. Margaryan et al.</w:t>
      </w:r>
      <w:hyperlink r:id="rId200">
        <w:r w:rsidDel="00000000" w:rsidR="00000000" w:rsidRPr="00000000">
          <w:rPr>
            <w:color w:val="000000"/>
            <w:vertAlign w:val="superscript"/>
            <w:rtl w:val="0"/>
          </w:rPr>
          <w:t xml:space="preserve">120</w:t>
        </w:r>
      </w:hyperlink>
      <w:r w:rsidDel="00000000" w:rsidR="00000000" w:rsidRPr="00000000">
        <w:rPr>
          <w:rtl w:val="0"/>
        </w:rPr>
        <w:t xml:space="preserve"> suggested that the presence of southern European ancestry may be related to the Norman Conquest and the associated increase in population movement during that era.</w:t>
      </w:r>
    </w:p>
    <w:p w:rsidR="00000000" w:rsidDel="00000000" w:rsidP="00000000" w:rsidRDefault="00000000" w:rsidRPr="00000000" w14:paraId="0000080A">
      <w:pPr>
        <w:rPr/>
      </w:pPr>
      <w:bookmarkStart w:colFirst="0" w:colLast="0" w:name="_heading=h.2fk6b3p" w:id="93"/>
      <w:bookmarkEnd w:id="93"/>
      <w:r w:rsidDel="00000000" w:rsidR="00000000" w:rsidRPr="00000000">
        <w:rPr/>
        <w:drawing>
          <wp:inline distB="0" distT="0" distL="0" distR="0">
            <wp:extent cx="5760720" cy="8883015"/>
            <wp:effectExtent b="0" l="0" r="0" t="0"/>
            <wp:docPr descr="Chart, scatter chart&#10;&#10;Description automatically generated" id="167" name="image56.png"/>
            <a:graphic>
              <a:graphicData uri="http://schemas.openxmlformats.org/drawingml/2006/picture">
                <pic:pic>
                  <pic:nvPicPr>
                    <pic:cNvPr descr="Chart, scatter chart&#10;&#10;Description automatically generated" id="0" name="image56.png"/>
                    <pic:cNvPicPr preferRelativeResize="0"/>
                  </pic:nvPicPr>
                  <pic:blipFill>
                    <a:blip r:embed="rId201"/>
                    <a:srcRect b="0" l="0" r="0" t="0"/>
                    <a:stretch>
                      <a:fillRect/>
                    </a:stretch>
                  </pic:blipFill>
                  <pic:spPr>
                    <a:xfrm>
                      <a:off x="0" y="0"/>
                      <a:ext cx="5760720" cy="8883015"/>
                    </a:xfrm>
                    <a:prstGeom prst="rect"/>
                    <a:ln/>
                  </pic:spPr>
                </pic:pic>
              </a:graphicData>
            </a:graphic>
          </wp:inline>
        </w:drawing>
      </w:r>
      <w:r w:rsidDel="00000000" w:rsidR="00000000" w:rsidRPr="00000000">
        <w:rPr>
          <w:rtl w:val="0"/>
        </w:rPr>
      </w:r>
    </w:p>
    <w:p w:rsidR="00000000" w:rsidDel="00000000" w:rsidP="00000000" w:rsidRDefault="00000000" w:rsidRPr="00000000" w14:paraId="0000080B">
      <w:pPr>
        <w:spacing w:after="200" w:line="240" w:lineRule="auto"/>
        <w:rPr/>
      </w:pPr>
      <w:r w:rsidDel="00000000" w:rsidR="00000000" w:rsidRPr="00000000">
        <w:rPr>
          <w:b w:val="1"/>
          <w:i w:val="1"/>
          <w:sz w:val="18"/>
          <w:szCs w:val="18"/>
          <w:rtl w:val="0"/>
        </w:rPr>
        <w:t xml:space="preserve">Supplementary Figure 5.15,  Changing affinities in ancient and present-day English individuals (n = 825) in respect to continental populations</w:t>
      </w:r>
      <w:r w:rsidDel="00000000" w:rsidR="00000000" w:rsidRPr="00000000">
        <w:rPr>
          <w:i w:val="1"/>
          <w:sz w:val="18"/>
          <w:szCs w:val="18"/>
          <w:rtl w:val="0"/>
        </w:rPr>
        <w:t xml:space="preserve">. a) F</w:t>
      </w:r>
      <w:r w:rsidDel="00000000" w:rsidR="00000000" w:rsidRPr="00000000">
        <w:rPr>
          <w:i w:val="1"/>
          <w:sz w:val="18"/>
          <w:szCs w:val="18"/>
          <w:vertAlign w:val="subscript"/>
          <w:rtl w:val="0"/>
        </w:rPr>
        <w:t xml:space="preserve">4</w:t>
      </w:r>
      <w:r w:rsidDel="00000000" w:rsidR="00000000" w:rsidRPr="00000000">
        <w:rPr>
          <w:i w:val="1"/>
          <w:sz w:val="18"/>
          <w:szCs w:val="18"/>
          <w:rtl w:val="0"/>
        </w:rPr>
        <w:t xml:space="preserve"> statistic of the form F</w:t>
      </w:r>
      <w:r w:rsidDel="00000000" w:rsidR="00000000" w:rsidRPr="00000000">
        <w:rPr>
          <w:i w:val="1"/>
          <w:sz w:val="18"/>
          <w:szCs w:val="18"/>
          <w:vertAlign w:val="subscript"/>
          <w:rtl w:val="0"/>
        </w:rPr>
        <w:t xml:space="preserve">4</w:t>
      </w:r>
      <w:r w:rsidDel="00000000" w:rsidR="00000000" w:rsidRPr="00000000">
        <w:rPr>
          <w:i w:val="1"/>
          <w:sz w:val="18"/>
          <w:szCs w:val="18"/>
          <w:rtl w:val="0"/>
        </w:rPr>
        <w:t xml:space="preserve"> (CHB, X; WBI, France). Shown is the Loess Regression and corresponding confidence interval in turquoise and the mean per period (EBA, MBA, LBA, IA, EMA, and present-day) in darkgreen. Error bars represent ± 2 standard errors. b) a) Same for the F</w:t>
      </w:r>
      <w:r w:rsidDel="00000000" w:rsidR="00000000" w:rsidRPr="00000000">
        <w:rPr>
          <w:i w:val="1"/>
          <w:sz w:val="18"/>
          <w:szCs w:val="18"/>
          <w:vertAlign w:val="subscript"/>
          <w:rtl w:val="0"/>
        </w:rPr>
        <w:t xml:space="preserve">4</w:t>
      </w:r>
      <w:r w:rsidDel="00000000" w:rsidR="00000000" w:rsidRPr="00000000">
        <w:rPr>
          <w:i w:val="1"/>
          <w:sz w:val="18"/>
          <w:szCs w:val="18"/>
          <w:rtl w:val="0"/>
        </w:rPr>
        <w:t xml:space="preserve"> statistic of the form F</w:t>
      </w:r>
      <w:r w:rsidDel="00000000" w:rsidR="00000000" w:rsidRPr="00000000">
        <w:rPr>
          <w:i w:val="1"/>
          <w:sz w:val="18"/>
          <w:szCs w:val="18"/>
          <w:vertAlign w:val="subscript"/>
          <w:rtl w:val="0"/>
        </w:rPr>
        <w:t xml:space="preserve">4</w:t>
      </w:r>
      <w:r w:rsidDel="00000000" w:rsidR="00000000" w:rsidRPr="00000000">
        <w:rPr>
          <w:i w:val="1"/>
          <w:sz w:val="18"/>
          <w:szCs w:val="18"/>
          <w:rtl w:val="0"/>
        </w:rPr>
        <w:t xml:space="preserve">(YRI, X; WBI, CNE).</w:t>
      </w:r>
      <w:r w:rsidDel="00000000" w:rsidR="00000000" w:rsidRPr="00000000">
        <w:rPr>
          <w:rtl w:val="0"/>
        </w:rPr>
      </w:r>
    </w:p>
    <w:p w:rsidR="00000000" w:rsidDel="00000000" w:rsidP="00000000" w:rsidRDefault="00000000" w:rsidRPr="00000000" w14:paraId="0000080C">
      <w:pPr>
        <w:rPr/>
      </w:pPr>
      <w:bookmarkStart w:colFirst="0" w:colLast="0" w:name="_heading=h.upglbi" w:id="94"/>
      <w:bookmarkEnd w:id="94"/>
      <w:r w:rsidDel="00000000" w:rsidR="00000000" w:rsidRPr="00000000">
        <w:rPr>
          <w:rtl w:val="0"/>
        </w:rPr>
        <w:t xml:space="preserve">To further test the relationship between those ancient admixture components, we used an Admixture Graph History (AGH) approach developed by Pugach et al. This approach relies on the principle that after a second admixture event has introduced a new ancestry component into an already admixed population, the proportion of the two older ancestry components in each individual is re-adjusted by an amount which depends on the proportion of the newly arriving component in the individual. This means that the distribution of the first two ancestry components across individuals in the population will covary with the new ancestry, yet the ratio of the older components throughout the population will be independent of the recent ancestry. Thus, the covariance of the recent ancestry and the ratio of the two older ancestries should be zero. </w:t>
      </w:r>
    </w:p>
    <w:p w:rsidR="00000000" w:rsidDel="00000000" w:rsidP="00000000" w:rsidRDefault="00000000" w:rsidRPr="00000000" w14:paraId="0000080D">
      <w:pPr>
        <w:rPr/>
      </w:pPr>
      <w:bookmarkStart w:colFirst="0" w:colLast="0" w:name="_heading=h.3ep43zb" w:id="95"/>
      <w:bookmarkEnd w:id="95"/>
      <w:r w:rsidDel="00000000" w:rsidR="00000000" w:rsidRPr="00000000">
        <w:rPr>
          <w:rtl w:val="0"/>
        </w:rPr>
        <w:t xml:space="preserve">First, we tested if this approach was able to identify the correct sequence of the admixture events associated with the transition from the Mesolithic to the Neolithic, and from the Middle Neolithic to the Late Neolithic/Early Bronze Age. We compared all possible orderings of the three ancestries </w:t>
      </w:r>
      <w:r w:rsidDel="00000000" w:rsidR="00000000" w:rsidRPr="00000000">
        <w:rPr>
          <w:i w:val="1"/>
          <w:rtl w:val="0"/>
        </w:rPr>
        <w:t xml:space="preserve">EEF</w:t>
      </w:r>
      <w:r w:rsidDel="00000000" w:rsidR="00000000" w:rsidRPr="00000000">
        <w:rPr>
          <w:rtl w:val="0"/>
        </w:rPr>
        <w:t xml:space="preserve">, </w:t>
      </w:r>
      <w:r w:rsidDel="00000000" w:rsidR="00000000" w:rsidRPr="00000000">
        <w:rPr>
          <w:i w:val="1"/>
          <w:rtl w:val="0"/>
        </w:rPr>
        <w:t xml:space="preserve">WHG</w:t>
      </w:r>
      <w:r w:rsidDel="00000000" w:rsidR="00000000" w:rsidRPr="00000000">
        <w:rPr>
          <w:rtl w:val="0"/>
        </w:rPr>
        <w:t xml:space="preserve">, and </w:t>
      </w:r>
      <w:r w:rsidDel="00000000" w:rsidR="00000000" w:rsidRPr="00000000">
        <w:rPr>
          <w:i w:val="1"/>
          <w:rtl w:val="0"/>
        </w:rPr>
        <w:t xml:space="preserve">Steppe ancestry</w:t>
      </w:r>
      <w:r w:rsidDel="00000000" w:rsidR="00000000" w:rsidRPr="00000000">
        <w:rPr>
          <w:rtl w:val="0"/>
        </w:rPr>
        <w:t xml:space="preserve">  in 1,678 present-day English individuals. We find that the ordering that produces the covariance closest to zero is (EEF, WHG), Steppe (-0.003000143), agreeing with the true order of admixture vents.</w:t>
      </w:r>
    </w:p>
    <w:p w:rsidR="00000000" w:rsidDel="00000000" w:rsidP="00000000" w:rsidRDefault="00000000" w:rsidRPr="00000000" w14:paraId="0000080E">
      <w:pPr>
        <w:rPr/>
      </w:pPr>
      <w:bookmarkStart w:colFirst="0" w:colLast="0" w:name="_heading=h.1tuee74" w:id="96"/>
      <w:bookmarkEnd w:id="96"/>
      <w:r w:rsidDel="00000000" w:rsidR="00000000" w:rsidRPr="00000000">
        <w:rPr>
          <w:rtl w:val="0"/>
        </w:rPr>
        <w:t xml:space="preserve">Consequently, to determine the sequence of admixture events in post-Iron Age England, we compared all possible orderings of the three ancestries WBI (</w:t>
      </w:r>
      <w:r w:rsidDel="00000000" w:rsidR="00000000" w:rsidRPr="00000000">
        <w:rPr>
          <w:i w:val="1"/>
          <w:rtl w:val="0"/>
        </w:rPr>
        <w:t xml:space="preserve">England_LIA_Roman</w:t>
      </w:r>
      <w:r w:rsidDel="00000000" w:rsidR="00000000" w:rsidRPr="00000000">
        <w:rPr>
          <w:rtl w:val="0"/>
        </w:rPr>
        <w:t xml:space="preserve">), CNE (England_EMA_CNE), and CWE (</w:t>
      </w:r>
      <w:r w:rsidDel="00000000" w:rsidR="00000000" w:rsidRPr="00000000">
        <w:rPr>
          <w:i w:val="1"/>
          <w:rtl w:val="0"/>
        </w:rPr>
        <w:t xml:space="preserve">France_IA</w:t>
      </w:r>
      <w:r w:rsidDel="00000000" w:rsidR="00000000" w:rsidRPr="00000000">
        <w:rPr>
          <w:rtl w:val="0"/>
        </w:rPr>
        <w:t xml:space="preserve">) in 1,300 present-day English individuals (as inferred using </w:t>
      </w:r>
      <w:r w:rsidDel="00000000" w:rsidR="00000000" w:rsidRPr="00000000">
        <w:rPr>
          <w:i w:val="1"/>
          <w:rtl w:val="0"/>
        </w:rPr>
        <w:t xml:space="preserve">qpAdm </w:t>
      </w:r>
      <w:r w:rsidDel="00000000" w:rsidR="00000000" w:rsidRPr="00000000">
        <w:rPr>
          <w:rtl w:val="0"/>
        </w:rPr>
        <w:t xml:space="preserve">as mentioned earlier in this section) (Supp. Fig. 5.16) and chose the one which produced the least absolute value of covariance. We find that the ordering that produces the covariance closest to zero is (WBI, CNE), CWE (0.0201693), followed by (CNE, CWE), WBI (0.04975982). In contrast, a sequence in which CWE and WBI admixed before the arrival of CNE ancestry produces the largest covariance deviation from zero (0.06992912). The same result was obtained using supervised ADMIXTURE and present-day source populations for 1,678 present-day English (Supp. Fig. 5.17). Similarly, we find that the ordering that produces the covariance closest to zero is (WBI, CNE), CWE (9.469532). This implies that most of the additional CWE ancestry in present-day English arrived either after the introgression of CNE ancestry into England or only partly with CNE ancestry during the Early Middle Ages.</w:t>
      </w:r>
    </w:p>
    <w:p w:rsidR="00000000" w:rsidDel="00000000" w:rsidP="00000000" w:rsidRDefault="00000000" w:rsidRPr="00000000" w14:paraId="0000080F">
      <w:pPr>
        <w:rPr/>
      </w:pPr>
      <w:bookmarkStart w:colFirst="0" w:colLast="0" w:name="_heading=h.4du1wux" w:id="97"/>
      <w:bookmarkEnd w:id="97"/>
      <w:r w:rsidDel="00000000" w:rsidR="00000000" w:rsidRPr="00000000">
        <w:rPr/>
        <w:drawing>
          <wp:inline distB="0" distT="0" distL="0" distR="0">
            <wp:extent cx="5760720" cy="3835400"/>
            <wp:effectExtent b="0" l="0" r="0" t="0"/>
            <wp:docPr descr="Timeline&#10;&#10;Description automatically generated" id="169" name="image58.png"/>
            <a:graphic>
              <a:graphicData uri="http://schemas.openxmlformats.org/drawingml/2006/picture">
                <pic:pic>
                  <pic:nvPicPr>
                    <pic:cNvPr descr="Timeline&#10;&#10;Description automatically generated" id="0" name="image58.png"/>
                    <pic:cNvPicPr preferRelativeResize="0"/>
                  </pic:nvPicPr>
                  <pic:blipFill>
                    <a:blip r:embed="rId202"/>
                    <a:srcRect b="0" l="0" r="0" t="0"/>
                    <a:stretch>
                      <a:fillRect/>
                    </a:stretch>
                  </pic:blipFill>
                  <pic:spPr>
                    <a:xfrm>
                      <a:off x="0" y="0"/>
                      <a:ext cx="5760720" cy="3835400"/>
                    </a:xfrm>
                    <a:prstGeom prst="rect"/>
                    <a:ln/>
                  </pic:spPr>
                </pic:pic>
              </a:graphicData>
            </a:graphic>
          </wp:inline>
        </w:drawing>
      </w:r>
      <w:r w:rsidDel="00000000" w:rsidR="00000000" w:rsidRPr="00000000">
        <w:rPr>
          <w:rtl w:val="0"/>
        </w:rPr>
      </w:r>
    </w:p>
    <w:p w:rsidR="00000000" w:rsidDel="00000000" w:rsidP="00000000" w:rsidRDefault="00000000" w:rsidRPr="00000000" w14:paraId="00000810">
      <w:pPr>
        <w:spacing w:after="200" w:line="240" w:lineRule="auto"/>
        <w:rPr/>
      </w:pPr>
      <w:r w:rsidDel="00000000" w:rsidR="00000000" w:rsidRPr="00000000">
        <w:rPr>
          <w:b w:val="1"/>
          <w:i w:val="1"/>
          <w:sz w:val="18"/>
          <w:szCs w:val="18"/>
          <w:rtl w:val="0"/>
        </w:rPr>
        <w:t xml:space="preserve">Supplementary Figure 5.16, qpAdm analysis of present-day English. </w:t>
      </w:r>
      <w:r w:rsidDel="00000000" w:rsidR="00000000" w:rsidRPr="00000000">
        <w:rPr>
          <w:i w:val="1"/>
          <w:sz w:val="18"/>
          <w:szCs w:val="18"/>
          <w:rtl w:val="0"/>
        </w:rPr>
        <w:t xml:space="preserve">Individual-based ancestry inference of England_LIA_Roman, England_EMA_CNE, and France_IA ancestry for 1,300 present-day English individuals using qpAdm. a) Admixture proportions projected onto our North Sea PCA from left to right: England_LIA_Roman, England_EMA_CNE, and France_IA. b) Same as in a) but projected onto our Northwestern European PCA.</w:t>
      </w:r>
      <w:r w:rsidDel="00000000" w:rsidR="00000000" w:rsidRPr="00000000">
        <w:rPr>
          <w:rtl w:val="0"/>
        </w:rPr>
      </w:r>
    </w:p>
    <w:p w:rsidR="00000000" w:rsidDel="00000000" w:rsidP="00000000" w:rsidRDefault="00000000" w:rsidRPr="00000000" w14:paraId="00000811">
      <w:pPr>
        <w:rPr/>
      </w:pPr>
      <w:bookmarkStart w:colFirst="0" w:colLast="0" w:name="_heading=h.2szc72q" w:id="98"/>
      <w:bookmarkEnd w:id="98"/>
      <w:r w:rsidDel="00000000" w:rsidR="00000000" w:rsidRPr="00000000">
        <w:rPr/>
        <w:drawing>
          <wp:inline distB="0" distT="0" distL="0" distR="0">
            <wp:extent cx="5760720" cy="3696335"/>
            <wp:effectExtent b="0" l="0" r="0" t="0"/>
            <wp:docPr descr="Chart, scatter chart&#10;&#10;Description automatically generated" id="172" name="image63.png"/>
            <a:graphic>
              <a:graphicData uri="http://schemas.openxmlformats.org/drawingml/2006/picture">
                <pic:pic>
                  <pic:nvPicPr>
                    <pic:cNvPr descr="Chart, scatter chart&#10;&#10;Description automatically generated" id="0" name="image63.png"/>
                    <pic:cNvPicPr preferRelativeResize="0"/>
                  </pic:nvPicPr>
                  <pic:blipFill>
                    <a:blip r:embed="rId203"/>
                    <a:srcRect b="0" l="0" r="0" t="0"/>
                    <a:stretch>
                      <a:fillRect/>
                    </a:stretch>
                  </pic:blipFill>
                  <pic:spPr>
                    <a:xfrm>
                      <a:off x="0" y="0"/>
                      <a:ext cx="5760720" cy="3696335"/>
                    </a:xfrm>
                    <a:prstGeom prst="rect"/>
                    <a:ln/>
                  </pic:spPr>
                </pic:pic>
              </a:graphicData>
            </a:graphic>
          </wp:inline>
        </w:drawing>
      </w:r>
      <w:r w:rsidDel="00000000" w:rsidR="00000000" w:rsidRPr="00000000">
        <w:rPr>
          <w:b w:val="1"/>
          <w:i w:val="1"/>
          <w:sz w:val="18"/>
          <w:szCs w:val="18"/>
          <w:rtl w:val="0"/>
        </w:rPr>
        <w:t xml:space="preserve">Supplementary Figure 5.17, Supervised ADMIXTURE analysis of present-day English. </w:t>
      </w:r>
      <w:r w:rsidDel="00000000" w:rsidR="00000000" w:rsidRPr="00000000">
        <w:rPr>
          <w:i w:val="1"/>
          <w:sz w:val="18"/>
          <w:szCs w:val="18"/>
          <w:rtl w:val="0"/>
        </w:rPr>
        <w:t xml:space="preserve">Individual-based ancestry inference of WBI, CNE, and CWE ancestry for 1,678 present-day English individuals using supervised ADMIXTURE. a) Admixture proportions projected onto our North Sea PCA from left to right: England_LIA_Roman, England_EMA_CNE, and France_IA. b) Same as in a) but projected onto our Northwestern European PCA</w:t>
      </w:r>
      <w:r w:rsidDel="00000000" w:rsidR="00000000" w:rsidRPr="00000000">
        <w:rPr>
          <w:i w:val="1"/>
          <w:color w:val="44546a"/>
          <w:sz w:val="18"/>
          <w:szCs w:val="18"/>
          <w:rtl w:val="0"/>
        </w:rPr>
        <w:t xml:space="preserve">.</w:t>
      </w:r>
      <w:r w:rsidDel="00000000" w:rsidR="00000000" w:rsidRPr="00000000">
        <w:rPr>
          <w:rtl w:val="0"/>
        </w:rPr>
      </w:r>
    </w:p>
    <w:p w:rsidR="00000000" w:rsidDel="00000000" w:rsidP="00000000" w:rsidRDefault="00000000" w:rsidRPr="00000000" w14:paraId="00000812">
      <w:pPr>
        <w:pStyle w:val="Heading3"/>
        <w:rPr>
          <w:color w:val="000000"/>
        </w:rPr>
      </w:pPr>
      <w:bookmarkStart w:colFirst="0" w:colLast="0" w:name="_heading=h.184mhaj" w:id="99"/>
      <w:bookmarkEnd w:id="99"/>
      <w:r w:rsidDel="00000000" w:rsidR="00000000" w:rsidRPr="00000000">
        <w:rPr>
          <w:color w:val="000000"/>
          <w:rtl w:val="0"/>
        </w:rPr>
        <w:t xml:space="preserve">Quantifying the impact on present-day England on a regional level</w:t>
      </w:r>
    </w:p>
    <w:p w:rsidR="00000000" w:rsidDel="00000000" w:rsidP="00000000" w:rsidRDefault="00000000" w:rsidRPr="00000000" w14:paraId="00000813">
      <w:pPr>
        <w:rPr/>
      </w:pPr>
      <w:bookmarkStart w:colFirst="0" w:colLast="0" w:name="_heading=h.3s49zyc" w:id="100"/>
      <w:bookmarkEnd w:id="100"/>
      <w:r w:rsidDel="00000000" w:rsidR="00000000" w:rsidRPr="00000000">
        <w:rPr>
          <w:rtl w:val="0"/>
        </w:rPr>
        <w:t xml:space="preserve">Finally, we quantified the impact of continental western European ancestry introgression after the Iron Age in present-day English on a regional level. To do this, we compared the estimates of local English, CNE, and continental western European (from here CWE) ancestry in present-day English populations obtained with different methods. Those methods are:</w:t>
      </w:r>
    </w:p>
    <w:p w:rsidR="00000000" w:rsidDel="00000000" w:rsidP="00000000" w:rsidRDefault="00000000" w:rsidRPr="00000000" w14:paraId="00000814">
      <w:pPr>
        <w:numPr>
          <w:ilvl w:val="0"/>
          <w:numId w:val="6"/>
        </w:numPr>
        <w:spacing w:after="0" w:lineRule="auto"/>
        <w:ind w:left="720" w:hanging="360"/>
        <w:rPr/>
      </w:pPr>
      <w:r w:rsidDel="00000000" w:rsidR="00000000" w:rsidRPr="00000000">
        <w:rPr>
          <w:rtl w:val="0"/>
        </w:rPr>
        <w:t xml:space="preserve">A three-way </w:t>
      </w:r>
      <w:r w:rsidDel="00000000" w:rsidR="00000000" w:rsidRPr="00000000">
        <w:rPr>
          <w:i w:val="1"/>
          <w:rtl w:val="0"/>
        </w:rPr>
        <w:t xml:space="preserve">qpAdm </w:t>
      </w:r>
      <w:r w:rsidDel="00000000" w:rsidR="00000000" w:rsidRPr="00000000">
        <w:rPr>
          <w:rtl w:val="0"/>
        </w:rPr>
        <w:t xml:space="preserve">model using </w:t>
      </w:r>
      <w:r w:rsidDel="00000000" w:rsidR="00000000" w:rsidRPr="00000000">
        <w:rPr>
          <w:i w:val="1"/>
          <w:rtl w:val="0"/>
        </w:rPr>
        <w:t xml:space="preserve">England_LIA_Roman </w:t>
      </w:r>
      <w:r w:rsidDel="00000000" w:rsidR="00000000" w:rsidRPr="00000000">
        <w:rPr>
          <w:rtl w:val="0"/>
        </w:rPr>
        <w:t xml:space="preserve">as source of local British ancestry, </w:t>
      </w:r>
      <w:r w:rsidDel="00000000" w:rsidR="00000000" w:rsidRPr="00000000">
        <w:rPr>
          <w:i w:val="1"/>
          <w:rtl w:val="0"/>
        </w:rPr>
        <w:t xml:space="preserve">England_EMA_CNE </w:t>
      </w:r>
      <w:r w:rsidDel="00000000" w:rsidR="00000000" w:rsidRPr="00000000">
        <w:rPr>
          <w:rtl w:val="0"/>
        </w:rPr>
        <w:t xml:space="preserve">as source of CNE ancestry, and </w:t>
      </w:r>
      <w:r w:rsidDel="00000000" w:rsidR="00000000" w:rsidRPr="00000000">
        <w:rPr>
          <w:i w:val="1"/>
          <w:rtl w:val="0"/>
        </w:rPr>
        <w:t xml:space="preserve">France_IA </w:t>
      </w:r>
      <w:r w:rsidDel="00000000" w:rsidR="00000000" w:rsidRPr="00000000">
        <w:rPr>
          <w:rtl w:val="0"/>
        </w:rPr>
        <w:t xml:space="preserve">as source of CWE ancestry) (Supp. Table 5.15). </w:t>
      </w:r>
    </w:p>
    <w:p w:rsidR="00000000" w:rsidDel="00000000" w:rsidP="00000000" w:rsidRDefault="00000000" w:rsidRPr="00000000" w14:paraId="00000815">
      <w:pPr>
        <w:numPr>
          <w:ilvl w:val="0"/>
          <w:numId w:val="6"/>
        </w:numPr>
        <w:spacing w:after="0" w:lineRule="auto"/>
        <w:ind w:left="720" w:hanging="360"/>
        <w:rPr/>
      </w:pPr>
      <w:bookmarkStart w:colFirst="0" w:colLast="0" w:name="_heading=h.279ka65" w:id="101"/>
      <w:bookmarkEnd w:id="101"/>
      <w:r w:rsidDel="00000000" w:rsidR="00000000" w:rsidRPr="00000000">
        <w:rPr>
          <w:rtl w:val="0"/>
        </w:rPr>
        <w:t xml:space="preserve">A three-way </w:t>
      </w:r>
      <w:r w:rsidDel="00000000" w:rsidR="00000000" w:rsidRPr="00000000">
        <w:rPr>
          <w:i w:val="1"/>
          <w:rtl w:val="0"/>
        </w:rPr>
        <w:t xml:space="preserve">qpAdm </w:t>
      </w:r>
      <w:r w:rsidDel="00000000" w:rsidR="00000000" w:rsidRPr="00000000">
        <w:rPr>
          <w:rtl w:val="0"/>
        </w:rPr>
        <w:t xml:space="preserve">model using </w:t>
      </w:r>
      <w:r w:rsidDel="00000000" w:rsidR="00000000" w:rsidRPr="00000000">
        <w:rPr>
          <w:i w:val="1"/>
          <w:rtl w:val="0"/>
        </w:rPr>
        <w:t xml:space="preserve">WorthMatravers, </w:t>
      </w:r>
      <w:r w:rsidDel="00000000" w:rsidR="00000000" w:rsidRPr="00000000">
        <w:rPr>
          <w:rtl w:val="0"/>
        </w:rPr>
        <w:t xml:space="preserve">a WBI-rich early medieval site,</w:t>
      </w:r>
      <w:r w:rsidDel="00000000" w:rsidR="00000000" w:rsidRPr="00000000">
        <w:rPr>
          <w:i w:val="1"/>
          <w:rtl w:val="0"/>
        </w:rPr>
        <w:t xml:space="preserve"> </w:t>
      </w:r>
      <w:r w:rsidDel="00000000" w:rsidR="00000000" w:rsidRPr="00000000">
        <w:rPr>
          <w:rtl w:val="0"/>
        </w:rPr>
        <w:t xml:space="preserve">as source of local British ancestry, </w:t>
      </w:r>
      <w:r w:rsidDel="00000000" w:rsidR="00000000" w:rsidRPr="00000000">
        <w:rPr>
          <w:i w:val="1"/>
          <w:rtl w:val="0"/>
        </w:rPr>
        <w:t xml:space="preserve">England_EMA_CNE </w:t>
      </w:r>
      <w:r w:rsidDel="00000000" w:rsidR="00000000" w:rsidRPr="00000000">
        <w:rPr>
          <w:rtl w:val="0"/>
        </w:rPr>
        <w:t xml:space="preserve">as source of CNE ancestry, and </w:t>
      </w:r>
      <w:r w:rsidDel="00000000" w:rsidR="00000000" w:rsidRPr="00000000">
        <w:rPr>
          <w:i w:val="1"/>
          <w:rtl w:val="0"/>
        </w:rPr>
        <w:t xml:space="preserve">France_IA </w:t>
      </w:r>
      <w:r w:rsidDel="00000000" w:rsidR="00000000" w:rsidRPr="00000000">
        <w:rPr>
          <w:rtl w:val="0"/>
        </w:rPr>
        <w:t xml:space="preserve">as source of CWE ancestry) (Supp. Table 5.17). </w:t>
      </w:r>
    </w:p>
    <w:p w:rsidR="00000000" w:rsidDel="00000000" w:rsidP="00000000" w:rsidRDefault="00000000" w:rsidRPr="00000000" w14:paraId="00000816">
      <w:pPr>
        <w:numPr>
          <w:ilvl w:val="0"/>
          <w:numId w:val="6"/>
        </w:numPr>
        <w:spacing w:after="0" w:lineRule="auto"/>
        <w:ind w:left="720" w:hanging="360"/>
        <w:rPr/>
      </w:pPr>
      <w:bookmarkStart w:colFirst="0" w:colLast="0" w:name="_heading=h.meukdy" w:id="102"/>
      <w:bookmarkEnd w:id="102"/>
      <w:r w:rsidDel="00000000" w:rsidR="00000000" w:rsidRPr="00000000">
        <w:rPr>
          <w:rtl w:val="0"/>
        </w:rPr>
        <w:t xml:space="preserve">A three-way </w:t>
      </w:r>
      <w:r w:rsidDel="00000000" w:rsidR="00000000" w:rsidRPr="00000000">
        <w:rPr>
          <w:i w:val="1"/>
          <w:rtl w:val="0"/>
        </w:rPr>
        <w:t xml:space="preserve">qpAdm </w:t>
      </w:r>
      <w:r w:rsidDel="00000000" w:rsidR="00000000" w:rsidRPr="00000000">
        <w:rPr>
          <w:rtl w:val="0"/>
        </w:rPr>
        <w:t xml:space="preserve">model using </w:t>
      </w:r>
      <w:r w:rsidDel="00000000" w:rsidR="00000000" w:rsidRPr="00000000">
        <w:rPr>
          <w:i w:val="1"/>
          <w:rtl w:val="0"/>
        </w:rPr>
        <w:t xml:space="preserve">England_LIA_Roman </w:t>
      </w:r>
      <w:r w:rsidDel="00000000" w:rsidR="00000000" w:rsidRPr="00000000">
        <w:rPr>
          <w:rtl w:val="0"/>
        </w:rPr>
        <w:t xml:space="preserve">as source of local British ancestry, </w:t>
      </w:r>
      <w:r w:rsidDel="00000000" w:rsidR="00000000" w:rsidRPr="00000000">
        <w:rPr>
          <w:i w:val="1"/>
          <w:rtl w:val="0"/>
        </w:rPr>
        <w:t xml:space="preserve">LowerSaxony_EMA </w:t>
      </w:r>
      <w:r w:rsidDel="00000000" w:rsidR="00000000" w:rsidRPr="00000000">
        <w:rPr>
          <w:rtl w:val="0"/>
        </w:rPr>
        <w:t xml:space="preserve">as source of CNE ancestry, and </w:t>
      </w:r>
      <w:r w:rsidDel="00000000" w:rsidR="00000000" w:rsidRPr="00000000">
        <w:rPr>
          <w:i w:val="1"/>
          <w:rtl w:val="0"/>
        </w:rPr>
        <w:t xml:space="preserve">France_IA </w:t>
      </w:r>
      <w:r w:rsidDel="00000000" w:rsidR="00000000" w:rsidRPr="00000000">
        <w:rPr>
          <w:rtl w:val="0"/>
        </w:rPr>
        <w:t xml:space="preserve">as source of CWE ancestry) (Supp. Table 5.16). </w:t>
      </w:r>
    </w:p>
    <w:p w:rsidR="00000000" w:rsidDel="00000000" w:rsidP="00000000" w:rsidRDefault="00000000" w:rsidRPr="00000000" w14:paraId="00000817">
      <w:pPr>
        <w:numPr>
          <w:ilvl w:val="0"/>
          <w:numId w:val="6"/>
        </w:numPr>
        <w:ind w:left="720" w:hanging="360"/>
        <w:rPr/>
      </w:pPr>
      <w:bookmarkStart w:colFirst="0" w:colLast="0" w:name="_heading=h.36ei31r" w:id="103"/>
      <w:bookmarkEnd w:id="103"/>
      <w:r w:rsidDel="00000000" w:rsidR="00000000" w:rsidRPr="00000000">
        <w:rPr>
          <w:rtl w:val="0"/>
        </w:rPr>
        <w:t xml:space="preserve">A supervised ADMIXTURE model using present-day Irish, Northern Irish, Scottish, and Welsh (WBI) as source of local British ancestry, present-day Danish and northern Germans (CNE) as source of CNE ancestry, and present-day Belgians and French as source of CWE ancestry (Supp. Table 5.18).  </w:t>
      </w:r>
    </w:p>
    <w:p w:rsidR="00000000" w:rsidDel="00000000" w:rsidP="00000000" w:rsidRDefault="00000000" w:rsidRPr="00000000" w14:paraId="00000818">
      <w:pPr>
        <w:rPr/>
      </w:pPr>
      <w:bookmarkStart w:colFirst="0" w:colLast="0" w:name="_heading=h.1ljsd9k" w:id="104"/>
      <w:bookmarkEnd w:id="104"/>
      <w:r w:rsidDel="00000000" w:rsidR="00000000" w:rsidRPr="00000000">
        <w:rPr>
          <w:rtl w:val="0"/>
        </w:rPr>
        <w:t xml:space="preserve">While all four approaches employ different methods and/or reference data, obtained estimates of the three ancestries are highly similar (Supp. Fig. 5.18a/c) and strongly correlated with each other (Supp. Fig. 5.18b/d) as well as with different methods of quantifying genetic affinity like PCA and </w:t>
      </w:r>
      <w:r w:rsidDel="00000000" w:rsidR="00000000" w:rsidRPr="00000000">
        <w:rPr>
          <w:i w:val="1"/>
          <w:rtl w:val="0"/>
        </w:rPr>
        <w:t xml:space="preserve">F</w:t>
      </w:r>
      <w:r w:rsidDel="00000000" w:rsidR="00000000" w:rsidRPr="00000000">
        <w:rPr>
          <w:vertAlign w:val="subscript"/>
          <w:rtl w:val="0"/>
        </w:rPr>
        <w:t xml:space="preserve">4 </w:t>
      </w:r>
      <w:r w:rsidDel="00000000" w:rsidR="00000000" w:rsidRPr="00000000">
        <w:rPr>
          <w:rtl w:val="0"/>
        </w:rPr>
        <w:t xml:space="preserve">(Supp. Fig. 5.19).</w:t>
      </w:r>
    </w:p>
    <w:p w:rsidR="00000000" w:rsidDel="00000000" w:rsidP="00000000" w:rsidRDefault="00000000" w:rsidRPr="00000000" w14:paraId="00000819">
      <w:pPr>
        <w:rPr/>
      </w:pPr>
      <w:bookmarkStart w:colFirst="0" w:colLast="0" w:name="_heading=h.45jfvxd" w:id="105"/>
      <w:bookmarkEnd w:id="105"/>
      <w:r w:rsidDel="00000000" w:rsidR="00000000" w:rsidRPr="00000000">
        <w:rPr/>
        <w:drawing>
          <wp:inline distB="0" distT="0" distL="0" distR="0">
            <wp:extent cx="5760720" cy="5021580"/>
            <wp:effectExtent b="0" l="0" r="0" t="0"/>
            <wp:docPr descr="Diagram&#10;&#10;Description automatically generated" id="174" name="image65.png"/>
            <a:graphic>
              <a:graphicData uri="http://schemas.openxmlformats.org/drawingml/2006/picture">
                <pic:pic>
                  <pic:nvPicPr>
                    <pic:cNvPr descr="Diagram&#10;&#10;Description automatically generated" id="0" name="image65.png"/>
                    <pic:cNvPicPr preferRelativeResize="0"/>
                  </pic:nvPicPr>
                  <pic:blipFill>
                    <a:blip r:embed="rId204"/>
                    <a:srcRect b="0" l="0" r="0" t="0"/>
                    <a:stretch>
                      <a:fillRect/>
                    </a:stretch>
                  </pic:blipFill>
                  <pic:spPr>
                    <a:xfrm>
                      <a:off x="0" y="0"/>
                      <a:ext cx="5760720" cy="5021580"/>
                    </a:xfrm>
                    <a:prstGeom prst="rect"/>
                    <a:ln/>
                  </pic:spPr>
                </pic:pic>
              </a:graphicData>
            </a:graphic>
          </wp:inline>
        </w:drawing>
      </w:r>
      <w:r w:rsidDel="00000000" w:rsidR="00000000" w:rsidRPr="00000000">
        <w:rPr>
          <w:rtl w:val="0"/>
        </w:rPr>
      </w:r>
    </w:p>
    <w:p w:rsidR="00000000" w:rsidDel="00000000" w:rsidP="00000000" w:rsidRDefault="00000000" w:rsidRPr="00000000" w14:paraId="0000081A">
      <w:pPr>
        <w:spacing w:after="200" w:line="240" w:lineRule="auto"/>
        <w:rPr>
          <w:i w:val="1"/>
          <w:sz w:val="18"/>
          <w:szCs w:val="18"/>
        </w:rPr>
      </w:pPr>
      <w:r w:rsidDel="00000000" w:rsidR="00000000" w:rsidRPr="00000000">
        <w:rPr>
          <w:b w:val="1"/>
          <w:i w:val="1"/>
          <w:sz w:val="18"/>
          <w:szCs w:val="18"/>
          <w:rtl w:val="0"/>
        </w:rPr>
        <w:t xml:space="preserve">Supplementary Figure 5.18, Validation of admixture estimates using different source populations.</w:t>
      </w:r>
      <w:r w:rsidDel="00000000" w:rsidR="00000000" w:rsidRPr="00000000">
        <w:rPr>
          <w:i w:val="1"/>
          <w:sz w:val="18"/>
          <w:szCs w:val="18"/>
          <w:rtl w:val="0"/>
        </w:rPr>
        <w:t xml:space="preserve"> a) Distribution of CNE ancestry in 23 present-day English regions as inferred using qpAdm and supervised ADMIXTURE shown as Boxplot. As a source of CNE ancestry in qpAdm we used England_EMA_CNE (n = 109) and LowerSaxony_EMA (n = 39). For England_EMA_CNE, we also calculated a model where England_LIA_Roman was replaced with the early medieval Worth Matravers population (n = 16). Results of supervised ADMIXTURE at K = 3 using CNE (n = 407), WBI (n = 667), and CWE (n = 1074) are shown for comparison. Median estimates are denoted. Bounds of the Box represent the 25</w:t>
      </w:r>
      <w:r w:rsidDel="00000000" w:rsidR="00000000" w:rsidRPr="00000000">
        <w:rPr>
          <w:i w:val="1"/>
          <w:sz w:val="18"/>
          <w:szCs w:val="18"/>
          <w:vertAlign w:val="superscript"/>
          <w:rtl w:val="0"/>
        </w:rPr>
        <w:t xml:space="preserve">th</w:t>
      </w:r>
      <w:r w:rsidDel="00000000" w:rsidR="00000000" w:rsidRPr="00000000">
        <w:rPr>
          <w:i w:val="1"/>
          <w:sz w:val="18"/>
          <w:szCs w:val="18"/>
          <w:rtl w:val="0"/>
        </w:rPr>
        <w:t xml:space="preserve"> and 75</w:t>
      </w:r>
      <w:r w:rsidDel="00000000" w:rsidR="00000000" w:rsidRPr="00000000">
        <w:rPr>
          <w:i w:val="1"/>
          <w:sz w:val="18"/>
          <w:szCs w:val="18"/>
          <w:vertAlign w:val="superscript"/>
          <w:rtl w:val="0"/>
        </w:rPr>
        <w:t xml:space="preserve">th</w:t>
      </w:r>
      <w:r w:rsidDel="00000000" w:rsidR="00000000" w:rsidRPr="00000000">
        <w:rPr>
          <w:i w:val="1"/>
          <w:sz w:val="18"/>
          <w:szCs w:val="18"/>
          <w:rtl w:val="0"/>
        </w:rPr>
        <w:t xml:space="preserve"> Percentile. The centre represents the median. Whiskers represent the smallest value greater than the 25</w:t>
      </w:r>
      <w:r w:rsidDel="00000000" w:rsidR="00000000" w:rsidRPr="00000000">
        <w:rPr>
          <w:i w:val="1"/>
          <w:sz w:val="18"/>
          <w:szCs w:val="18"/>
          <w:vertAlign w:val="superscript"/>
          <w:rtl w:val="0"/>
        </w:rPr>
        <w:t xml:space="preserve">th</w:t>
      </w:r>
      <w:r w:rsidDel="00000000" w:rsidR="00000000" w:rsidRPr="00000000">
        <w:rPr>
          <w:i w:val="1"/>
          <w:sz w:val="18"/>
          <w:szCs w:val="18"/>
          <w:rtl w:val="0"/>
        </w:rPr>
        <w:t xml:space="preserve"> Percentile minus 1.5 times the interquartile range and largest value less than the 75</w:t>
      </w:r>
      <w:r w:rsidDel="00000000" w:rsidR="00000000" w:rsidRPr="00000000">
        <w:rPr>
          <w:i w:val="1"/>
          <w:sz w:val="18"/>
          <w:szCs w:val="18"/>
          <w:vertAlign w:val="superscript"/>
          <w:rtl w:val="0"/>
        </w:rPr>
        <w:t xml:space="preserve">th</w:t>
      </w:r>
      <w:r w:rsidDel="00000000" w:rsidR="00000000" w:rsidRPr="00000000">
        <w:rPr>
          <w:i w:val="1"/>
          <w:sz w:val="18"/>
          <w:szCs w:val="18"/>
          <w:rtl w:val="0"/>
        </w:rPr>
        <w:t xml:space="preserve"> Percentile plus 1.5 times the interquartile range, respectively. Outliers present the minimum and maximum values in the data. Samples sizes for present-day PoBI sampling regions are indicated in Supplementary Table 5.15-18. b) Correlogram illustrating pairwise correlations between different measurements of CNE ancestry using the aforementioned sources in qpAdm. Error bands represent ± 2 standard errors. c) Same as in a) but for CWE ancestry. d) same as in b) but for CWE ancestry.</w:t>
      </w:r>
    </w:p>
    <w:p w:rsidR="00000000" w:rsidDel="00000000" w:rsidP="00000000" w:rsidRDefault="00000000" w:rsidRPr="00000000" w14:paraId="0000081B">
      <w:pPr>
        <w:spacing w:after="200" w:line="240" w:lineRule="auto"/>
        <w:rPr>
          <w:i w:val="1"/>
          <w:sz w:val="18"/>
          <w:szCs w:val="18"/>
        </w:rPr>
      </w:pPr>
      <w:r w:rsidDel="00000000" w:rsidR="00000000" w:rsidRPr="00000000">
        <w:rPr/>
        <w:drawing>
          <wp:inline distB="0" distT="0" distL="0" distR="0">
            <wp:extent cx="5760720" cy="5760720"/>
            <wp:effectExtent b="0" l="0" r="0" t="0"/>
            <wp:docPr descr="Diagram&#10;&#10;Description automatically generated" id="176" name="image60.png"/>
            <a:graphic>
              <a:graphicData uri="http://schemas.openxmlformats.org/drawingml/2006/picture">
                <pic:pic>
                  <pic:nvPicPr>
                    <pic:cNvPr descr="Diagram&#10;&#10;Description automatically generated" id="0" name="image60.png"/>
                    <pic:cNvPicPr preferRelativeResize="0"/>
                  </pic:nvPicPr>
                  <pic:blipFill>
                    <a:blip r:embed="rId205"/>
                    <a:srcRect b="0" l="0" r="0" t="0"/>
                    <a:stretch>
                      <a:fillRect/>
                    </a:stretch>
                  </pic:blipFill>
                  <pic:spPr>
                    <a:xfrm>
                      <a:off x="0" y="0"/>
                      <a:ext cx="5760720" cy="5760720"/>
                    </a:xfrm>
                    <a:prstGeom prst="rect"/>
                    <a:ln/>
                  </pic:spPr>
                </pic:pic>
              </a:graphicData>
            </a:graphic>
          </wp:inline>
        </w:drawing>
      </w:r>
      <w:r w:rsidDel="00000000" w:rsidR="00000000" w:rsidRPr="00000000">
        <w:rPr>
          <w:b w:val="1"/>
          <w:i w:val="1"/>
          <w:sz w:val="18"/>
          <w:szCs w:val="18"/>
          <w:rtl w:val="0"/>
        </w:rPr>
        <w:t xml:space="preserve">Supplementary Figure 5.19, Validation of CNE estimates across different methods.</w:t>
      </w:r>
      <w:r w:rsidDel="00000000" w:rsidR="00000000" w:rsidRPr="00000000">
        <w:rPr>
          <w:i w:val="1"/>
          <w:sz w:val="18"/>
          <w:szCs w:val="18"/>
          <w:rtl w:val="0"/>
        </w:rPr>
        <w:t xml:space="preserve"> Correlogram illustrating pairwise correlations between different measurement of genetic affinity to CNE (mean PC1 and PC2 coordinates in our Northwestern European PCA, mean PC1 and PC2 coordinates in our North Sea PCA, F</w:t>
      </w:r>
      <w:r w:rsidDel="00000000" w:rsidR="00000000" w:rsidRPr="00000000">
        <w:rPr>
          <w:i w:val="1"/>
          <w:sz w:val="18"/>
          <w:szCs w:val="18"/>
          <w:vertAlign w:val="subscript"/>
          <w:rtl w:val="0"/>
        </w:rPr>
        <w:t xml:space="preserve">4</w:t>
      </w:r>
      <w:r w:rsidDel="00000000" w:rsidR="00000000" w:rsidRPr="00000000">
        <w:rPr>
          <w:i w:val="1"/>
          <w:sz w:val="18"/>
          <w:szCs w:val="18"/>
          <w:rtl w:val="0"/>
        </w:rPr>
        <w:t xml:space="preserve"> statistics of the form F</w:t>
      </w:r>
      <w:r w:rsidDel="00000000" w:rsidR="00000000" w:rsidRPr="00000000">
        <w:rPr>
          <w:i w:val="1"/>
          <w:sz w:val="18"/>
          <w:szCs w:val="18"/>
          <w:vertAlign w:val="subscript"/>
          <w:rtl w:val="0"/>
        </w:rPr>
        <w:t xml:space="preserve">4</w:t>
      </w:r>
      <w:r w:rsidDel="00000000" w:rsidR="00000000" w:rsidRPr="00000000">
        <w:rPr>
          <w:i w:val="1"/>
          <w:sz w:val="18"/>
          <w:szCs w:val="18"/>
          <w:rtl w:val="0"/>
        </w:rPr>
        <w:t xml:space="preserve">(YRI, X; WBI, CNE), supervised ADMIXTURE estimates at K = 2, qpAdm three-way admixture estimates using either England_EMA_CNE or LowerSaxony_EMA as sources) across 23 present-day English populations. Spearman's r for each pairwise correlation test are indicated in the upper triangle of the matrix. Error bands represent ± 2 standard errors. </w:t>
      </w:r>
    </w:p>
    <w:p w:rsidR="00000000" w:rsidDel="00000000" w:rsidP="00000000" w:rsidRDefault="00000000" w:rsidRPr="00000000" w14:paraId="0000081C">
      <w:pPr>
        <w:spacing w:after="200" w:line="240" w:lineRule="auto"/>
        <w:rPr/>
      </w:pPr>
      <w:r w:rsidDel="00000000" w:rsidR="00000000" w:rsidRPr="00000000">
        <w:rPr>
          <w:rtl w:val="0"/>
        </w:rPr>
        <w:t xml:space="preserve">Additionally, we investigated the effects of different sample sizes and sequencing data generation techniques on our estimates. We grouped the available </w:t>
      </w:r>
      <w:r w:rsidDel="00000000" w:rsidR="00000000" w:rsidRPr="00000000">
        <w:rPr>
          <w:i w:val="1"/>
          <w:rtl w:val="0"/>
        </w:rPr>
        <w:t xml:space="preserve">England_LIA_Roman</w:t>
      </w:r>
      <w:r w:rsidDel="00000000" w:rsidR="00000000" w:rsidRPr="00000000">
        <w:rPr>
          <w:rtl w:val="0"/>
        </w:rPr>
        <w:t xml:space="preserve">, </w:t>
      </w:r>
      <w:r w:rsidDel="00000000" w:rsidR="00000000" w:rsidRPr="00000000">
        <w:rPr>
          <w:i w:val="1"/>
          <w:rtl w:val="0"/>
        </w:rPr>
        <w:t xml:space="preserve">England_EMA_CNE</w:t>
      </w:r>
      <w:r w:rsidDel="00000000" w:rsidR="00000000" w:rsidRPr="00000000">
        <w:rPr>
          <w:rtl w:val="0"/>
        </w:rPr>
        <w:t xml:space="preserve">, and </w:t>
      </w:r>
      <w:r w:rsidDel="00000000" w:rsidR="00000000" w:rsidRPr="00000000">
        <w:rPr>
          <w:i w:val="1"/>
          <w:rtl w:val="0"/>
        </w:rPr>
        <w:t xml:space="preserve">France_IA </w:t>
      </w:r>
      <w:r w:rsidDel="00000000" w:rsidR="00000000" w:rsidRPr="00000000">
        <w:rPr>
          <w:rtl w:val="0"/>
        </w:rPr>
        <w:t xml:space="preserve">data according to the sequencing approach (1240k capture versus shogun sequencing) into three groups: i) exclusively 1240 capture data, ii) exclusively shotgun sequencing data and ii) mixed 1240k capture and shotgun sequencing data. For each of these groups, two subgroups were created: a) all available samples per population (resulting in large differences between source population sample sizes), and b) randomly downsampled subsets of the same sample size (across all three source populations). For those six combinations of source populations, we calculated the three-way admixture model of present-day English PoBI sampling regions described earlier and compared the inferred estimates of </w:t>
      </w:r>
      <w:r w:rsidDel="00000000" w:rsidR="00000000" w:rsidRPr="00000000">
        <w:rPr>
          <w:i w:val="1"/>
          <w:rtl w:val="0"/>
        </w:rPr>
        <w:t xml:space="preserve">England_EMA_CNE </w:t>
      </w:r>
      <w:r w:rsidDel="00000000" w:rsidR="00000000" w:rsidRPr="00000000">
        <w:rPr>
          <w:rtl w:val="0"/>
        </w:rPr>
        <w:t xml:space="preserve">and </w:t>
      </w:r>
      <w:r w:rsidDel="00000000" w:rsidR="00000000" w:rsidRPr="00000000">
        <w:rPr>
          <w:i w:val="1"/>
          <w:rtl w:val="0"/>
        </w:rPr>
        <w:t xml:space="preserve">France_IA </w:t>
      </w:r>
      <w:r w:rsidDel="00000000" w:rsidR="00000000" w:rsidRPr="00000000">
        <w:rPr>
          <w:rtl w:val="0"/>
        </w:rPr>
        <w:t xml:space="preserve">ancestry. While there are small absolute differences in median CNE ancestry (ranging between 49% and 45% across all six groupings) (Supp. Fig. 5.20a) and median CWE ancestry (ranging between 23% and 30% across all six groupings) (Supp. Fig. 5.20c), the distribution of CNE (Supp. Fig. 5.20b) and CWE (Supp. Fig. 5.20d) ancestry is highly correlated across the different groupings (Spearmans’ |</w:t>
      </w:r>
      <w:r w:rsidDel="00000000" w:rsidR="00000000" w:rsidRPr="00000000">
        <w:rPr>
          <w:i w:val="1"/>
          <w:rtl w:val="0"/>
        </w:rPr>
        <w:t xml:space="preserve">r</w:t>
      </w:r>
      <w:r w:rsidDel="00000000" w:rsidR="00000000" w:rsidRPr="00000000">
        <w:rPr>
          <w:rtl w:val="0"/>
        </w:rPr>
        <w:t xml:space="preserve">| &gt; 0.92). Miniscule differences and deviations are expected since all six groupings comprise different individuals, which affects the population genetic conditions of the source populations. Completely similar results are therefore impossible. Yet, we show in general that our inferred admixture proportions for present-day England are stable and reliable even using heterogeneous data or small sample sizes and that the choice of sample size or sequencing technique does not severely affect our </w:t>
      </w:r>
      <w:r w:rsidDel="00000000" w:rsidR="00000000" w:rsidRPr="00000000">
        <w:rPr>
          <w:i w:val="1"/>
          <w:rtl w:val="0"/>
        </w:rPr>
        <w:t xml:space="preserve">qpAdm </w:t>
      </w:r>
      <w:r w:rsidDel="00000000" w:rsidR="00000000" w:rsidRPr="00000000">
        <w:rPr>
          <w:rtl w:val="0"/>
        </w:rPr>
        <w:t xml:space="preserve">model outcome.</w:t>
      </w:r>
    </w:p>
    <w:p w:rsidR="00000000" w:rsidDel="00000000" w:rsidP="00000000" w:rsidRDefault="00000000" w:rsidRPr="00000000" w14:paraId="0000081D">
      <w:pPr>
        <w:spacing w:after="200" w:line="240" w:lineRule="auto"/>
        <w:rPr/>
      </w:pPr>
      <w:r w:rsidDel="00000000" w:rsidR="00000000" w:rsidRPr="00000000">
        <w:rPr/>
        <w:drawing>
          <wp:inline distB="0" distT="0" distL="0" distR="0">
            <wp:extent cx="5760720" cy="4930140"/>
            <wp:effectExtent b="0" l="0" r="0" t="0"/>
            <wp:docPr descr="Chart&#10;&#10;Description automatically generated with medium confidence" id="178" name="image64.png"/>
            <a:graphic>
              <a:graphicData uri="http://schemas.openxmlformats.org/drawingml/2006/picture">
                <pic:pic>
                  <pic:nvPicPr>
                    <pic:cNvPr descr="Chart&#10;&#10;Description automatically generated with medium confidence" id="0" name="image64.png"/>
                    <pic:cNvPicPr preferRelativeResize="0"/>
                  </pic:nvPicPr>
                  <pic:blipFill>
                    <a:blip r:embed="rId206"/>
                    <a:srcRect b="0" l="0" r="0" t="0"/>
                    <a:stretch>
                      <a:fillRect/>
                    </a:stretch>
                  </pic:blipFill>
                  <pic:spPr>
                    <a:xfrm>
                      <a:off x="0" y="0"/>
                      <a:ext cx="5760720" cy="4930140"/>
                    </a:xfrm>
                    <a:prstGeom prst="rect"/>
                    <a:ln/>
                  </pic:spPr>
                </pic:pic>
              </a:graphicData>
            </a:graphic>
          </wp:inline>
        </w:drawing>
      </w:r>
      <w:r w:rsidDel="00000000" w:rsidR="00000000" w:rsidRPr="00000000">
        <w:rPr>
          <w:rtl w:val="0"/>
        </w:rPr>
      </w:r>
    </w:p>
    <w:p w:rsidR="00000000" w:rsidDel="00000000" w:rsidP="00000000" w:rsidRDefault="00000000" w:rsidRPr="00000000" w14:paraId="0000081E">
      <w:pPr>
        <w:spacing w:after="200" w:line="240" w:lineRule="auto"/>
        <w:rPr>
          <w:i w:val="1"/>
          <w:sz w:val="18"/>
          <w:szCs w:val="18"/>
        </w:rPr>
      </w:pPr>
      <w:r w:rsidDel="00000000" w:rsidR="00000000" w:rsidRPr="00000000">
        <w:rPr>
          <w:b w:val="1"/>
          <w:i w:val="1"/>
          <w:sz w:val="18"/>
          <w:szCs w:val="18"/>
          <w:rtl w:val="0"/>
        </w:rPr>
        <w:t xml:space="preserve">Supplementary Figure 5.20, Validation of admixture estimates using different input data. </w:t>
      </w:r>
      <w:r w:rsidDel="00000000" w:rsidR="00000000" w:rsidRPr="00000000">
        <w:rPr>
          <w:i w:val="1"/>
          <w:sz w:val="18"/>
          <w:szCs w:val="18"/>
          <w:rtl w:val="0"/>
        </w:rPr>
        <w:t xml:space="preserve">a) Distribution of CNE ancestry in 23 present-day English regions as inferred using qpAdm shown as Boxplots. Input data was divided in six categories: 1240k capture data only (CAP, n = 86, 265, and 7 for England_EMA_CNE, England_IA, and France_IA respectively), shotgun sequencing data only (SG, n = 23, 8, and 19 for England_EMA_CNE, England_IA, and France_IA respectively), and 1240k capture and shotgun sequencing data mixed (CAP_SG, n = 109, 273, and 26 for England_EMA_CNE, England_IA, and France_IA respectively). For each of these categories a downsampled version was generated so that all three admixture sources had the same sample size (CAP_N, SG_N, CAP_SG_N; n = 7, 8, and 26 respectively). Median estimates are denoted. Bounds of the Box represent the 25</w:t>
      </w:r>
      <w:r w:rsidDel="00000000" w:rsidR="00000000" w:rsidRPr="00000000">
        <w:rPr>
          <w:i w:val="1"/>
          <w:sz w:val="18"/>
          <w:szCs w:val="18"/>
          <w:vertAlign w:val="superscript"/>
          <w:rtl w:val="0"/>
        </w:rPr>
        <w:t xml:space="preserve">th</w:t>
      </w:r>
      <w:r w:rsidDel="00000000" w:rsidR="00000000" w:rsidRPr="00000000">
        <w:rPr>
          <w:i w:val="1"/>
          <w:sz w:val="18"/>
          <w:szCs w:val="18"/>
          <w:rtl w:val="0"/>
        </w:rPr>
        <w:t xml:space="preserve"> and 75</w:t>
      </w:r>
      <w:r w:rsidDel="00000000" w:rsidR="00000000" w:rsidRPr="00000000">
        <w:rPr>
          <w:i w:val="1"/>
          <w:sz w:val="18"/>
          <w:szCs w:val="18"/>
          <w:vertAlign w:val="superscript"/>
          <w:rtl w:val="0"/>
        </w:rPr>
        <w:t xml:space="preserve">th</w:t>
      </w:r>
      <w:r w:rsidDel="00000000" w:rsidR="00000000" w:rsidRPr="00000000">
        <w:rPr>
          <w:i w:val="1"/>
          <w:sz w:val="18"/>
          <w:szCs w:val="18"/>
          <w:rtl w:val="0"/>
        </w:rPr>
        <w:t xml:space="preserve"> Percentile. The centre represents the median. Whiskers represent the smallest value greater than the 25</w:t>
      </w:r>
      <w:r w:rsidDel="00000000" w:rsidR="00000000" w:rsidRPr="00000000">
        <w:rPr>
          <w:i w:val="1"/>
          <w:sz w:val="18"/>
          <w:szCs w:val="18"/>
          <w:vertAlign w:val="superscript"/>
          <w:rtl w:val="0"/>
        </w:rPr>
        <w:t xml:space="preserve">th</w:t>
      </w:r>
      <w:r w:rsidDel="00000000" w:rsidR="00000000" w:rsidRPr="00000000">
        <w:rPr>
          <w:i w:val="1"/>
          <w:sz w:val="18"/>
          <w:szCs w:val="18"/>
          <w:rtl w:val="0"/>
        </w:rPr>
        <w:t xml:space="preserve"> Percentile minus 1.5 times the interquartile range and largest value less than the 75</w:t>
      </w:r>
      <w:r w:rsidDel="00000000" w:rsidR="00000000" w:rsidRPr="00000000">
        <w:rPr>
          <w:i w:val="1"/>
          <w:sz w:val="18"/>
          <w:szCs w:val="18"/>
          <w:vertAlign w:val="superscript"/>
          <w:rtl w:val="0"/>
        </w:rPr>
        <w:t xml:space="preserve">th</w:t>
      </w:r>
      <w:r w:rsidDel="00000000" w:rsidR="00000000" w:rsidRPr="00000000">
        <w:rPr>
          <w:i w:val="1"/>
          <w:sz w:val="18"/>
          <w:szCs w:val="18"/>
          <w:rtl w:val="0"/>
        </w:rPr>
        <w:t xml:space="preserve"> Percentile plus 1.5 times the interquartile range, respectively. Outliers present the minimum and maximum values in the data. b) Correlogram illustrating pairwise correlations between different measurements of CNE ancestry using the aforementioned sources in qpAdm. Samples sizes for present-day PoBI sampling regions are indicated in Supplementary Table 5.15. Error bands represent ± 2 standard errors. c) Same as in a) but for CWE ancestry. d) same as in b) but for CWE ancestry.</w:t>
      </w:r>
    </w:p>
    <w:p w:rsidR="00000000" w:rsidDel="00000000" w:rsidP="00000000" w:rsidRDefault="00000000" w:rsidRPr="00000000" w14:paraId="0000081F">
      <w:pPr>
        <w:rPr/>
      </w:pPr>
      <w:bookmarkStart w:colFirst="0" w:colLast="0" w:name="_heading=h.2koq656" w:id="106"/>
      <w:bookmarkEnd w:id="106"/>
      <w:r w:rsidDel="00000000" w:rsidR="00000000" w:rsidRPr="00000000">
        <w:rPr>
          <w:rtl w:val="0"/>
        </w:rPr>
        <w:t xml:space="preserve">Using </w:t>
      </w:r>
      <w:r w:rsidDel="00000000" w:rsidR="00000000" w:rsidRPr="00000000">
        <w:rPr>
          <w:i w:val="1"/>
          <w:rtl w:val="0"/>
        </w:rPr>
        <w:t xml:space="preserve">LowerSaxony_EMA </w:t>
      </w:r>
      <w:r w:rsidDel="00000000" w:rsidR="00000000" w:rsidRPr="00000000">
        <w:rPr>
          <w:rtl w:val="0"/>
        </w:rPr>
        <w:t xml:space="preserve">as CNE source and </w:t>
      </w:r>
      <w:r w:rsidDel="00000000" w:rsidR="00000000" w:rsidRPr="00000000">
        <w:rPr>
          <w:i w:val="1"/>
          <w:rtl w:val="0"/>
        </w:rPr>
        <w:t xml:space="preserve">France_IA </w:t>
      </w:r>
      <w:r w:rsidDel="00000000" w:rsidR="00000000" w:rsidRPr="00000000">
        <w:rPr>
          <w:rtl w:val="0"/>
        </w:rPr>
        <w:t xml:space="preserve">as CWE source, we increase the number of significant (</w:t>
      </w:r>
      <w:r w:rsidDel="00000000" w:rsidR="00000000" w:rsidRPr="00000000">
        <w:rPr>
          <w:i w:val="1"/>
          <w:rtl w:val="0"/>
        </w:rPr>
        <w:t xml:space="preserve">p</w:t>
      </w:r>
      <w:r w:rsidDel="00000000" w:rsidR="00000000" w:rsidRPr="00000000">
        <w:rPr>
          <w:rtl w:val="0"/>
        </w:rPr>
        <w:t xml:space="preserve"> &gt; 0.05) </w:t>
      </w:r>
      <w:r w:rsidDel="00000000" w:rsidR="00000000" w:rsidRPr="00000000">
        <w:rPr>
          <w:i w:val="1"/>
          <w:rtl w:val="0"/>
        </w:rPr>
        <w:t xml:space="preserve">qpAdm </w:t>
      </w:r>
      <w:r w:rsidDel="00000000" w:rsidR="00000000" w:rsidRPr="00000000">
        <w:rPr>
          <w:rtl w:val="0"/>
        </w:rPr>
        <w:t xml:space="preserve">models for the 23 present-day English populations in comparison to the two-way model from zero to 20. For </w:t>
      </w:r>
      <w:r w:rsidDel="00000000" w:rsidR="00000000" w:rsidRPr="00000000">
        <w:rPr>
          <w:i w:val="1"/>
          <w:rtl w:val="0"/>
        </w:rPr>
        <w:t xml:space="preserve">England_EMA_CNE</w:t>
      </w:r>
      <w:r w:rsidDel="00000000" w:rsidR="00000000" w:rsidRPr="00000000">
        <w:rPr>
          <w:rtl w:val="0"/>
        </w:rPr>
        <w:t xml:space="preserve">, the number increases from zero to 23 (Supp. Fig. 5.21). </w:t>
      </w:r>
    </w:p>
    <w:p w:rsidR="00000000" w:rsidDel="00000000" w:rsidP="00000000" w:rsidRDefault="00000000" w:rsidRPr="00000000" w14:paraId="00000820">
      <w:pPr>
        <w:rPr/>
      </w:pPr>
      <w:bookmarkStart w:colFirst="0" w:colLast="0" w:name="_heading=h.zu0gcz" w:id="107"/>
      <w:bookmarkEnd w:id="107"/>
      <w:r w:rsidDel="00000000" w:rsidR="00000000" w:rsidRPr="00000000">
        <w:rPr/>
        <w:drawing>
          <wp:inline distB="0" distT="0" distL="0" distR="0">
            <wp:extent cx="5760720" cy="4459605"/>
            <wp:effectExtent b="0" l="0" r="0" t="0"/>
            <wp:docPr descr="Chart&#10;&#10;Description automatically generated" id="157" name="image45.png"/>
            <a:graphic>
              <a:graphicData uri="http://schemas.openxmlformats.org/drawingml/2006/picture">
                <pic:pic>
                  <pic:nvPicPr>
                    <pic:cNvPr descr="Chart&#10;&#10;Description automatically generated" id="0" name="image45.png"/>
                    <pic:cNvPicPr preferRelativeResize="0"/>
                  </pic:nvPicPr>
                  <pic:blipFill>
                    <a:blip r:embed="rId207"/>
                    <a:srcRect b="0" l="0" r="0" t="0"/>
                    <a:stretch>
                      <a:fillRect/>
                    </a:stretch>
                  </pic:blipFill>
                  <pic:spPr>
                    <a:xfrm>
                      <a:off x="0" y="0"/>
                      <a:ext cx="5760720" cy="4459605"/>
                    </a:xfrm>
                    <a:prstGeom prst="rect"/>
                    <a:ln/>
                  </pic:spPr>
                </pic:pic>
              </a:graphicData>
            </a:graphic>
          </wp:inline>
        </w:drawing>
      </w:r>
      <w:r w:rsidDel="00000000" w:rsidR="00000000" w:rsidRPr="00000000">
        <w:rPr>
          <w:rtl w:val="0"/>
        </w:rPr>
      </w:r>
    </w:p>
    <w:p w:rsidR="00000000" w:rsidDel="00000000" w:rsidP="00000000" w:rsidRDefault="00000000" w:rsidRPr="00000000" w14:paraId="00000821">
      <w:pPr>
        <w:spacing w:after="200" w:line="240" w:lineRule="auto"/>
        <w:rPr/>
      </w:pPr>
      <w:r w:rsidDel="00000000" w:rsidR="00000000" w:rsidRPr="00000000">
        <w:rPr>
          <w:b w:val="1"/>
          <w:i w:val="1"/>
          <w:sz w:val="18"/>
          <w:szCs w:val="18"/>
          <w:rtl w:val="0"/>
        </w:rPr>
        <w:t xml:space="preserve">Supplementary Figure 5.21, Ancestry proportions of 23 present-day English populations inferred using qpAdm and supervised ADMIXTURE</w:t>
      </w:r>
      <w:r w:rsidDel="00000000" w:rsidR="00000000" w:rsidRPr="00000000">
        <w:rPr>
          <w:i w:val="1"/>
          <w:sz w:val="18"/>
          <w:szCs w:val="18"/>
          <w:rtl w:val="0"/>
        </w:rPr>
        <w:t xml:space="preserve">. Upper) Modern England was modelled using two proximal sources representing CNE (England_EMA_CNE, LowerSaxony_EMA, CNE; n = 109, 39, and 407, respectively) and WBI (England_LIA_Roman, WBI; n = 32 and 667, respectively) ancestry. Lower) Modern England was modelled using three proximal sources representing CNE (England_EMA_CNE, LowerSaxony_EMA, CNE) and WBI (England_LIA_Roman, WBI) ancestry, and a continental western European (France_IA, CWE; n = 26 and 1074, respectively) ancestry; Error bars indicate ± 1 standard error obtained from qpAdm or ± 1 standard error of the mean calculated from averaged supervised ADMIXTURE components. qpAdm p-values higher than 0.05 are highlighted in green, p-values lower than 0.05 in red. For the supervised ADMIXTURE analyses no p-values were produced. Samples sizes for present-day PoBI sampling regions are indicated in Supplementary Table 5.15-18.</w:t>
      </w:r>
      <w:r w:rsidDel="00000000" w:rsidR="00000000" w:rsidRPr="00000000">
        <w:rPr>
          <w:rtl w:val="0"/>
        </w:rPr>
      </w:r>
    </w:p>
    <w:p w:rsidR="00000000" w:rsidDel="00000000" w:rsidP="00000000" w:rsidRDefault="00000000" w:rsidRPr="00000000" w14:paraId="00000822">
      <w:pPr>
        <w:rPr/>
      </w:pPr>
      <w:bookmarkStart w:colFirst="0" w:colLast="0" w:name="_heading=h.3jtnz0s" w:id="108"/>
      <w:bookmarkEnd w:id="108"/>
      <w:r w:rsidDel="00000000" w:rsidR="00000000" w:rsidRPr="00000000">
        <w:rPr>
          <w:rtl w:val="0"/>
        </w:rPr>
        <w:t xml:space="preserve">According to the </w:t>
      </w:r>
      <w:r w:rsidDel="00000000" w:rsidR="00000000" w:rsidRPr="00000000">
        <w:rPr>
          <w:i w:val="1"/>
          <w:rtl w:val="0"/>
        </w:rPr>
        <w:t xml:space="preserve">qpAdm </w:t>
      </w:r>
      <w:r w:rsidDel="00000000" w:rsidR="00000000" w:rsidRPr="00000000">
        <w:rPr>
          <w:rtl w:val="0"/>
        </w:rPr>
        <w:t xml:space="preserve">models, </w:t>
      </w:r>
      <w:r w:rsidDel="00000000" w:rsidR="00000000" w:rsidRPr="00000000">
        <w:rPr>
          <w:i w:val="1"/>
          <w:rtl w:val="0"/>
        </w:rPr>
        <w:t xml:space="preserve">France_IA</w:t>
      </w:r>
      <w:r w:rsidDel="00000000" w:rsidR="00000000" w:rsidRPr="00000000">
        <w:rPr>
          <w:rtl w:val="0"/>
        </w:rPr>
        <w:t xml:space="preserve">-related ancestry is more highly concentrated in southern and southeastern England, especially in East Anglia where it provides, depending on the model, up to 27% (model 3) or 43% (model 1) of the ancestry. On the other hand, it is nearly absent in the northern parts of England as well as in Wales, Scotland, and Ireland (Fig. 5, Supp. Fig. 5.22). </w:t>
      </w:r>
      <w:r w:rsidDel="00000000" w:rsidR="00000000" w:rsidRPr="00000000">
        <w:rPr>
          <w:i w:val="1"/>
          <w:rtl w:val="0"/>
        </w:rPr>
        <w:t xml:space="preserve">England_EMA_CNE</w:t>
      </w:r>
      <w:r w:rsidDel="00000000" w:rsidR="00000000" w:rsidRPr="00000000">
        <w:rPr>
          <w:rtl w:val="0"/>
        </w:rPr>
        <w:t xml:space="preserve">/</w:t>
      </w:r>
      <w:r w:rsidDel="00000000" w:rsidR="00000000" w:rsidRPr="00000000">
        <w:rPr>
          <w:i w:val="1"/>
          <w:rtl w:val="0"/>
        </w:rPr>
        <w:t xml:space="preserve">LowerSaxony_EMA</w:t>
      </w:r>
      <w:r w:rsidDel="00000000" w:rsidR="00000000" w:rsidRPr="00000000">
        <w:rPr>
          <w:rtl w:val="0"/>
        </w:rPr>
        <w:t xml:space="preserve"> ancestry is relatively homogenous distributed across the Midlands, East of England, and South East, but found in lower quantities in the North, South West, and along the Welsh border (Fig. 5, Supp. Fig. 5.22). We note that the distribution and proportion of continental ancestry across Britain and Ireland is very similar regardless which proxy for the immigrant CNE and CWE ancestry is used, even when considering present-day sources in a supervised ADMIXTURE setup (Supp. Fig. 5.18, Supp. Fig. 5.21). Using ADMIXTURE, we estimate 40.7% ± 0.4% CNE, 33.9% ± 0.5% WBI, and 25.4% ± 0.4% CWE ancestry in England, which is strongly consistent with our </w:t>
      </w:r>
      <w:r w:rsidDel="00000000" w:rsidR="00000000" w:rsidRPr="00000000">
        <w:rPr>
          <w:i w:val="1"/>
          <w:rtl w:val="0"/>
        </w:rPr>
        <w:t xml:space="preserve">qpAdm </w:t>
      </w:r>
      <w:r w:rsidDel="00000000" w:rsidR="00000000" w:rsidRPr="00000000">
        <w:rPr>
          <w:rtl w:val="0"/>
        </w:rPr>
        <w:t xml:space="preserve">models using ancient sources. </w:t>
      </w:r>
    </w:p>
    <w:p w:rsidR="00000000" w:rsidDel="00000000" w:rsidP="00000000" w:rsidRDefault="00000000" w:rsidRPr="00000000" w14:paraId="00000823">
      <w:pPr>
        <w:spacing w:after="200" w:line="240" w:lineRule="auto"/>
        <w:rPr/>
      </w:pPr>
      <w:r w:rsidDel="00000000" w:rsidR="00000000" w:rsidRPr="00000000">
        <w:rPr>
          <w:rtl w:val="0"/>
        </w:rPr>
      </w:r>
    </w:p>
    <w:p w:rsidR="00000000" w:rsidDel="00000000" w:rsidP="00000000" w:rsidRDefault="00000000" w:rsidRPr="00000000" w14:paraId="00000824">
      <w:pPr>
        <w:rPr/>
      </w:pPr>
      <w:bookmarkStart w:colFirst="0" w:colLast="0" w:name="_heading=h.1yyy98l" w:id="109"/>
      <w:bookmarkEnd w:id="109"/>
      <w:r w:rsidDel="00000000" w:rsidR="00000000" w:rsidRPr="00000000">
        <w:rPr/>
        <w:drawing>
          <wp:inline distB="0" distT="0" distL="0" distR="0">
            <wp:extent cx="5760720" cy="5959475"/>
            <wp:effectExtent b="0" l="0" r="0" t="0"/>
            <wp:docPr descr="Map&#10;&#10;Description automatically generated" id="134" name="image32.png"/>
            <a:graphic>
              <a:graphicData uri="http://schemas.openxmlformats.org/drawingml/2006/picture">
                <pic:pic>
                  <pic:nvPicPr>
                    <pic:cNvPr descr="Map&#10;&#10;Description automatically generated" id="0" name="image32.png"/>
                    <pic:cNvPicPr preferRelativeResize="0"/>
                  </pic:nvPicPr>
                  <pic:blipFill>
                    <a:blip r:embed="rId208"/>
                    <a:srcRect b="0" l="0" r="0" t="0"/>
                    <a:stretch>
                      <a:fillRect/>
                    </a:stretch>
                  </pic:blipFill>
                  <pic:spPr>
                    <a:xfrm>
                      <a:off x="0" y="0"/>
                      <a:ext cx="5760720" cy="5959475"/>
                    </a:xfrm>
                    <a:prstGeom prst="rect"/>
                    <a:ln/>
                  </pic:spPr>
                </pic:pic>
              </a:graphicData>
            </a:graphic>
          </wp:inline>
        </w:drawing>
      </w:r>
      <w:r w:rsidDel="00000000" w:rsidR="00000000" w:rsidRPr="00000000">
        <w:rPr>
          <w:rtl w:val="0"/>
        </w:rPr>
      </w:r>
    </w:p>
    <w:p w:rsidR="00000000" w:rsidDel="00000000" w:rsidP="00000000" w:rsidRDefault="00000000" w:rsidRPr="00000000" w14:paraId="00000825">
      <w:pPr>
        <w:spacing w:after="200" w:line="240" w:lineRule="auto"/>
        <w:rPr>
          <w:i w:val="1"/>
          <w:sz w:val="18"/>
          <w:szCs w:val="18"/>
        </w:rPr>
      </w:pPr>
      <w:r w:rsidDel="00000000" w:rsidR="00000000" w:rsidRPr="00000000">
        <w:rPr>
          <w:b w:val="1"/>
          <w:i w:val="1"/>
          <w:sz w:val="18"/>
          <w:szCs w:val="18"/>
          <w:rtl w:val="0"/>
        </w:rPr>
        <w:t xml:space="preserve">Supplementary Figure 5.22, Population structure across Britain and Ireland.</w:t>
      </w:r>
      <w:r w:rsidDel="00000000" w:rsidR="00000000" w:rsidRPr="00000000">
        <w:rPr>
          <w:i w:val="1"/>
          <w:sz w:val="18"/>
          <w:szCs w:val="18"/>
          <w:rtl w:val="0"/>
        </w:rPr>
        <w:t xml:space="preserve"> a) Ternary plot of present-day British-Irish populations as a 3-way admixture between England_LIA_Roman, LowerSaxony_EMA, and France_IA using qpAdm. b) Ternary plot of present-day British-Irish populations as a 3-way admixture between WBI, CNE, and CWE using supervised ADMIXTURE. c) Geographic distribution of CNE ancestry based on the interpolation of 31 present-day population estimates obtained using supervised ADMIXTURE. d) Same as c) for CWE.</w:t>
      </w:r>
    </w:p>
    <w:p w:rsidR="00000000" w:rsidDel="00000000" w:rsidP="00000000" w:rsidRDefault="00000000" w:rsidRPr="00000000" w14:paraId="00000826">
      <w:pPr>
        <w:rPr/>
      </w:pPr>
      <w:bookmarkStart w:colFirst="0" w:colLast="0" w:name="_heading=h.4iylrwe" w:id="110"/>
      <w:bookmarkEnd w:id="110"/>
      <w:r w:rsidDel="00000000" w:rsidR="00000000" w:rsidRPr="00000000">
        <w:rPr>
          <w:rtl w:val="0"/>
        </w:rPr>
        <w:t xml:space="preserve">However, while the Iron Age and Roman Period samples used in the qpAdm models originate from from geographically diverse regions in England, the use of central and northern English individuals as source of the local British ancestry in our </w:t>
      </w:r>
      <w:r w:rsidDel="00000000" w:rsidR="00000000" w:rsidRPr="00000000">
        <w:rPr>
          <w:i w:val="1"/>
          <w:rtl w:val="0"/>
        </w:rPr>
        <w:t xml:space="preserve">qpAdms </w:t>
      </w:r>
      <w:r w:rsidDel="00000000" w:rsidR="00000000" w:rsidRPr="00000000">
        <w:rPr>
          <w:rtl w:val="0"/>
        </w:rPr>
        <w:t xml:space="preserve">models may cause overestimation of </w:t>
      </w:r>
      <w:r w:rsidDel="00000000" w:rsidR="00000000" w:rsidRPr="00000000">
        <w:rPr>
          <w:i w:val="1"/>
          <w:rtl w:val="0"/>
        </w:rPr>
        <w:t xml:space="preserve">France_IA</w:t>
      </w:r>
      <w:r w:rsidDel="00000000" w:rsidR="00000000" w:rsidRPr="00000000">
        <w:rPr>
          <w:rtl w:val="0"/>
        </w:rPr>
        <w:t xml:space="preserve">-related ancestry in present-day southern England since Patterson et al. 2021 demonstrated that </w:t>
      </w:r>
      <w:r w:rsidDel="00000000" w:rsidR="00000000" w:rsidRPr="00000000">
        <w:rPr>
          <w:i w:val="1"/>
          <w:rtl w:val="0"/>
        </w:rPr>
        <w:t xml:space="preserve">EEF</w:t>
      </w:r>
      <w:r w:rsidDel="00000000" w:rsidR="00000000" w:rsidRPr="00000000">
        <w:rPr>
          <w:rtl w:val="0"/>
        </w:rPr>
        <w:t xml:space="preserve">-enriched southern European ancestry was more prevalent in the south than in the north of Iron Age Britain. Additionally, sampling from Roman England is still sparse in comparison to the Iron Age and may not fully capture the documented cosmopolitan character of this time period. We therefore used in model ii) the early medieval site Worth Maltravers as source of local English ancestry in the fourth model within </w:t>
      </w:r>
      <w:r w:rsidDel="00000000" w:rsidR="00000000" w:rsidRPr="00000000">
        <w:rPr>
          <w:i w:val="1"/>
          <w:rtl w:val="0"/>
        </w:rPr>
        <w:t xml:space="preserve">qpAdm </w:t>
      </w:r>
      <w:r w:rsidDel="00000000" w:rsidR="00000000" w:rsidRPr="00000000">
        <w:rPr>
          <w:rtl w:val="0"/>
        </w:rPr>
        <w:t xml:space="preserve">together with</w:t>
      </w:r>
      <w:r w:rsidDel="00000000" w:rsidR="00000000" w:rsidRPr="00000000">
        <w:rPr>
          <w:i w:val="1"/>
          <w:rtl w:val="0"/>
        </w:rPr>
        <w:t xml:space="preserve"> England_EMA_CNE</w:t>
      </w:r>
      <w:r w:rsidDel="00000000" w:rsidR="00000000" w:rsidRPr="00000000">
        <w:rPr>
          <w:rtl w:val="0"/>
        </w:rPr>
        <w:t xml:space="preserve">. This site should in theory harbour </w:t>
      </w:r>
      <w:r w:rsidDel="00000000" w:rsidR="00000000" w:rsidRPr="00000000">
        <w:rPr>
          <w:i w:val="1"/>
          <w:rtl w:val="0"/>
        </w:rPr>
        <w:t xml:space="preserve">France_IA</w:t>
      </w:r>
      <w:r w:rsidDel="00000000" w:rsidR="00000000" w:rsidRPr="00000000">
        <w:rPr>
          <w:rtl w:val="0"/>
        </w:rPr>
        <w:t xml:space="preserve">-related ancestry that entered England before the Early Middle Ages, even after the Iron Age. Furthermore, it is located in the south of England, where </w:t>
      </w:r>
      <w:r w:rsidDel="00000000" w:rsidR="00000000" w:rsidRPr="00000000">
        <w:rPr>
          <w:i w:val="1"/>
          <w:rtl w:val="0"/>
        </w:rPr>
        <w:t xml:space="preserve">France_IA</w:t>
      </w:r>
      <w:r w:rsidDel="00000000" w:rsidR="00000000" w:rsidRPr="00000000">
        <w:rPr>
          <w:rtl w:val="0"/>
        </w:rPr>
        <w:t xml:space="preserve">-related ancestry most plausibly must have entered and where we still detect above-average levels of </w:t>
      </w:r>
      <w:r w:rsidDel="00000000" w:rsidR="00000000" w:rsidRPr="00000000">
        <w:rPr>
          <w:i w:val="1"/>
          <w:rtl w:val="0"/>
        </w:rPr>
        <w:t xml:space="preserve">France_IA </w:t>
      </w:r>
      <w:r w:rsidDel="00000000" w:rsidR="00000000" w:rsidRPr="00000000">
        <w:rPr>
          <w:rtl w:val="0"/>
        </w:rPr>
        <w:t xml:space="preserve">ancestry today. Comparing </w:t>
      </w:r>
      <w:r w:rsidDel="00000000" w:rsidR="00000000" w:rsidRPr="00000000">
        <w:rPr>
          <w:i w:val="1"/>
          <w:rtl w:val="0"/>
        </w:rPr>
        <w:t xml:space="preserve">England_LIA </w:t>
      </w:r>
      <w:r w:rsidDel="00000000" w:rsidR="00000000" w:rsidRPr="00000000">
        <w:rPr>
          <w:rtl w:val="0"/>
        </w:rPr>
        <w:t xml:space="preserve">and </w:t>
      </w:r>
      <w:r w:rsidDel="00000000" w:rsidR="00000000" w:rsidRPr="00000000">
        <w:rPr>
          <w:i w:val="1"/>
          <w:rtl w:val="0"/>
        </w:rPr>
        <w:t xml:space="preserve">Worth Matravers </w:t>
      </w:r>
      <w:r w:rsidDel="00000000" w:rsidR="00000000" w:rsidRPr="00000000">
        <w:rPr>
          <w:rtl w:val="0"/>
        </w:rPr>
        <w:t xml:space="preserve">as sources of local British ancestry, we detect no substantial difference in </w:t>
      </w:r>
      <w:r w:rsidDel="00000000" w:rsidR="00000000" w:rsidRPr="00000000">
        <w:rPr>
          <w:i w:val="1"/>
          <w:rtl w:val="0"/>
        </w:rPr>
        <w:t xml:space="preserve">France_IA</w:t>
      </w:r>
      <w:r w:rsidDel="00000000" w:rsidR="00000000" w:rsidRPr="00000000">
        <w:rPr>
          <w:rtl w:val="0"/>
        </w:rPr>
        <w:t xml:space="preserve">-related ancestry among present-day English populations (Fig. 5b) . This indicates that substantial proportions of </w:t>
      </w:r>
      <w:r w:rsidDel="00000000" w:rsidR="00000000" w:rsidRPr="00000000">
        <w:rPr>
          <w:i w:val="1"/>
          <w:rtl w:val="0"/>
        </w:rPr>
        <w:t xml:space="preserve">France_IA </w:t>
      </w:r>
      <w:r w:rsidDel="00000000" w:rsidR="00000000" w:rsidRPr="00000000">
        <w:rPr>
          <w:rtl w:val="0"/>
        </w:rPr>
        <w:t xml:space="preserve">ancestry measured in present-day England must have entered after the Roman Period, some time between the Early Middle Ages and the modern period. </w:t>
      </w:r>
    </w:p>
    <w:p w:rsidR="00000000" w:rsidDel="00000000" w:rsidP="00000000" w:rsidRDefault="00000000" w:rsidRPr="00000000" w14:paraId="00000827">
      <w:pPr>
        <w:rPr/>
      </w:pPr>
      <w:bookmarkStart w:colFirst="0" w:colLast="0" w:name="_heading=h.2y3w247" w:id="111"/>
      <w:bookmarkEnd w:id="111"/>
      <w:r w:rsidDel="00000000" w:rsidR="00000000" w:rsidRPr="00000000">
        <w:rPr>
          <w:rtl w:val="0"/>
        </w:rPr>
        <w:t xml:space="preserve">To which degree additional </w:t>
      </w:r>
      <w:r w:rsidDel="00000000" w:rsidR="00000000" w:rsidRPr="00000000">
        <w:rPr>
          <w:i w:val="1"/>
          <w:rtl w:val="0"/>
        </w:rPr>
        <w:t xml:space="preserve">France_IA</w:t>
      </w:r>
      <w:r w:rsidDel="00000000" w:rsidR="00000000" w:rsidRPr="00000000">
        <w:rPr>
          <w:rtl w:val="0"/>
        </w:rPr>
        <w:t xml:space="preserve">-related ancestry entered after the Iron Age, varies between the British-Irish regions. To better understand this process and quantify the impact of CWE ancestry on present-day Britain and Ireland in relation to pre-Iron Age immigration at a regional level, we computed for 32 British-Irish populations a three-way admixture model in </w:t>
      </w:r>
      <w:r w:rsidDel="00000000" w:rsidR="00000000" w:rsidRPr="00000000">
        <w:rPr>
          <w:i w:val="1"/>
          <w:rtl w:val="0"/>
        </w:rPr>
        <w:t xml:space="preserve">qpAdm </w:t>
      </w:r>
      <w:r w:rsidDel="00000000" w:rsidR="00000000" w:rsidRPr="00000000">
        <w:rPr>
          <w:rtl w:val="0"/>
        </w:rPr>
        <w:t xml:space="preserve">using </w:t>
      </w:r>
      <w:r w:rsidDel="00000000" w:rsidR="00000000" w:rsidRPr="00000000">
        <w:rPr>
          <w:i w:val="1"/>
          <w:rtl w:val="0"/>
        </w:rPr>
        <w:t xml:space="preserve">England_EMA_CNE </w:t>
      </w:r>
      <w:r w:rsidDel="00000000" w:rsidR="00000000" w:rsidRPr="00000000">
        <w:rPr>
          <w:rtl w:val="0"/>
        </w:rPr>
        <w:t xml:space="preserve">and </w:t>
      </w:r>
      <w:r w:rsidDel="00000000" w:rsidR="00000000" w:rsidRPr="00000000">
        <w:rPr>
          <w:i w:val="1"/>
          <w:rtl w:val="0"/>
        </w:rPr>
        <w:t xml:space="preserve">France_IA </w:t>
      </w:r>
      <w:r w:rsidDel="00000000" w:rsidR="00000000" w:rsidRPr="00000000">
        <w:rPr>
          <w:rtl w:val="0"/>
        </w:rPr>
        <w:t xml:space="preserve">as immigrant source ancestries. As source of local ancestry we used either i) a corresponding local Early Bronze Age source (</w:t>
      </w:r>
      <w:r w:rsidDel="00000000" w:rsidR="00000000" w:rsidRPr="00000000">
        <w:rPr>
          <w:i w:val="1"/>
          <w:rtl w:val="0"/>
        </w:rPr>
        <w:t xml:space="preserve">England_C_EBA</w:t>
      </w:r>
      <w:r w:rsidDel="00000000" w:rsidR="00000000" w:rsidRPr="00000000">
        <w:rPr>
          <w:rtl w:val="0"/>
        </w:rPr>
        <w:t xml:space="preserve">, </w:t>
      </w:r>
      <w:r w:rsidDel="00000000" w:rsidR="00000000" w:rsidRPr="00000000">
        <w:rPr>
          <w:i w:val="1"/>
          <w:rtl w:val="0"/>
        </w:rPr>
        <w:t xml:space="preserve">Scotland_C_EBA</w:t>
      </w:r>
      <w:r w:rsidDel="00000000" w:rsidR="00000000" w:rsidRPr="00000000">
        <w:rPr>
          <w:rtl w:val="0"/>
        </w:rPr>
        <w:t xml:space="preserve">, or </w:t>
      </w:r>
      <w:r w:rsidDel="00000000" w:rsidR="00000000" w:rsidRPr="00000000">
        <w:rPr>
          <w:i w:val="1"/>
          <w:rtl w:val="0"/>
        </w:rPr>
        <w:t xml:space="preserve">Ireland_C_EBA</w:t>
      </w:r>
      <w:r w:rsidDel="00000000" w:rsidR="00000000" w:rsidRPr="00000000">
        <w:rPr>
          <w:rtl w:val="0"/>
        </w:rPr>
        <w:t xml:space="preserve">) (Supp. Fig. 5.23a, Supp. Table 5.19) or ii) a corresponding local Iron Age source (</w:t>
      </w:r>
      <w:r w:rsidDel="00000000" w:rsidR="00000000" w:rsidRPr="00000000">
        <w:rPr>
          <w:i w:val="1"/>
          <w:rtl w:val="0"/>
        </w:rPr>
        <w:t xml:space="preserve">England_LIA</w:t>
      </w:r>
      <w:r w:rsidDel="00000000" w:rsidR="00000000" w:rsidRPr="00000000">
        <w:rPr>
          <w:rtl w:val="0"/>
        </w:rPr>
        <w:t xml:space="preserve">, </w:t>
      </w:r>
      <w:r w:rsidDel="00000000" w:rsidR="00000000" w:rsidRPr="00000000">
        <w:rPr>
          <w:i w:val="1"/>
          <w:rtl w:val="0"/>
        </w:rPr>
        <w:t xml:space="preserve">Wales_IA</w:t>
      </w:r>
      <w:r w:rsidDel="00000000" w:rsidR="00000000" w:rsidRPr="00000000">
        <w:rPr>
          <w:rtl w:val="0"/>
        </w:rPr>
        <w:t xml:space="preserve">, </w:t>
      </w:r>
      <w:r w:rsidDel="00000000" w:rsidR="00000000" w:rsidRPr="00000000">
        <w:rPr>
          <w:i w:val="1"/>
          <w:rtl w:val="0"/>
        </w:rPr>
        <w:t xml:space="preserve">Scotland_LIA</w:t>
      </w:r>
      <w:r w:rsidDel="00000000" w:rsidR="00000000" w:rsidRPr="00000000">
        <w:rPr>
          <w:rtl w:val="0"/>
        </w:rPr>
        <w:t xml:space="preserve">, or </w:t>
      </w:r>
      <w:r w:rsidDel="00000000" w:rsidR="00000000" w:rsidRPr="00000000">
        <w:rPr>
          <w:i w:val="1"/>
          <w:rtl w:val="0"/>
        </w:rPr>
        <w:t xml:space="preserve">Ireland_MA</w:t>
      </w:r>
      <w:r w:rsidDel="00000000" w:rsidR="00000000" w:rsidRPr="00000000">
        <w:rPr>
          <w:rtl w:val="0"/>
        </w:rPr>
        <w:t xml:space="preserve">) (for Ireland, no Iron Age population was published so far) (Supp. Fig. 5.23b, Supp. Table 5.20). We find the largest differences in required </w:t>
      </w:r>
      <w:r w:rsidDel="00000000" w:rsidR="00000000" w:rsidRPr="00000000">
        <w:rPr>
          <w:i w:val="1"/>
          <w:rtl w:val="0"/>
        </w:rPr>
        <w:t xml:space="preserve">France_IA </w:t>
      </w:r>
      <w:r w:rsidDel="00000000" w:rsidR="00000000" w:rsidRPr="00000000">
        <w:rPr>
          <w:rtl w:val="0"/>
        </w:rPr>
        <w:t xml:space="preserve">ancestry between the two models in Ireland, Wales, and western Scotland (Argyll and Bute), which might suggest that the majority of </w:t>
      </w:r>
      <w:r w:rsidDel="00000000" w:rsidR="00000000" w:rsidRPr="00000000">
        <w:rPr>
          <w:i w:val="1"/>
          <w:rtl w:val="0"/>
        </w:rPr>
        <w:t xml:space="preserve">France_IA </w:t>
      </w:r>
      <w:r w:rsidDel="00000000" w:rsidR="00000000" w:rsidRPr="00000000">
        <w:rPr>
          <w:rtl w:val="0"/>
        </w:rPr>
        <w:t xml:space="preserve">ancestry detected in those present-day populations entered Ireland and western Britain prior to the Iron Age. In England, especially in the East and Southeast, the differences between the models are relatively smaller, suggesting that comparably similar amounts entered also after the Iron Age.</w:t>
      </w:r>
    </w:p>
    <w:p w:rsidR="00000000" w:rsidDel="00000000" w:rsidP="00000000" w:rsidRDefault="00000000" w:rsidRPr="00000000" w14:paraId="00000828">
      <w:pPr>
        <w:spacing w:after="200" w:line="240" w:lineRule="auto"/>
        <w:rPr>
          <w:i w:val="1"/>
          <w:color w:val="44546a"/>
          <w:sz w:val="18"/>
          <w:szCs w:val="18"/>
        </w:rPr>
      </w:pPr>
      <w:bookmarkStart w:colFirst="0" w:colLast="0" w:name="_heading=h.1d96cc0" w:id="112"/>
      <w:bookmarkEnd w:id="112"/>
      <w:r w:rsidDel="00000000" w:rsidR="00000000" w:rsidRPr="00000000">
        <w:rPr/>
        <w:drawing>
          <wp:inline distB="0" distT="0" distL="0" distR="0">
            <wp:extent cx="5760720" cy="5472430"/>
            <wp:effectExtent b="0" l="0" r="0" t="0"/>
            <wp:docPr descr="A picture containing chart&#10;&#10;Description automatically generated" id="135" name="image27.png"/>
            <a:graphic>
              <a:graphicData uri="http://schemas.openxmlformats.org/drawingml/2006/picture">
                <pic:pic>
                  <pic:nvPicPr>
                    <pic:cNvPr descr="A picture containing chart&#10;&#10;Description automatically generated" id="0" name="image27.png"/>
                    <pic:cNvPicPr preferRelativeResize="0"/>
                  </pic:nvPicPr>
                  <pic:blipFill>
                    <a:blip r:embed="rId209"/>
                    <a:srcRect b="0" l="0" r="0" t="0"/>
                    <a:stretch>
                      <a:fillRect/>
                    </a:stretch>
                  </pic:blipFill>
                  <pic:spPr>
                    <a:xfrm>
                      <a:off x="0" y="0"/>
                      <a:ext cx="5760720" cy="5472430"/>
                    </a:xfrm>
                    <a:prstGeom prst="rect"/>
                    <a:ln/>
                  </pic:spPr>
                </pic:pic>
              </a:graphicData>
            </a:graphic>
          </wp:inline>
        </w:drawing>
      </w:r>
      <w:r w:rsidDel="00000000" w:rsidR="00000000" w:rsidRPr="00000000">
        <w:rPr>
          <w:rtl w:val="0"/>
        </w:rPr>
      </w:r>
    </w:p>
    <w:p w:rsidR="00000000" w:rsidDel="00000000" w:rsidP="00000000" w:rsidRDefault="00000000" w:rsidRPr="00000000" w14:paraId="00000829">
      <w:pPr>
        <w:spacing w:after="200" w:line="240" w:lineRule="auto"/>
        <w:rPr>
          <w:i w:val="1"/>
          <w:sz w:val="18"/>
          <w:szCs w:val="18"/>
        </w:rPr>
      </w:pPr>
      <w:r w:rsidDel="00000000" w:rsidR="00000000" w:rsidRPr="00000000">
        <w:rPr>
          <w:b w:val="1"/>
          <w:i w:val="1"/>
          <w:sz w:val="18"/>
          <w:szCs w:val="18"/>
          <w:rtl w:val="0"/>
        </w:rPr>
        <w:t xml:space="preserve">Supplementary Figure 5.23, European ancestry profiles of the British-Irish regions.</w:t>
      </w:r>
      <w:r w:rsidDel="00000000" w:rsidR="00000000" w:rsidRPr="00000000">
        <w:rPr>
          <w:i w:val="1"/>
          <w:sz w:val="18"/>
          <w:szCs w:val="18"/>
          <w:rtl w:val="0"/>
        </w:rPr>
        <w:t xml:space="preserve"> a) The pie charts represent the ancestry profiles of the British-Irish PoBI sampling regions obtained using qpAdm. Each region was modelled as a three-way admixture between their corresponding local Early Bronze Age source (e.g. present-day England modelled using England_C_EBA (n = 46), Wales using Wales_C_EBA (n = 1), Scotland using Scotland_C_EBA (n = 14), and Ireland using Ireland_C_EBA (n = 3)), England_EMA_CNE (n = 109), and France_IA (n =26). The graph in the left part of the plot depicts the same ancestry profiles of the sampling regions as barplots including error bars of one standard error obtained from qpAdm. b) Same but using a corresponding Iron Age population as source of local ancestry (England_LIA_Roman, n = 32; Wales_IA, n = 6; Scotland_LIA, n = 13). Since so far no Iron Age samples from Ireland are reported, we used the medieval Kilteasheen population (n = 39) as proxy. Samples sizes for present-day PoBI sampling regions are indicated in Supplementary Table 5.19-20. Error bars represent ± 1 standard error.</w:t>
      </w:r>
    </w:p>
    <w:p w:rsidR="00000000" w:rsidDel="00000000" w:rsidP="00000000" w:rsidRDefault="00000000" w:rsidRPr="00000000" w14:paraId="0000082A">
      <w:pPr>
        <w:rPr/>
      </w:pPr>
      <w:bookmarkStart w:colFirst="0" w:colLast="0" w:name="_heading=h.3x8tuzt" w:id="113"/>
      <w:bookmarkEnd w:id="113"/>
      <w:r w:rsidDel="00000000" w:rsidR="00000000" w:rsidRPr="00000000">
        <w:rPr>
          <w:rtl w:val="0"/>
        </w:rPr>
        <w:t xml:space="preserve">Summarising, we infer across all four qpAdm and supervised ADMIXTURE models approximately between 25% and 50% CNE ancestry in modern English populations, which is consistent with previous estimates based on modern and ancient DNA</w:t>
      </w:r>
      <w:hyperlink r:id="rId210">
        <w:r w:rsidDel="00000000" w:rsidR="00000000" w:rsidRPr="00000000">
          <w:rPr>
            <w:color w:val="000000"/>
            <w:vertAlign w:val="superscript"/>
            <w:rtl w:val="0"/>
          </w:rPr>
          <w:t xml:space="preserve">56,120,137</w:t>
        </w:r>
      </w:hyperlink>
      <w:r w:rsidDel="00000000" w:rsidR="00000000" w:rsidRPr="00000000">
        <w:rPr>
          <w:rtl w:val="0"/>
        </w:rPr>
        <w:t xml:space="preserve">. Combining CWE-related and ancient CNE ancestry as “non-local ancestry”, we find that variation in nonlocal ancestry explains 99% of the variation in mean PC2 position of the tested English region populations in our </w:t>
      </w:r>
      <w:r w:rsidDel="00000000" w:rsidR="00000000" w:rsidRPr="00000000">
        <w:rPr>
          <w:i w:val="1"/>
          <w:rtl w:val="0"/>
        </w:rPr>
        <w:t xml:space="preserve">Northwestern European PCA</w:t>
      </w:r>
      <w:r w:rsidDel="00000000" w:rsidR="00000000" w:rsidRPr="00000000">
        <w:rPr>
          <w:rtl w:val="0"/>
        </w:rPr>
        <w:t xml:space="preserve"> setup. We therefore conclude that in Britain, the genetic structure of the east-to-west (the “Anglo-Celtic”</w:t>
      </w:r>
      <w:hyperlink r:id="rId211">
        <w:r w:rsidDel="00000000" w:rsidR="00000000" w:rsidRPr="00000000">
          <w:rPr>
            <w:color w:val="000000"/>
            <w:vertAlign w:val="superscript"/>
            <w:rtl w:val="0"/>
          </w:rPr>
          <w:t xml:space="preserve">178</w:t>
        </w:r>
      </w:hyperlink>
      <w:r w:rsidDel="00000000" w:rsidR="00000000" w:rsidRPr="00000000">
        <w:rPr>
          <w:rtl w:val="0"/>
        </w:rPr>
        <w:t xml:space="preserve">) cline is mainly explained by introgressed continental ancestry that arrived within the last 4,500 years. Especially the variation in population genetic affinity between English regions observed in PCA, as well as </w:t>
      </w:r>
      <w:r w:rsidDel="00000000" w:rsidR="00000000" w:rsidRPr="00000000">
        <w:rPr>
          <w:i w:val="1"/>
          <w:rtl w:val="0"/>
        </w:rPr>
        <w:t xml:space="preserve">F</w:t>
      </w:r>
      <w:r w:rsidDel="00000000" w:rsidR="00000000" w:rsidRPr="00000000">
        <w:rPr>
          <w:vertAlign w:val="subscript"/>
          <w:rtl w:val="0"/>
        </w:rPr>
        <w:t xml:space="preserve">ST</w:t>
      </w:r>
      <w:r w:rsidDel="00000000" w:rsidR="00000000" w:rsidRPr="00000000">
        <w:rPr>
          <w:rtl w:val="0"/>
        </w:rPr>
        <w:t xml:space="preserve">, and </w:t>
      </w:r>
      <w:r w:rsidDel="00000000" w:rsidR="00000000" w:rsidRPr="00000000">
        <w:rPr>
          <w:i w:val="1"/>
          <w:rtl w:val="0"/>
        </w:rPr>
        <w:t xml:space="preserve">F</w:t>
      </w:r>
      <w:r w:rsidDel="00000000" w:rsidR="00000000" w:rsidRPr="00000000">
        <w:rPr>
          <w:vertAlign w:val="subscript"/>
          <w:rtl w:val="0"/>
        </w:rPr>
        <w:t xml:space="preserve">4 </w:t>
      </w:r>
      <w:r w:rsidDel="00000000" w:rsidR="00000000" w:rsidRPr="00000000">
        <w:rPr>
          <w:rtl w:val="0"/>
        </w:rPr>
        <w:t xml:space="preserve">statistics (Supp. Fig. 5.24, Supp. Table 5.21-25) is indeed the product of different proportions of continental admixture. Within England, </w:t>
      </w:r>
      <w:r w:rsidDel="00000000" w:rsidR="00000000" w:rsidRPr="00000000">
        <w:rPr>
          <w:i w:val="1"/>
          <w:rtl w:val="0"/>
        </w:rPr>
        <w:t xml:space="preserve">England_LIA </w:t>
      </w:r>
      <w:r w:rsidDel="00000000" w:rsidR="00000000" w:rsidRPr="00000000">
        <w:rPr>
          <w:rtl w:val="0"/>
        </w:rPr>
        <w:t xml:space="preserve">ancestry is correlated mainly with longitude (Pearson's |</w:t>
      </w:r>
      <w:r w:rsidDel="00000000" w:rsidR="00000000" w:rsidRPr="00000000">
        <w:rPr>
          <w:i w:val="1"/>
          <w:rtl w:val="0"/>
        </w:rPr>
        <w:t xml:space="preserve">r</w:t>
      </w:r>
      <w:r w:rsidDel="00000000" w:rsidR="00000000" w:rsidRPr="00000000">
        <w:rPr>
          <w:rtl w:val="0"/>
        </w:rPr>
        <w:t xml:space="preserve">| = 0.77, </w:t>
      </w:r>
      <w:r w:rsidDel="00000000" w:rsidR="00000000" w:rsidRPr="00000000">
        <w:rPr>
          <w:i w:val="1"/>
          <w:rtl w:val="0"/>
        </w:rPr>
        <w:t xml:space="preserve">t</w:t>
      </w:r>
      <w:r w:rsidDel="00000000" w:rsidR="00000000" w:rsidRPr="00000000">
        <w:rPr>
          <w:rtl w:val="0"/>
        </w:rPr>
        <w:t xml:space="preserve"> = -5.5356, </w:t>
      </w:r>
      <w:r w:rsidDel="00000000" w:rsidR="00000000" w:rsidRPr="00000000">
        <w:rPr>
          <w:i w:val="1"/>
          <w:rtl w:val="0"/>
        </w:rPr>
        <w:t xml:space="preserve">d.f.</w:t>
      </w:r>
      <w:r w:rsidDel="00000000" w:rsidR="00000000" w:rsidRPr="00000000">
        <w:rPr>
          <w:rtl w:val="0"/>
        </w:rPr>
        <w:t xml:space="preserve"> = 21, </w:t>
      </w:r>
      <w:r w:rsidDel="00000000" w:rsidR="00000000" w:rsidRPr="00000000">
        <w:rPr>
          <w:i w:val="1"/>
          <w:rtl w:val="0"/>
        </w:rPr>
        <w:t xml:space="preserve">p</w:t>
      </w:r>
      <w:r w:rsidDel="00000000" w:rsidR="00000000" w:rsidRPr="00000000">
        <w:rPr>
          <w:rtl w:val="0"/>
        </w:rPr>
        <w:t xml:space="preserve"> = 1.712e-05), which verifies previous observations of an east-to-west clinal distribution of continental affinity in present-day England</w:t>
      </w:r>
      <w:r w:rsidDel="00000000" w:rsidR="00000000" w:rsidRPr="00000000">
        <w:rPr>
          <w:vertAlign w:val="superscript"/>
          <w:rtl w:val="0"/>
        </w:rPr>
        <w:t xml:space="preserve">3,41</w:t>
      </w:r>
      <w:r w:rsidDel="00000000" w:rsidR="00000000" w:rsidRPr="00000000">
        <w:rPr>
          <w:rtl w:val="0"/>
        </w:rPr>
        <w:t xml:space="preserve"> and may be related to settlement patterns of immigrating groups during the Middle Ages. This Anglo-Celtic cline is even more pronounced in the British-Irish context, where longitude is even more highly correlated with English Iron Age ancestry (Pearson's |</w:t>
      </w:r>
      <w:r w:rsidDel="00000000" w:rsidR="00000000" w:rsidRPr="00000000">
        <w:rPr>
          <w:i w:val="1"/>
          <w:rtl w:val="0"/>
        </w:rPr>
        <w:t xml:space="preserve">r</w:t>
      </w:r>
      <w:r w:rsidDel="00000000" w:rsidR="00000000" w:rsidRPr="00000000">
        <w:rPr>
          <w:rtl w:val="0"/>
        </w:rPr>
        <w:t xml:space="preserve">| = 0.86, </w:t>
      </w:r>
      <w:r w:rsidDel="00000000" w:rsidR="00000000" w:rsidRPr="00000000">
        <w:rPr>
          <w:i w:val="1"/>
          <w:rtl w:val="0"/>
        </w:rPr>
        <w:t xml:space="preserve">t</w:t>
      </w:r>
      <w:r w:rsidDel="00000000" w:rsidR="00000000" w:rsidRPr="00000000">
        <w:rPr>
          <w:rtl w:val="0"/>
        </w:rPr>
        <w:t xml:space="preserve"> = -8.9696, </w:t>
      </w:r>
      <w:r w:rsidDel="00000000" w:rsidR="00000000" w:rsidRPr="00000000">
        <w:rPr>
          <w:i w:val="1"/>
          <w:rtl w:val="0"/>
        </w:rPr>
        <w:t xml:space="preserve">d.f. </w:t>
      </w:r>
      <w:r w:rsidDel="00000000" w:rsidR="00000000" w:rsidRPr="00000000">
        <w:rPr>
          <w:rtl w:val="0"/>
        </w:rPr>
        <w:t xml:space="preserve">= 29, </w:t>
      </w:r>
      <w:r w:rsidDel="00000000" w:rsidR="00000000" w:rsidRPr="00000000">
        <w:rPr>
          <w:i w:val="1"/>
          <w:rtl w:val="0"/>
        </w:rPr>
        <w:t xml:space="preserve">p</w:t>
      </w:r>
      <w:r w:rsidDel="00000000" w:rsidR="00000000" w:rsidRPr="00000000">
        <w:rPr>
          <w:rtl w:val="0"/>
        </w:rPr>
        <w:t xml:space="preserve"> = 7.325e-10). Populations exhibiting lower proportions of </w:t>
      </w:r>
      <w:r w:rsidDel="00000000" w:rsidR="00000000" w:rsidRPr="00000000">
        <w:rPr>
          <w:i w:val="1"/>
          <w:rtl w:val="0"/>
        </w:rPr>
        <w:t xml:space="preserve">England_LIA </w:t>
      </w:r>
      <w:r w:rsidDel="00000000" w:rsidR="00000000" w:rsidRPr="00000000">
        <w:rPr>
          <w:rtl w:val="0"/>
        </w:rPr>
        <w:t xml:space="preserve">ancestry harbour instead higher fractions of CNE (and CWE) ancestry. </w:t>
      </w:r>
      <w:r w:rsidDel="00000000" w:rsidR="00000000" w:rsidRPr="00000000">
        <w:rPr>
          <w:i w:val="1"/>
          <w:rtl w:val="0"/>
        </w:rPr>
        <w:t xml:space="preserve">F</w:t>
      </w:r>
      <w:r w:rsidDel="00000000" w:rsidR="00000000" w:rsidRPr="00000000">
        <w:rPr>
          <w:vertAlign w:val="subscript"/>
          <w:rtl w:val="0"/>
        </w:rPr>
        <w:t xml:space="preserve">ST</w:t>
      </w:r>
      <w:r w:rsidDel="00000000" w:rsidR="00000000" w:rsidRPr="00000000">
        <w:rPr>
          <w:rtl w:val="0"/>
        </w:rPr>
        <w:t xml:space="preserve"> between </w:t>
      </w:r>
      <w:r w:rsidDel="00000000" w:rsidR="00000000" w:rsidRPr="00000000">
        <w:rPr>
          <w:i w:val="1"/>
          <w:rtl w:val="0"/>
        </w:rPr>
        <w:t xml:space="preserve">England_EMA_CNE </w:t>
      </w:r>
      <w:r w:rsidDel="00000000" w:rsidR="00000000" w:rsidRPr="00000000">
        <w:rPr>
          <w:rtl w:val="0"/>
        </w:rPr>
        <w:t xml:space="preserve">and present-day English populations is highly correlated with the </w:t>
      </w:r>
      <w:r w:rsidDel="00000000" w:rsidR="00000000" w:rsidRPr="00000000">
        <w:rPr>
          <w:i w:val="1"/>
          <w:rtl w:val="0"/>
        </w:rPr>
        <w:t xml:space="preserve">England_EMA_CNE </w:t>
      </w:r>
      <w:r w:rsidDel="00000000" w:rsidR="00000000" w:rsidRPr="00000000">
        <w:rPr>
          <w:rtl w:val="0"/>
        </w:rPr>
        <w:t xml:space="preserve">ancestry proportion inferred using </w:t>
      </w:r>
      <w:r w:rsidDel="00000000" w:rsidR="00000000" w:rsidRPr="00000000">
        <w:rPr>
          <w:i w:val="1"/>
          <w:rtl w:val="0"/>
        </w:rPr>
        <w:t xml:space="preserve">qpAdm </w:t>
      </w:r>
      <w:r w:rsidDel="00000000" w:rsidR="00000000" w:rsidRPr="00000000">
        <w:rPr>
          <w:rtl w:val="0"/>
        </w:rPr>
        <w:t xml:space="preserve">(Pearson's</w:t>
      </w:r>
      <w:r w:rsidDel="00000000" w:rsidR="00000000" w:rsidRPr="00000000">
        <w:rPr>
          <w:i w:val="1"/>
          <w:rtl w:val="0"/>
        </w:rPr>
        <w:t xml:space="preserve"> </w:t>
      </w:r>
      <w:r w:rsidDel="00000000" w:rsidR="00000000" w:rsidRPr="00000000">
        <w:rPr>
          <w:rtl w:val="0"/>
        </w:rPr>
        <w:t xml:space="preserve">|</w:t>
      </w:r>
      <w:r w:rsidDel="00000000" w:rsidR="00000000" w:rsidRPr="00000000">
        <w:rPr>
          <w:i w:val="1"/>
          <w:rtl w:val="0"/>
        </w:rPr>
        <w:t xml:space="preserve">r</w:t>
      </w:r>
      <w:r w:rsidDel="00000000" w:rsidR="00000000" w:rsidRPr="00000000">
        <w:rPr>
          <w:rtl w:val="0"/>
        </w:rPr>
        <w:t xml:space="preserve">| = 0.85, </w:t>
      </w:r>
      <w:r w:rsidDel="00000000" w:rsidR="00000000" w:rsidRPr="00000000">
        <w:rPr>
          <w:i w:val="1"/>
          <w:rtl w:val="0"/>
        </w:rPr>
        <w:t xml:space="preserve">t </w:t>
      </w:r>
      <w:r w:rsidDel="00000000" w:rsidR="00000000" w:rsidRPr="00000000">
        <w:rPr>
          <w:rtl w:val="0"/>
        </w:rPr>
        <w:t xml:space="preserve">= -7.5203, </w:t>
      </w:r>
      <w:r w:rsidDel="00000000" w:rsidR="00000000" w:rsidRPr="00000000">
        <w:rPr>
          <w:i w:val="1"/>
          <w:rtl w:val="0"/>
        </w:rPr>
        <w:t xml:space="preserve">d.f.</w:t>
      </w:r>
      <w:r w:rsidDel="00000000" w:rsidR="00000000" w:rsidRPr="00000000">
        <w:rPr>
          <w:rtl w:val="0"/>
        </w:rPr>
        <w:t xml:space="preserve"> = 21, </w:t>
      </w:r>
      <w:r w:rsidDel="00000000" w:rsidR="00000000" w:rsidRPr="00000000">
        <w:rPr>
          <w:i w:val="1"/>
          <w:rtl w:val="0"/>
        </w:rPr>
        <w:t xml:space="preserve">p </w:t>
      </w:r>
      <w:r w:rsidDel="00000000" w:rsidR="00000000" w:rsidRPr="00000000">
        <w:rPr>
          <w:rtl w:val="0"/>
        </w:rPr>
        <w:t xml:space="preserve">= 2.187e-07). The same holds true for </w:t>
      </w:r>
      <w:r w:rsidDel="00000000" w:rsidR="00000000" w:rsidRPr="00000000">
        <w:rPr>
          <w:i w:val="1"/>
          <w:rtl w:val="0"/>
        </w:rPr>
        <w:t xml:space="preserve">F</w:t>
      </w:r>
      <w:r w:rsidDel="00000000" w:rsidR="00000000" w:rsidRPr="00000000">
        <w:rPr>
          <w:vertAlign w:val="subscript"/>
          <w:rtl w:val="0"/>
        </w:rPr>
        <w:t xml:space="preserve">ST</w:t>
      </w:r>
      <w:r w:rsidDel="00000000" w:rsidR="00000000" w:rsidRPr="00000000">
        <w:rPr>
          <w:rtl w:val="0"/>
        </w:rPr>
        <w:t xml:space="preserve"> between modern Danes and English populations (Supp. Fig. 5.25a) (Pearson's |</w:t>
      </w:r>
      <w:r w:rsidDel="00000000" w:rsidR="00000000" w:rsidRPr="00000000">
        <w:rPr>
          <w:i w:val="1"/>
          <w:rtl w:val="0"/>
        </w:rPr>
        <w:t xml:space="preserve">r</w:t>
      </w:r>
      <w:r w:rsidDel="00000000" w:rsidR="00000000" w:rsidRPr="00000000">
        <w:rPr>
          <w:rtl w:val="0"/>
        </w:rPr>
        <w:t xml:space="preserve">|</w:t>
      </w:r>
      <w:r w:rsidDel="00000000" w:rsidR="00000000" w:rsidRPr="00000000">
        <w:rPr>
          <w:i w:val="1"/>
          <w:rtl w:val="0"/>
        </w:rPr>
        <w:t xml:space="preserve"> </w:t>
      </w:r>
      <w:r w:rsidDel="00000000" w:rsidR="00000000" w:rsidRPr="00000000">
        <w:rPr>
          <w:rtl w:val="0"/>
        </w:rPr>
        <w:t xml:space="preserve">= 0.91, </w:t>
      </w:r>
      <w:r w:rsidDel="00000000" w:rsidR="00000000" w:rsidRPr="00000000">
        <w:rPr>
          <w:i w:val="1"/>
          <w:rtl w:val="0"/>
        </w:rPr>
        <w:t xml:space="preserve">t</w:t>
      </w:r>
      <w:r w:rsidDel="00000000" w:rsidR="00000000" w:rsidRPr="00000000">
        <w:rPr>
          <w:rtl w:val="0"/>
        </w:rPr>
        <w:t xml:space="preserve"> = -10.091, </w:t>
      </w:r>
      <w:r w:rsidDel="00000000" w:rsidR="00000000" w:rsidRPr="00000000">
        <w:rPr>
          <w:i w:val="1"/>
          <w:rtl w:val="0"/>
        </w:rPr>
        <w:t xml:space="preserve">d.f.</w:t>
      </w:r>
      <w:r w:rsidDel="00000000" w:rsidR="00000000" w:rsidRPr="00000000">
        <w:rPr>
          <w:rtl w:val="0"/>
        </w:rPr>
        <w:t xml:space="preserve"> = 21, </w:t>
      </w:r>
      <w:r w:rsidDel="00000000" w:rsidR="00000000" w:rsidRPr="00000000">
        <w:rPr>
          <w:i w:val="1"/>
          <w:rtl w:val="0"/>
        </w:rPr>
        <w:t xml:space="preserve">p</w:t>
      </w:r>
      <w:r w:rsidDel="00000000" w:rsidR="00000000" w:rsidRPr="00000000">
        <w:rPr>
          <w:rtl w:val="0"/>
        </w:rPr>
        <w:t xml:space="preserve"> = 1.654e-09) (Supp. Fig. 6.14b). Similarly, </w:t>
      </w:r>
      <w:r w:rsidDel="00000000" w:rsidR="00000000" w:rsidRPr="00000000">
        <w:rPr>
          <w:i w:val="1"/>
          <w:rtl w:val="0"/>
        </w:rPr>
        <w:t xml:space="preserve">F</w:t>
      </w:r>
      <w:r w:rsidDel="00000000" w:rsidR="00000000" w:rsidRPr="00000000">
        <w:rPr>
          <w:vertAlign w:val="subscript"/>
          <w:rtl w:val="0"/>
        </w:rPr>
        <w:t xml:space="preserve">ST</w:t>
      </w:r>
      <w:r w:rsidDel="00000000" w:rsidR="00000000" w:rsidRPr="00000000">
        <w:rPr>
          <w:rtl w:val="0"/>
        </w:rPr>
        <w:t xml:space="preserve"> between modern French</w:t>
      </w:r>
      <w:r w:rsidDel="00000000" w:rsidR="00000000" w:rsidRPr="00000000">
        <w:rPr>
          <w:i w:val="1"/>
          <w:rtl w:val="0"/>
        </w:rPr>
        <w:t xml:space="preserve"> </w:t>
      </w:r>
      <w:r w:rsidDel="00000000" w:rsidR="00000000" w:rsidRPr="00000000">
        <w:rPr>
          <w:rtl w:val="0"/>
        </w:rPr>
        <w:t xml:space="preserve">and present-day English populations is highly correlated with the </w:t>
      </w:r>
      <w:r w:rsidDel="00000000" w:rsidR="00000000" w:rsidRPr="00000000">
        <w:rPr>
          <w:i w:val="1"/>
          <w:rtl w:val="0"/>
        </w:rPr>
        <w:t xml:space="preserve">France_IA </w:t>
      </w:r>
      <w:r w:rsidDel="00000000" w:rsidR="00000000" w:rsidRPr="00000000">
        <w:rPr>
          <w:rtl w:val="0"/>
        </w:rPr>
        <w:t xml:space="preserve">ancestry proportion inferred using </w:t>
      </w:r>
      <w:r w:rsidDel="00000000" w:rsidR="00000000" w:rsidRPr="00000000">
        <w:rPr>
          <w:i w:val="1"/>
          <w:rtl w:val="0"/>
        </w:rPr>
        <w:t xml:space="preserve">qpAdm </w:t>
      </w:r>
      <w:r w:rsidDel="00000000" w:rsidR="00000000" w:rsidRPr="00000000">
        <w:rPr>
          <w:rtl w:val="0"/>
        </w:rPr>
        <w:t xml:space="preserve">(Pearson's |</w:t>
      </w:r>
      <w:r w:rsidDel="00000000" w:rsidR="00000000" w:rsidRPr="00000000">
        <w:rPr>
          <w:i w:val="1"/>
          <w:rtl w:val="0"/>
        </w:rPr>
        <w:t xml:space="preserve">r</w:t>
      </w:r>
      <w:r w:rsidDel="00000000" w:rsidR="00000000" w:rsidRPr="00000000">
        <w:rPr>
          <w:rtl w:val="0"/>
        </w:rPr>
        <w:t xml:space="preserve">| = 0.86, </w:t>
      </w:r>
      <w:r w:rsidDel="00000000" w:rsidR="00000000" w:rsidRPr="00000000">
        <w:rPr>
          <w:i w:val="1"/>
          <w:rtl w:val="0"/>
        </w:rPr>
        <w:t xml:space="preserve">t</w:t>
      </w:r>
      <w:r w:rsidDel="00000000" w:rsidR="00000000" w:rsidRPr="00000000">
        <w:rPr>
          <w:rtl w:val="0"/>
        </w:rPr>
        <w:t xml:space="preserve"> = -7.5472, </w:t>
      </w:r>
      <w:r w:rsidDel="00000000" w:rsidR="00000000" w:rsidRPr="00000000">
        <w:rPr>
          <w:i w:val="1"/>
          <w:rtl w:val="0"/>
        </w:rPr>
        <w:t xml:space="preserve">d.f.</w:t>
      </w:r>
      <w:r w:rsidDel="00000000" w:rsidR="00000000" w:rsidRPr="00000000">
        <w:rPr>
          <w:rtl w:val="0"/>
        </w:rPr>
        <w:t xml:space="preserve"> = 21, </w:t>
      </w:r>
      <w:r w:rsidDel="00000000" w:rsidR="00000000" w:rsidRPr="00000000">
        <w:rPr>
          <w:i w:val="1"/>
          <w:rtl w:val="0"/>
        </w:rPr>
        <w:t xml:space="preserve">p</w:t>
      </w:r>
      <w:r w:rsidDel="00000000" w:rsidR="00000000" w:rsidRPr="00000000">
        <w:rPr>
          <w:rtl w:val="0"/>
        </w:rPr>
        <w:t xml:space="preserve"> = 2.069e-07) (Supp. Fig. 5.25b).</w:t>
      </w:r>
    </w:p>
    <w:p w:rsidR="00000000" w:rsidDel="00000000" w:rsidP="00000000" w:rsidRDefault="00000000" w:rsidRPr="00000000" w14:paraId="0000082B">
      <w:pPr>
        <w:rPr/>
      </w:pPr>
      <w:bookmarkStart w:colFirst="0" w:colLast="0" w:name="_heading=h.2ce457m" w:id="114"/>
      <w:bookmarkEnd w:id="114"/>
      <w:r w:rsidDel="00000000" w:rsidR="00000000" w:rsidRPr="00000000">
        <w:rPr/>
        <w:drawing>
          <wp:inline distB="0" distT="0" distL="0" distR="0">
            <wp:extent cx="5760720" cy="6621780"/>
            <wp:effectExtent b="0" l="0" r="0" t="0"/>
            <wp:docPr descr="A picture containing chart&#10;&#10;Description automatically generated" id="136" name="image26.png"/>
            <a:graphic>
              <a:graphicData uri="http://schemas.openxmlformats.org/drawingml/2006/picture">
                <pic:pic>
                  <pic:nvPicPr>
                    <pic:cNvPr descr="A picture containing chart&#10;&#10;Description automatically generated" id="0" name="image26.png"/>
                    <pic:cNvPicPr preferRelativeResize="0"/>
                  </pic:nvPicPr>
                  <pic:blipFill>
                    <a:blip r:embed="rId212"/>
                    <a:srcRect b="0" l="0" r="0" t="0"/>
                    <a:stretch>
                      <a:fillRect/>
                    </a:stretch>
                  </pic:blipFill>
                  <pic:spPr>
                    <a:xfrm>
                      <a:off x="0" y="0"/>
                      <a:ext cx="5760720" cy="6621780"/>
                    </a:xfrm>
                    <a:prstGeom prst="rect"/>
                    <a:ln/>
                  </pic:spPr>
                </pic:pic>
              </a:graphicData>
            </a:graphic>
          </wp:inline>
        </w:drawing>
      </w:r>
      <w:r w:rsidDel="00000000" w:rsidR="00000000" w:rsidRPr="00000000">
        <w:rPr>
          <w:rtl w:val="0"/>
        </w:rPr>
      </w:r>
    </w:p>
    <w:p w:rsidR="00000000" w:rsidDel="00000000" w:rsidP="00000000" w:rsidRDefault="00000000" w:rsidRPr="00000000" w14:paraId="0000082C">
      <w:pPr>
        <w:spacing w:after="200" w:line="240" w:lineRule="auto"/>
        <w:rPr>
          <w:i w:val="1"/>
          <w:sz w:val="18"/>
          <w:szCs w:val="18"/>
        </w:rPr>
      </w:pPr>
      <w:r w:rsidDel="00000000" w:rsidR="00000000" w:rsidRPr="00000000">
        <w:rPr>
          <w:b w:val="1"/>
          <w:i w:val="1"/>
          <w:sz w:val="18"/>
          <w:szCs w:val="18"/>
          <w:rtl w:val="0"/>
        </w:rPr>
        <w:t xml:space="preserve">Supplementary Figure 5.24, Differentiating patterns of genetic affinity across 23 present-day English populations as seen in f-statistics</w:t>
      </w:r>
      <w:r w:rsidDel="00000000" w:rsidR="00000000" w:rsidRPr="00000000">
        <w:rPr>
          <w:i w:val="1"/>
          <w:sz w:val="18"/>
          <w:szCs w:val="18"/>
          <w:rtl w:val="0"/>
        </w:rPr>
        <w:t xml:space="preserve">. Samples sizes for present-day PoBI sampling regions are indicated in Supplementary Table 5.21-25. a) F</w:t>
      </w:r>
      <w:r w:rsidDel="00000000" w:rsidR="00000000" w:rsidRPr="00000000">
        <w:rPr>
          <w:i w:val="1"/>
          <w:sz w:val="18"/>
          <w:szCs w:val="18"/>
          <w:vertAlign w:val="subscript"/>
          <w:rtl w:val="0"/>
        </w:rPr>
        <w:t xml:space="preserve">ST</w:t>
      </w:r>
      <w:r w:rsidDel="00000000" w:rsidR="00000000" w:rsidRPr="00000000">
        <w:rPr>
          <w:i w:val="1"/>
          <w:sz w:val="18"/>
          <w:szCs w:val="18"/>
          <w:rtl w:val="0"/>
        </w:rPr>
        <w:t xml:space="preserve"> between each region and England_EMA (n = 285). Error bars represent ± 3 standard errors. b) F</w:t>
      </w:r>
      <w:r w:rsidDel="00000000" w:rsidR="00000000" w:rsidRPr="00000000">
        <w:rPr>
          <w:i w:val="1"/>
          <w:sz w:val="18"/>
          <w:szCs w:val="18"/>
          <w:vertAlign w:val="subscript"/>
          <w:rtl w:val="0"/>
        </w:rPr>
        <w:t xml:space="preserve">ST</w:t>
      </w:r>
      <w:r w:rsidDel="00000000" w:rsidR="00000000" w:rsidRPr="00000000">
        <w:rPr>
          <w:i w:val="1"/>
          <w:sz w:val="18"/>
          <w:szCs w:val="18"/>
          <w:rtl w:val="0"/>
        </w:rPr>
        <w:t xml:space="preserve"> between each region and England_IA (n = 290). Error bars represent ± 3 standard errors. c) F</w:t>
      </w:r>
      <w:r w:rsidDel="00000000" w:rsidR="00000000" w:rsidRPr="00000000">
        <w:rPr>
          <w:i w:val="1"/>
          <w:sz w:val="18"/>
          <w:szCs w:val="18"/>
          <w:vertAlign w:val="subscript"/>
          <w:rtl w:val="0"/>
        </w:rPr>
        <w:t xml:space="preserve">4</w:t>
      </w:r>
      <w:r w:rsidDel="00000000" w:rsidR="00000000" w:rsidRPr="00000000">
        <w:rPr>
          <w:i w:val="1"/>
          <w:sz w:val="18"/>
          <w:szCs w:val="18"/>
          <w:rtl w:val="0"/>
        </w:rPr>
        <w:t xml:space="preserve"> statistics of the form F</w:t>
      </w:r>
      <w:r w:rsidDel="00000000" w:rsidR="00000000" w:rsidRPr="00000000">
        <w:rPr>
          <w:i w:val="1"/>
          <w:sz w:val="18"/>
          <w:szCs w:val="18"/>
          <w:vertAlign w:val="subscript"/>
          <w:rtl w:val="0"/>
        </w:rPr>
        <w:t xml:space="preserve">4</w:t>
      </w:r>
      <w:r w:rsidDel="00000000" w:rsidR="00000000" w:rsidRPr="00000000">
        <w:rPr>
          <w:i w:val="1"/>
          <w:sz w:val="18"/>
          <w:szCs w:val="18"/>
          <w:rtl w:val="0"/>
        </w:rPr>
        <w:t xml:space="preserve">(YRI, Test; WBI, CNE). Error bars represent ± 2 standard errors. d) F</w:t>
      </w:r>
      <w:r w:rsidDel="00000000" w:rsidR="00000000" w:rsidRPr="00000000">
        <w:rPr>
          <w:i w:val="1"/>
          <w:sz w:val="18"/>
          <w:szCs w:val="18"/>
          <w:vertAlign w:val="subscript"/>
          <w:rtl w:val="0"/>
        </w:rPr>
        <w:t xml:space="preserve">4</w:t>
      </w:r>
      <w:r w:rsidDel="00000000" w:rsidR="00000000" w:rsidRPr="00000000">
        <w:rPr>
          <w:i w:val="1"/>
          <w:sz w:val="18"/>
          <w:szCs w:val="18"/>
          <w:rtl w:val="0"/>
        </w:rPr>
        <w:t xml:space="preserve"> statistics of the form F</w:t>
      </w:r>
      <w:r w:rsidDel="00000000" w:rsidR="00000000" w:rsidRPr="00000000">
        <w:rPr>
          <w:i w:val="1"/>
          <w:sz w:val="18"/>
          <w:szCs w:val="18"/>
          <w:vertAlign w:val="subscript"/>
          <w:rtl w:val="0"/>
        </w:rPr>
        <w:t xml:space="preserve">4</w:t>
      </w:r>
      <w:r w:rsidDel="00000000" w:rsidR="00000000" w:rsidRPr="00000000">
        <w:rPr>
          <w:i w:val="1"/>
          <w:sz w:val="18"/>
          <w:szCs w:val="18"/>
          <w:rtl w:val="0"/>
        </w:rPr>
        <w:t xml:space="preserve">(YRI.SG, Test; WBI, Belgium). Error bars represent ± 2 standard errors. e) Scatterplot of the F</w:t>
      </w:r>
      <w:r w:rsidDel="00000000" w:rsidR="00000000" w:rsidRPr="00000000">
        <w:rPr>
          <w:i w:val="1"/>
          <w:sz w:val="18"/>
          <w:szCs w:val="18"/>
          <w:vertAlign w:val="subscript"/>
          <w:rtl w:val="0"/>
        </w:rPr>
        <w:t xml:space="preserve">4</w:t>
      </w:r>
      <w:r w:rsidDel="00000000" w:rsidR="00000000" w:rsidRPr="00000000">
        <w:rPr>
          <w:i w:val="1"/>
          <w:sz w:val="18"/>
          <w:szCs w:val="18"/>
          <w:rtl w:val="0"/>
        </w:rPr>
        <w:t xml:space="preserve"> statistics F</w:t>
      </w:r>
      <w:r w:rsidDel="00000000" w:rsidR="00000000" w:rsidRPr="00000000">
        <w:rPr>
          <w:i w:val="1"/>
          <w:sz w:val="18"/>
          <w:szCs w:val="18"/>
          <w:vertAlign w:val="subscript"/>
          <w:rtl w:val="0"/>
        </w:rPr>
        <w:t xml:space="preserve">4</w:t>
      </w:r>
      <w:r w:rsidDel="00000000" w:rsidR="00000000" w:rsidRPr="00000000">
        <w:rPr>
          <w:i w:val="1"/>
          <w:sz w:val="18"/>
          <w:szCs w:val="18"/>
          <w:rtl w:val="0"/>
        </w:rPr>
        <w:t xml:space="preserve">(CHB, Test; Belgium, CNE) and F</w:t>
      </w:r>
      <w:r w:rsidDel="00000000" w:rsidR="00000000" w:rsidRPr="00000000">
        <w:rPr>
          <w:i w:val="1"/>
          <w:sz w:val="18"/>
          <w:szCs w:val="18"/>
          <w:vertAlign w:val="subscript"/>
          <w:rtl w:val="0"/>
        </w:rPr>
        <w:t xml:space="preserve">4</w:t>
      </w:r>
      <w:r w:rsidDel="00000000" w:rsidR="00000000" w:rsidRPr="00000000">
        <w:rPr>
          <w:i w:val="1"/>
          <w:sz w:val="18"/>
          <w:szCs w:val="18"/>
          <w:rtl w:val="0"/>
        </w:rPr>
        <w:t xml:space="preserve">(CHB, Test; WBI, Belgium). f) Scatterplot of the ratio F</w:t>
      </w:r>
      <w:r w:rsidDel="00000000" w:rsidR="00000000" w:rsidRPr="00000000">
        <w:rPr>
          <w:i w:val="1"/>
          <w:sz w:val="18"/>
          <w:szCs w:val="18"/>
          <w:vertAlign w:val="subscript"/>
          <w:rtl w:val="0"/>
        </w:rPr>
        <w:t xml:space="preserve">ST</w:t>
      </w:r>
      <w:r w:rsidDel="00000000" w:rsidR="00000000" w:rsidRPr="00000000">
        <w:rPr>
          <w:i w:val="1"/>
          <w:sz w:val="18"/>
          <w:szCs w:val="18"/>
          <w:rtl w:val="0"/>
        </w:rPr>
        <w:t xml:space="preserve"> to Belgium/ F</w:t>
      </w:r>
      <w:r w:rsidDel="00000000" w:rsidR="00000000" w:rsidRPr="00000000">
        <w:rPr>
          <w:i w:val="1"/>
          <w:sz w:val="18"/>
          <w:szCs w:val="18"/>
          <w:vertAlign w:val="subscript"/>
          <w:rtl w:val="0"/>
        </w:rPr>
        <w:t xml:space="preserve">ST</w:t>
      </w:r>
      <w:r w:rsidDel="00000000" w:rsidR="00000000" w:rsidRPr="00000000">
        <w:rPr>
          <w:i w:val="1"/>
          <w:sz w:val="18"/>
          <w:szCs w:val="18"/>
          <w:rtl w:val="0"/>
        </w:rPr>
        <w:t xml:space="preserve"> to Denmark and the F</w:t>
      </w:r>
      <w:r w:rsidDel="00000000" w:rsidR="00000000" w:rsidRPr="00000000">
        <w:rPr>
          <w:i w:val="1"/>
          <w:sz w:val="18"/>
          <w:szCs w:val="18"/>
          <w:vertAlign w:val="subscript"/>
          <w:rtl w:val="0"/>
        </w:rPr>
        <w:t xml:space="preserve">ST</w:t>
      </w:r>
      <w:r w:rsidDel="00000000" w:rsidR="00000000" w:rsidRPr="00000000">
        <w:rPr>
          <w:i w:val="1"/>
          <w:sz w:val="18"/>
          <w:szCs w:val="18"/>
          <w:rtl w:val="0"/>
        </w:rPr>
        <w:t xml:space="preserve"> to Wales for each region.</w:t>
      </w:r>
    </w:p>
    <w:p w:rsidR="00000000" w:rsidDel="00000000" w:rsidP="00000000" w:rsidRDefault="00000000" w:rsidRPr="00000000" w14:paraId="0000082D">
      <w:pPr>
        <w:spacing w:after="200" w:line="240" w:lineRule="auto"/>
        <w:rPr>
          <w:i w:val="1"/>
          <w:color w:val="44546a"/>
          <w:sz w:val="18"/>
          <w:szCs w:val="18"/>
        </w:rPr>
      </w:pPr>
      <w:bookmarkStart w:colFirst="0" w:colLast="0" w:name="_heading=h.rjefff" w:id="115"/>
      <w:bookmarkEnd w:id="115"/>
      <w:r w:rsidDel="00000000" w:rsidR="00000000" w:rsidRPr="00000000">
        <w:rPr/>
        <w:drawing>
          <wp:inline distB="0" distT="0" distL="0" distR="0">
            <wp:extent cx="5760720" cy="2803525"/>
            <wp:effectExtent b="0" l="0" r="0" t="0"/>
            <wp:docPr descr="Chart, scatter chart&#10;&#10;Description automatically generated" id="138" name="image23.png"/>
            <a:graphic>
              <a:graphicData uri="http://schemas.openxmlformats.org/drawingml/2006/picture">
                <pic:pic>
                  <pic:nvPicPr>
                    <pic:cNvPr descr="Chart, scatter chart&#10;&#10;Description automatically generated" id="0" name="image23.png"/>
                    <pic:cNvPicPr preferRelativeResize="0"/>
                  </pic:nvPicPr>
                  <pic:blipFill>
                    <a:blip r:embed="rId213"/>
                    <a:srcRect b="0" l="0" r="0" t="0"/>
                    <a:stretch>
                      <a:fillRect/>
                    </a:stretch>
                  </pic:blipFill>
                  <pic:spPr>
                    <a:xfrm>
                      <a:off x="0" y="0"/>
                      <a:ext cx="5760720" cy="2803525"/>
                    </a:xfrm>
                    <a:prstGeom prst="rect"/>
                    <a:ln/>
                  </pic:spPr>
                </pic:pic>
              </a:graphicData>
            </a:graphic>
          </wp:inline>
        </w:drawing>
      </w:r>
      <w:r w:rsidDel="00000000" w:rsidR="00000000" w:rsidRPr="00000000">
        <w:rPr>
          <w:rtl w:val="0"/>
        </w:rPr>
      </w:r>
    </w:p>
    <w:p w:rsidR="00000000" w:rsidDel="00000000" w:rsidP="00000000" w:rsidRDefault="00000000" w:rsidRPr="00000000" w14:paraId="0000082E">
      <w:pPr>
        <w:spacing w:after="200" w:line="240" w:lineRule="auto"/>
        <w:rPr>
          <w:i w:val="1"/>
          <w:sz w:val="18"/>
          <w:szCs w:val="18"/>
        </w:rPr>
      </w:pPr>
      <w:bookmarkStart w:colFirst="0" w:colLast="0" w:name="_heading=h.3bj1y38" w:id="116"/>
      <w:bookmarkEnd w:id="116"/>
      <w:r w:rsidDel="00000000" w:rsidR="00000000" w:rsidRPr="00000000">
        <w:rPr>
          <w:b w:val="1"/>
          <w:i w:val="1"/>
          <w:sz w:val="18"/>
          <w:szCs w:val="18"/>
          <w:rtl w:val="0"/>
        </w:rPr>
        <w:t xml:space="preserve">Supplementary Figure 5.25, Differentiating genetic affinities across present-day Britain and Ireland caused by historic admixture. </w:t>
      </w:r>
      <w:r w:rsidDel="00000000" w:rsidR="00000000" w:rsidRPr="00000000">
        <w:rPr>
          <w:i w:val="1"/>
          <w:sz w:val="18"/>
          <w:szCs w:val="18"/>
          <w:rtl w:val="0"/>
        </w:rPr>
        <w:t xml:space="preserve">a) Geographic distribution of the F</w:t>
      </w:r>
      <w:r w:rsidDel="00000000" w:rsidR="00000000" w:rsidRPr="00000000">
        <w:rPr>
          <w:i w:val="1"/>
          <w:sz w:val="18"/>
          <w:szCs w:val="18"/>
          <w:vertAlign w:val="subscript"/>
          <w:rtl w:val="0"/>
        </w:rPr>
        <w:t xml:space="preserve">ST</w:t>
      </w:r>
      <w:r w:rsidDel="00000000" w:rsidR="00000000" w:rsidRPr="00000000">
        <w:rPr>
          <w:i w:val="1"/>
          <w:sz w:val="18"/>
          <w:szCs w:val="18"/>
          <w:rtl w:val="0"/>
        </w:rPr>
        <w:t xml:space="preserve"> distances between 32 present-day populations from Britain and Ireland and modern Denmark. b) Correlations between F</w:t>
      </w:r>
      <w:r w:rsidDel="00000000" w:rsidR="00000000" w:rsidRPr="00000000">
        <w:rPr>
          <w:i w:val="1"/>
          <w:sz w:val="18"/>
          <w:szCs w:val="18"/>
          <w:vertAlign w:val="subscript"/>
          <w:rtl w:val="0"/>
        </w:rPr>
        <w:t xml:space="preserve">ST</w:t>
      </w:r>
      <w:r w:rsidDel="00000000" w:rsidR="00000000" w:rsidRPr="00000000">
        <w:rPr>
          <w:i w:val="1"/>
          <w:sz w:val="18"/>
          <w:szCs w:val="18"/>
          <w:rtl w:val="0"/>
        </w:rPr>
        <w:t xml:space="preserve"> distances (between France/Denmark and 23 English populations) and qpAdm ancestry proportions obtained using a three-way admixture model (England_EMA_CNE &amp; France_IA). The error band represents ± 2 standard errors. </w:t>
      </w:r>
    </w:p>
    <w:p w:rsidR="00000000" w:rsidDel="00000000" w:rsidP="00000000" w:rsidRDefault="00000000" w:rsidRPr="00000000" w14:paraId="0000082F">
      <w:pPr>
        <w:pStyle w:val="Heading1"/>
        <w:rPr>
          <w:color w:val="000000"/>
          <w:sz w:val="28"/>
          <w:szCs w:val="28"/>
        </w:rPr>
      </w:pPr>
      <w:bookmarkStart w:colFirst="0" w:colLast="0" w:name="_heading=h.1qoc8b1" w:id="117"/>
      <w:bookmarkEnd w:id="117"/>
      <w:r w:rsidDel="00000000" w:rsidR="00000000" w:rsidRPr="00000000">
        <w:rPr>
          <w:rtl w:val="0"/>
        </w:rPr>
      </w:r>
    </w:p>
    <w:p w:rsidR="00000000" w:rsidDel="00000000" w:rsidP="00000000" w:rsidRDefault="00000000" w:rsidRPr="00000000" w14:paraId="00000830">
      <w:pPr>
        <w:pStyle w:val="Heading1"/>
        <w:rPr>
          <w:color w:val="000000"/>
          <w:sz w:val="28"/>
          <w:szCs w:val="28"/>
        </w:rPr>
      </w:pPr>
      <w:bookmarkStart w:colFirst="0" w:colLast="0" w:name="_heading=h.4anzqyu" w:id="118"/>
      <w:bookmarkEnd w:id="118"/>
      <w:r w:rsidDel="00000000" w:rsidR="00000000" w:rsidRPr="00000000">
        <w:br w:type="page"/>
      </w:r>
      <w:r w:rsidDel="00000000" w:rsidR="00000000" w:rsidRPr="00000000">
        <w:rPr>
          <w:rtl w:val="0"/>
        </w:rPr>
      </w:r>
    </w:p>
    <w:p w:rsidR="00000000" w:rsidDel="00000000" w:rsidP="00000000" w:rsidRDefault="00000000" w:rsidRPr="00000000" w14:paraId="00000831">
      <w:pPr>
        <w:pStyle w:val="Heading1"/>
        <w:rPr>
          <w:i w:val="1"/>
          <w:color w:val="000000"/>
          <w:sz w:val="28"/>
          <w:szCs w:val="28"/>
        </w:rPr>
      </w:pPr>
      <w:bookmarkStart w:colFirst="0" w:colLast="0" w:name="_heading=h.2pta16n" w:id="119"/>
      <w:bookmarkEnd w:id="119"/>
      <w:r w:rsidDel="00000000" w:rsidR="00000000" w:rsidRPr="00000000">
        <w:rPr>
          <w:color w:val="000000"/>
          <w:sz w:val="28"/>
          <w:szCs w:val="28"/>
          <w:rtl w:val="0"/>
        </w:rPr>
        <w:t xml:space="preserve">Supplementary Note 6 </w:t>
      </w:r>
      <w:r w:rsidDel="00000000" w:rsidR="00000000" w:rsidRPr="00000000">
        <w:rPr>
          <w:i w:val="1"/>
          <w:color w:val="000000"/>
          <w:sz w:val="28"/>
          <w:szCs w:val="28"/>
          <w:rtl w:val="0"/>
        </w:rPr>
        <w:t xml:space="preserve">Scandinavian Peninsula ancestry in ancient and modern Britain</w:t>
      </w:r>
    </w:p>
    <w:p w:rsidR="00000000" w:rsidDel="00000000" w:rsidP="00000000" w:rsidRDefault="00000000" w:rsidRPr="00000000" w14:paraId="00000832">
      <w:pPr>
        <w:pStyle w:val="Heading2"/>
        <w:rPr>
          <w:color w:val="000000"/>
        </w:rPr>
      </w:pPr>
      <w:bookmarkStart w:colFirst="0" w:colLast="0" w:name="_heading=h.14ykbeg" w:id="120"/>
      <w:bookmarkEnd w:id="120"/>
      <w:r w:rsidDel="00000000" w:rsidR="00000000" w:rsidRPr="00000000">
        <w:rPr>
          <w:color w:val="000000"/>
          <w:rtl w:val="0"/>
        </w:rPr>
        <w:t xml:space="preserve">Early medieval England</w:t>
      </w:r>
    </w:p>
    <w:p w:rsidR="00000000" w:rsidDel="00000000" w:rsidP="00000000" w:rsidRDefault="00000000" w:rsidRPr="00000000" w14:paraId="00000833">
      <w:pPr>
        <w:rPr/>
      </w:pPr>
      <w:r w:rsidDel="00000000" w:rsidR="00000000" w:rsidRPr="00000000">
        <w:rPr>
          <w:rtl w:val="0"/>
        </w:rPr>
        <w:t xml:space="preserve">The migration of Germanic tribes to England comprised three major ethnic entities according to the historical sources: Saxons, Angles, and Jutes</w:t>
      </w:r>
      <w:hyperlink r:id="rId214">
        <w:r w:rsidDel="00000000" w:rsidR="00000000" w:rsidRPr="00000000">
          <w:rPr>
            <w:color w:val="000000"/>
            <w:vertAlign w:val="superscript"/>
            <w:rtl w:val="0"/>
          </w:rPr>
          <w:t xml:space="preserve">182</w:t>
        </w:r>
      </w:hyperlink>
      <w:r w:rsidDel="00000000" w:rsidR="00000000" w:rsidRPr="00000000">
        <w:rPr>
          <w:rtl w:val="0"/>
        </w:rPr>
        <w:t xml:space="preserve">. Since the Saxons were supposed to live in Lower Saxony, the Angles in southern Jutland, and the Jutes and northern Jutland</w:t>
      </w:r>
      <w:hyperlink r:id="rId215">
        <w:r w:rsidDel="00000000" w:rsidR="00000000" w:rsidRPr="00000000">
          <w:rPr>
            <w:color w:val="000000"/>
            <w:vertAlign w:val="superscript"/>
            <w:rtl w:val="0"/>
          </w:rPr>
          <w:t xml:space="preserve">182</w:t>
        </w:r>
      </w:hyperlink>
      <w:r w:rsidDel="00000000" w:rsidR="00000000" w:rsidRPr="00000000">
        <w:rPr>
          <w:rtl w:val="0"/>
        </w:rPr>
        <w:t xml:space="preserve">, varying fractions of ancestry from the Scandinavian Peninsula (Sweden &amp; Norway) in early medieval English could be informative about geographic origin of the respective individuals insofar as they allow to identify more northern or southern genetic affinities that again could correspond to the named ethnic groupings. Consequently, we assume that we might find larger Scandinavian Peninsula ancestry components in individuals from the historical Jutish settlement area in Kent, intermediate contributions in Anglian areas in north-eastern England, and the lowest contributions in the Saxon kingdoms of southern and south-western England. </w:t>
      </w:r>
    </w:p>
    <w:p w:rsidR="00000000" w:rsidDel="00000000" w:rsidP="00000000" w:rsidRDefault="00000000" w:rsidRPr="00000000" w14:paraId="00000834">
      <w:pPr>
        <w:rPr/>
      </w:pPr>
      <w:r w:rsidDel="00000000" w:rsidR="00000000" w:rsidRPr="00000000">
        <w:rPr>
          <w:rtl w:val="0"/>
        </w:rPr>
      </w:r>
    </w:p>
    <w:p w:rsidR="00000000" w:rsidDel="00000000" w:rsidP="00000000" w:rsidRDefault="00000000" w:rsidRPr="00000000" w14:paraId="00000835">
      <w:pPr>
        <w:pStyle w:val="Heading3"/>
        <w:rPr>
          <w:color w:val="000000"/>
        </w:rPr>
      </w:pPr>
      <w:bookmarkStart w:colFirst="0" w:colLast="0" w:name="_heading=h.3oy7u29" w:id="121"/>
      <w:bookmarkEnd w:id="121"/>
      <w:r w:rsidDel="00000000" w:rsidR="00000000" w:rsidRPr="00000000">
        <w:rPr>
          <w:color w:val="000000"/>
          <w:rtl w:val="0"/>
        </w:rPr>
        <w:t xml:space="preserve">Identifying outliers</w:t>
      </w:r>
    </w:p>
    <w:p w:rsidR="00000000" w:rsidDel="00000000" w:rsidP="00000000" w:rsidRDefault="00000000" w:rsidRPr="00000000" w14:paraId="00000836">
      <w:pPr>
        <w:rPr/>
      </w:pPr>
      <w:r w:rsidDel="00000000" w:rsidR="00000000" w:rsidRPr="00000000">
        <w:rPr>
          <w:rtl w:val="0"/>
        </w:rPr>
        <w:t xml:space="preserve">The majority of early medieval samples from England cluster in PCA closely together with present-day Danes, Northern Germans, and Northern Dutch. However, in the </w:t>
      </w:r>
      <w:r w:rsidDel="00000000" w:rsidR="00000000" w:rsidRPr="00000000">
        <w:rPr>
          <w:i w:val="1"/>
          <w:rtl w:val="0"/>
        </w:rPr>
        <w:t xml:space="preserve">North Sea PCA</w:t>
      </w:r>
      <w:r w:rsidDel="00000000" w:rsidR="00000000" w:rsidRPr="00000000">
        <w:rPr>
          <w:rtl w:val="0"/>
        </w:rPr>
        <w:t xml:space="preserve"> as well as in the </w:t>
      </w:r>
      <w:r w:rsidDel="00000000" w:rsidR="00000000" w:rsidRPr="00000000">
        <w:rPr>
          <w:i w:val="1"/>
          <w:rtl w:val="0"/>
        </w:rPr>
        <w:t xml:space="preserve">Northwestern European PCA</w:t>
      </w:r>
      <w:r w:rsidDel="00000000" w:rsidR="00000000" w:rsidRPr="00000000">
        <w:rPr>
          <w:rtl w:val="0"/>
        </w:rPr>
        <w:t xml:space="preserve"> some individuals tend to be shifted northwards across PC1 in the direction of modern Swedish and Norwegians. </w:t>
      </w:r>
    </w:p>
    <w:p w:rsidR="00000000" w:rsidDel="00000000" w:rsidP="00000000" w:rsidRDefault="00000000" w:rsidRPr="00000000" w14:paraId="00000837">
      <w:pPr>
        <w:rPr/>
      </w:pPr>
      <w:r w:rsidDel="00000000" w:rsidR="00000000" w:rsidRPr="00000000">
        <w:rPr>
          <w:rtl w:val="0"/>
        </w:rPr>
        <w:t xml:space="preserve">To investigate whether this shift was reflected in allele frequency correlations, we computed for each medieval genome (</w:t>
      </w:r>
      <w:r w:rsidDel="00000000" w:rsidR="00000000" w:rsidRPr="00000000">
        <w:rPr>
          <w:i w:val="1"/>
          <w:rtl w:val="0"/>
        </w:rPr>
        <w:t xml:space="preserve">TestA</w:t>
      </w:r>
      <w:r w:rsidDel="00000000" w:rsidR="00000000" w:rsidRPr="00000000">
        <w:rPr>
          <w:rtl w:val="0"/>
        </w:rPr>
        <w:t xml:space="preserve">) the </w:t>
      </w:r>
      <w:r w:rsidDel="00000000" w:rsidR="00000000" w:rsidRPr="00000000">
        <w:rPr>
          <w:i w:val="1"/>
          <w:rtl w:val="0"/>
        </w:rPr>
        <w:t xml:space="preserve">F</w:t>
      </w:r>
      <w:r w:rsidDel="00000000" w:rsidR="00000000" w:rsidRPr="00000000">
        <w:rPr>
          <w:vertAlign w:val="subscript"/>
          <w:rtl w:val="0"/>
        </w:rPr>
        <w:t xml:space="preserve">4 </w:t>
      </w:r>
      <w:r w:rsidDel="00000000" w:rsidR="00000000" w:rsidRPr="00000000">
        <w:rPr>
          <w:rtl w:val="0"/>
        </w:rPr>
        <w:t xml:space="preserve">statistic of the form </w:t>
      </w:r>
      <w:r w:rsidDel="00000000" w:rsidR="00000000" w:rsidRPr="00000000">
        <w:rPr>
          <w:i w:val="1"/>
          <w:rtl w:val="0"/>
        </w:rPr>
        <w:t xml:space="preserve">F</w:t>
      </w:r>
      <w:r w:rsidDel="00000000" w:rsidR="00000000" w:rsidRPr="00000000">
        <w:rPr>
          <w:vertAlign w:val="subscript"/>
          <w:rtl w:val="0"/>
        </w:rPr>
        <w:t xml:space="preserve">4</w:t>
      </w:r>
      <w:r w:rsidDel="00000000" w:rsidR="00000000" w:rsidRPr="00000000">
        <w:rPr>
          <w:rtl w:val="0"/>
        </w:rPr>
        <w:t xml:space="preserve">(YRI, </w:t>
      </w:r>
      <w:r w:rsidDel="00000000" w:rsidR="00000000" w:rsidRPr="00000000">
        <w:rPr>
          <w:i w:val="1"/>
          <w:rtl w:val="0"/>
        </w:rPr>
        <w:t xml:space="preserve">Test</w:t>
      </w:r>
      <w:r w:rsidDel="00000000" w:rsidR="00000000" w:rsidRPr="00000000">
        <w:rPr>
          <w:rtl w:val="0"/>
        </w:rPr>
        <w:t xml:space="preserve">; CNE, NOR), where </w:t>
      </w:r>
      <w:r w:rsidDel="00000000" w:rsidR="00000000" w:rsidRPr="00000000">
        <w:rPr>
          <w:i w:val="1"/>
          <w:rtl w:val="0"/>
        </w:rPr>
        <w:t xml:space="preserve">NOR</w:t>
      </w:r>
      <w:r w:rsidDel="00000000" w:rsidR="00000000" w:rsidRPr="00000000">
        <w:rPr>
          <w:rtl w:val="0"/>
        </w:rPr>
        <w:t xml:space="preserve"> represents present-day Swedes and Norwegians grouped together (Supp. Fig. 6.1, Supp. Table 6.1) and </w:t>
      </w:r>
      <w:r w:rsidDel="00000000" w:rsidR="00000000" w:rsidRPr="00000000">
        <w:rPr>
          <w:i w:val="1"/>
          <w:rtl w:val="0"/>
        </w:rPr>
        <w:t xml:space="preserve">Test </w:t>
      </w:r>
      <w:r w:rsidDel="00000000" w:rsidR="00000000" w:rsidRPr="00000000">
        <w:rPr>
          <w:rtl w:val="0"/>
        </w:rPr>
        <w:t xml:space="preserve">each early medieval English sample. While a majority of individuals are asymmetrically related to present-day Danes in comparison to modern Swedes and Norwegians, they are significantly closer to modern Danes, several individuals exhibit a symmetrical relationship to the Danish and the Swedish /Norwegian populations. Those individuals harbour either i) ancestry that is admixed between Denmark and Sweden/Norway, or ii) ancestry basal to the split of southern and northern Scandinavian populations, </w:t>
      </w:r>
      <w:r w:rsidDel="00000000" w:rsidR="00000000" w:rsidRPr="00000000">
        <w:rPr>
          <w:i w:val="1"/>
          <w:rtl w:val="0"/>
        </w:rPr>
        <w:t xml:space="preserve">e.g.</w:t>
      </w:r>
      <w:r w:rsidDel="00000000" w:rsidR="00000000" w:rsidRPr="00000000">
        <w:rPr>
          <w:rtl w:val="0"/>
        </w:rPr>
        <w:t xml:space="preserve"> British-Irish-like WBI ancestry.  </w:t>
      </w:r>
    </w:p>
    <w:p w:rsidR="00000000" w:rsidDel="00000000" w:rsidP="00000000" w:rsidRDefault="00000000" w:rsidRPr="00000000" w14:paraId="00000838">
      <w:pPr>
        <w:rPr/>
      </w:pPr>
      <w:bookmarkStart w:colFirst="0" w:colLast="0" w:name="_heading=h.243i4a2" w:id="122"/>
      <w:bookmarkEnd w:id="122"/>
      <w:r w:rsidDel="00000000" w:rsidR="00000000" w:rsidRPr="00000000">
        <w:rPr>
          <w:rtl w:val="0"/>
        </w:rPr>
        <w:t xml:space="preserve">None of the </w:t>
      </w:r>
      <w:r w:rsidDel="00000000" w:rsidR="00000000" w:rsidRPr="00000000">
        <w:rPr>
          <w:i w:val="1"/>
          <w:rtl w:val="0"/>
        </w:rPr>
        <w:t xml:space="preserve">England_EMA </w:t>
      </w:r>
      <w:r w:rsidDel="00000000" w:rsidR="00000000" w:rsidRPr="00000000">
        <w:rPr>
          <w:rtl w:val="0"/>
        </w:rPr>
        <w:t xml:space="preserve">individuals is significantly (</w:t>
      </w:r>
      <w:r w:rsidDel="00000000" w:rsidR="00000000" w:rsidRPr="00000000">
        <w:rPr>
          <w:i w:val="1"/>
          <w:rtl w:val="0"/>
        </w:rPr>
        <w:t xml:space="preserve">Z</w:t>
      </w:r>
      <w:r w:rsidDel="00000000" w:rsidR="00000000" w:rsidRPr="00000000">
        <w:rPr>
          <w:rtl w:val="0"/>
        </w:rPr>
        <w:t xml:space="preserve"> &gt; 2) closer related to </w:t>
      </w:r>
      <w:r w:rsidDel="00000000" w:rsidR="00000000" w:rsidRPr="00000000">
        <w:rPr>
          <w:i w:val="1"/>
          <w:rtl w:val="0"/>
        </w:rPr>
        <w:t xml:space="preserve">NOR </w:t>
      </w:r>
      <w:r w:rsidDel="00000000" w:rsidR="00000000" w:rsidRPr="00000000">
        <w:rPr>
          <w:rtl w:val="0"/>
        </w:rPr>
        <w:t xml:space="preserve">than to </w:t>
      </w:r>
      <w:r w:rsidDel="00000000" w:rsidR="00000000" w:rsidRPr="00000000">
        <w:rPr>
          <w:i w:val="1"/>
          <w:rtl w:val="0"/>
        </w:rPr>
        <w:t xml:space="preserve">CNE</w:t>
      </w:r>
      <w:r w:rsidDel="00000000" w:rsidR="00000000" w:rsidRPr="00000000">
        <w:rPr>
          <w:rtl w:val="0"/>
        </w:rPr>
        <w:t xml:space="preserve">. The same pattern was also observed in early medieval Lower Saxony. In contrast, during the Viking Age, at least two English individuals show higher affinities to populations from the Scandinavian Peninsula than to </w:t>
      </w:r>
      <w:r w:rsidDel="00000000" w:rsidR="00000000" w:rsidRPr="00000000">
        <w:rPr>
          <w:i w:val="1"/>
          <w:rtl w:val="0"/>
        </w:rPr>
        <w:t xml:space="preserve">CNE </w:t>
      </w:r>
      <w:r w:rsidDel="00000000" w:rsidR="00000000" w:rsidRPr="00000000">
        <w:rPr>
          <w:rtl w:val="0"/>
        </w:rPr>
        <w:t xml:space="preserve">(6% of the population). Expectedly, this proportion is also much higher in the Viking Age populations of Sweden (20%) and Norway (63%). On the other hand, 29% of the </w:t>
      </w:r>
      <w:r w:rsidDel="00000000" w:rsidR="00000000" w:rsidRPr="00000000">
        <w:rPr>
          <w:i w:val="1"/>
          <w:rtl w:val="0"/>
        </w:rPr>
        <w:t xml:space="preserve">England_EMA </w:t>
      </w:r>
      <w:r w:rsidDel="00000000" w:rsidR="00000000" w:rsidRPr="00000000">
        <w:rPr>
          <w:rtl w:val="0"/>
        </w:rPr>
        <w:t xml:space="preserve">and 39% of the </w:t>
      </w:r>
      <w:r w:rsidDel="00000000" w:rsidR="00000000" w:rsidRPr="00000000">
        <w:rPr>
          <w:i w:val="1"/>
          <w:rtl w:val="0"/>
        </w:rPr>
        <w:t xml:space="preserve">LowerSaxony_EMA </w:t>
      </w:r>
      <w:r w:rsidDel="00000000" w:rsidR="00000000" w:rsidRPr="00000000">
        <w:rPr>
          <w:rtl w:val="0"/>
        </w:rPr>
        <w:t xml:space="preserve">population are significantly closer related to </w:t>
      </w:r>
      <w:r w:rsidDel="00000000" w:rsidR="00000000" w:rsidRPr="00000000">
        <w:rPr>
          <w:i w:val="1"/>
          <w:rtl w:val="0"/>
        </w:rPr>
        <w:t xml:space="preserve">CNE </w:t>
      </w:r>
      <w:r w:rsidDel="00000000" w:rsidR="00000000" w:rsidRPr="00000000">
        <w:rPr>
          <w:rtl w:val="0"/>
        </w:rPr>
        <w:t xml:space="preserve">than to </w:t>
      </w:r>
      <w:r w:rsidDel="00000000" w:rsidR="00000000" w:rsidRPr="00000000">
        <w:rPr>
          <w:i w:val="1"/>
          <w:rtl w:val="0"/>
        </w:rPr>
        <w:t xml:space="preserve">NOR</w:t>
      </w:r>
      <w:r w:rsidDel="00000000" w:rsidR="00000000" w:rsidRPr="00000000">
        <w:rPr>
          <w:rtl w:val="0"/>
        </w:rPr>
        <w:t xml:space="preserve">. Consequently, this proportion was much lower during the Viking Age in Norway (7%), Sweden (11%), Denmark (16%), and England (6%). </w:t>
      </w:r>
    </w:p>
    <w:p w:rsidR="00000000" w:rsidDel="00000000" w:rsidP="00000000" w:rsidRDefault="00000000" w:rsidRPr="00000000" w14:paraId="00000839">
      <w:pPr>
        <w:rPr/>
      </w:pPr>
      <w:bookmarkStart w:colFirst="0" w:colLast="0" w:name="_heading=h.j8sehv" w:id="123"/>
      <w:bookmarkEnd w:id="123"/>
      <w:r w:rsidDel="00000000" w:rsidR="00000000" w:rsidRPr="00000000">
        <w:rPr>
          <w:rtl w:val="0"/>
        </w:rPr>
        <w:t xml:space="preserve">We further tested whether early medieval individuals from England were asymmetrically related to present-day Swedes or Norwegians using an </w:t>
      </w:r>
      <w:r w:rsidDel="00000000" w:rsidR="00000000" w:rsidRPr="00000000">
        <w:rPr>
          <w:i w:val="1"/>
          <w:rtl w:val="0"/>
        </w:rPr>
        <w:t xml:space="preserve">F</w:t>
      </w:r>
      <w:r w:rsidDel="00000000" w:rsidR="00000000" w:rsidRPr="00000000">
        <w:rPr>
          <w:vertAlign w:val="subscript"/>
          <w:rtl w:val="0"/>
        </w:rPr>
        <w:t xml:space="preserve">4</w:t>
      </w:r>
      <w:r w:rsidDel="00000000" w:rsidR="00000000" w:rsidRPr="00000000">
        <w:rPr>
          <w:rtl w:val="0"/>
        </w:rPr>
        <w:t xml:space="preserve"> statistic of the form </w:t>
      </w:r>
      <w:r w:rsidDel="00000000" w:rsidR="00000000" w:rsidRPr="00000000">
        <w:rPr>
          <w:i w:val="1"/>
          <w:rtl w:val="0"/>
        </w:rPr>
        <w:t xml:space="preserve">F</w:t>
      </w:r>
      <w:r w:rsidDel="00000000" w:rsidR="00000000" w:rsidRPr="00000000">
        <w:rPr>
          <w:vertAlign w:val="subscript"/>
          <w:rtl w:val="0"/>
        </w:rPr>
        <w:t xml:space="preserve">4</w:t>
      </w:r>
      <w:r w:rsidDel="00000000" w:rsidR="00000000" w:rsidRPr="00000000">
        <w:rPr>
          <w:rtl w:val="0"/>
        </w:rPr>
        <w:t xml:space="preserve">(YRI, </w:t>
      </w:r>
      <w:r w:rsidDel="00000000" w:rsidR="00000000" w:rsidRPr="00000000">
        <w:rPr>
          <w:i w:val="1"/>
          <w:rtl w:val="0"/>
        </w:rPr>
        <w:t xml:space="preserve">Test</w:t>
      </w:r>
      <w:r w:rsidDel="00000000" w:rsidR="00000000" w:rsidRPr="00000000">
        <w:rPr>
          <w:rtl w:val="0"/>
        </w:rPr>
        <w:t xml:space="preserve">; Sweden, Norway) (Supp. Fig. 6.1, Supp. Table 6.2). Only about 4% of the </w:t>
      </w:r>
      <w:r w:rsidDel="00000000" w:rsidR="00000000" w:rsidRPr="00000000">
        <w:rPr>
          <w:i w:val="1"/>
          <w:rtl w:val="0"/>
        </w:rPr>
        <w:t xml:space="preserve">England_EMA </w:t>
      </w:r>
      <w:r w:rsidDel="00000000" w:rsidR="00000000" w:rsidRPr="00000000">
        <w:rPr>
          <w:rtl w:val="0"/>
        </w:rPr>
        <w:t xml:space="preserve">individuals are closer related to present-day Swedes than to present-day Norwegians, while less than 2% are closer related to Norwegians than to Swedes. Thus, the majority (~95%) is symmetrically related to both populations. Similarly, in early medieval Lower Saxony, only one individual is asymmetrical related to both populations, exhibiting higher affinities to present-day Norwegians. In contrast, 46% of the Viking Age Swedish individuals are significantly closer related to Swedes than to Norwegians. Also, 22% of the English Viking Age and 21% of the Danish Viking Age individuals are closer related to Swedes than to Norwegians, with only one English individual being closer related to Norwegians.</w:t>
      </w:r>
    </w:p>
    <w:p w:rsidR="00000000" w:rsidDel="00000000" w:rsidP="00000000" w:rsidRDefault="00000000" w:rsidRPr="00000000" w14:paraId="0000083A">
      <w:pPr>
        <w:rPr/>
      </w:pPr>
      <w:r w:rsidDel="00000000" w:rsidR="00000000" w:rsidRPr="00000000">
        <w:rPr/>
        <w:drawing>
          <wp:inline distB="0" distT="0" distL="0" distR="0">
            <wp:extent cx="5760720" cy="4480560"/>
            <wp:effectExtent b="0" l="0" r="0" t="0"/>
            <wp:docPr descr="A picture containing timeline&#10;&#10;Description automatically generated" id="140" name="image25.png"/>
            <a:graphic>
              <a:graphicData uri="http://schemas.openxmlformats.org/drawingml/2006/picture">
                <pic:pic>
                  <pic:nvPicPr>
                    <pic:cNvPr descr="A picture containing timeline&#10;&#10;Description automatically generated" id="0" name="image25.png"/>
                    <pic:cNvPicPr preferRelativeResize="0"/>
                  </pic:nvPicPr>
                  <pic:blipFill>
                    <a:blip r:embed="rId216"/>
                    <a:srcRect b="0" l="0" r="0" t="0"/>
                    <a:stretch>
                      <a:fillRect/>
                    </a:stretch>
                  </pic:blipFill>
                  <pic:spPr>
                    <a:xfrm>
                      <a:off x="0" y="0"/>
                      <a:ext cx="5760720" cy="4480560"/>
                    </a:xfrm>
                    <a:prstGeom prst="rect"/>
                    <a:ln/>
                  </pic:spPr>
                </pic:pic>
              </a:graphicData>
            </a:graphic>
          </wp:inline>
        </w:drawing>
      </w:r>
      <w:r w:rsidDel="00000000" w:rsidR="00000000" w:rsidRPr="00000000">
        <w:rPr>
          <w:rtl w:val="0"/>
        </w:rPr>
      </w:r>
    </w:p>
    <w:p w:rsidR="00000000" w:rsidDel="00000000" w:rsidP="00000000" w:rsidRDefault="00000000" w:rsidRPr="00000000" w14:paraId="0000083B">
      <w:pPr>
        <w:spacing w:after="200" w:before="240" w:line="276" w:lineRule="auto"/>
        <w:rPr>
          <w:i w:val="1"/>
          <w:sz w:val="18"/>
          <w:szCs w:val="18"/>
        </w:rPr>
      </w:pPr>
      <w:r w:rsidDel="00000000" w:rsidR="00000000" w:rsidRPr="00000000">
        <w:rPr>
          <w:b w:val="1"/>
          <w:i w:val="1"/>
          <w:sz w:val="18"/>
          <w:szCs w:val="18"/>
          <w:rtl w:val="0"/>
        </w:rPr>
        <w:t xml:space="preserve">Supplementary Figure 6.1. Genetic affinities among England_EMA and other ancient northwestern European individuals towards populations from the Scandinavian Peninsula</w:t>
      </w:r>
      <w:r w:rsidDel="00000000" w:rsidR="00000000" w:rsidRPr="00000000">
        <w:rPr>
          <w:i w:val="1"/>
          <w:sz w:val="18"/>
          <w:szCs w:val="18"/>
          <w:rtl w:val="0"/>
        </w:rPr>
        <w:t xml:space="preserve">. left) F</w:t>
      </w:r>
      <w:r w:rsidDel="00000000" w:rsidR="00000000" w:rsidRPr="00000000">
        <w:rPr>
          <w:i w:val="1"/>
          <w:sz w:val="18"/>
          <w:szCs w:val="18"/>
          <w:vertAlign w:val="subscript"/>
          <w:rtl w:val="0"/>
        </w:rPr>
        <w:t xml:space="preserve">4</w:t>
      </w:r>
      <w:r w:rsidDel="00000000" w:rsidR="00000000" w:rsidRPr="00000000">
        <w:rPr>
          <w:i w:val="1"/>
          <w:sz w:val="18"/>
          <w:szCs w:val="18"/>
          <w:rtl w:val="0"/>
        </w:rPr>
        <w:t xml:space="preserve">-statistics of the form F</w:t>
      </w:r>
      <w:r w:rsidDel="00000000" w:rsidR="00000000" w:rsidRPr="00000000">
        <w:rPr>
          <w:i w:val="1"/>
          <w:sz w:val="18"/>
          <w:szCs w:val="18"/>
          <w:vertAlign w:val="subscript"/>
          <w:rtl w:val="0"/>
        </w:rPr>
        <w:t xml:space="preserve">4</w:t>
      </w:r>
      <w:r w:rsidDel="00000000" w:rsidR="00000000" w:rsidRPr="00000000">
        <w:rPr>
          <w:i w:val="1"/>
          <w:sz w:val="18"/>
          <w:szCs w:val="18"/>
          <w:rtl w:val="0"/>
        </w:rPr>
        <w:t xml:space="preserve">(YRI, X; NOR, CNE). Positive values indicate that X is closer to CNE (n = 407) than to NOR (n = 1910); negative values indicate that X is closer to Norse than to CNE. Right) F</w:t>
      </w:r>
      <w:r w:rsidDel="00000000" w:rsidR="00000000" w:rsidRPr="00000000">
        <w:rPr>
          <w:i w:val="1"/>
          <w:sz w:val="18"/>
          <w:szCs w:val="18"/>
          <w:vertAlign w:val="subscript"/>
          <w:rtl w:val="0"/>
        </w:rPr>
        <w:t xml:space="preserve">4</w:t>
      </w:r>
      <w:r w:rsidDel="00000000" w:rsidR="00000000" w:rsidRPr="00000000">
        <w:rPr>
          <w:i w:val="1"/>
          <w:sz w:val="18"/>
          <w:szCs w:val="18"/>
          <w:rtl w:val="0"/>
        </w:rPr>
        <w:t xml:space="preserve">-statistics of the form F</w:t>
      </w:r>
      <w:r w:rsidDel="00000000" w:rsidR="00000000" w:rsidRPr="00000000">
        <w:rPr>
          <w:i w:val="1"/>
          <w:sz w:val="18"/>
          <w:szCs w:val="18"/>
          <w:vertAlign w:val="subscript"/>
          <w:rtl w:val="0"/>
        </w:rPr>
        <w:t xml:space="preserve">4</w:t>
      </w:r>
      <w:r w:rsidDel="00000000" w:rsidR="00000000" w:rsidRPr="00000000">
        <w:rPr>
          <w:i w:val="1"/>
          <w:sz w:val="18"/>
          <w:szCs w:val="18"/>
          <w:rtl w:val="0"/>
        </w:rPr>
        <w:t xml:space="preserve">(YRI, England_EMA; Sweden, Norway). Negative values indicate that X is closer to Sweden (n = 987) than to Norway (n = 923); positive values indicate that X is closer to Norway than to Sweden.</w:t>
      </w:r>
    </w:p>
    <w:p w:rsidR="00000000" w:rsidDel="00000000" w:rsidP="00000000" w:rsidRDefault="00000000" w:rsidRPr="00000000" w14:paraId="0000083C">
      <w:pPr>
        <w:spacing w:after="200" w:before="240" w:line="276" w:lineRule="auto"/>
        <w:rPr>
          <w:i w:val="1"/>
          <w:sz w:val="18"/>
          <w:szCs w:val="18"/>
        </w:rPr>
      </w:pPr>
      <w:r w:rsidDel="00000000" w:rsidR="00000000" w:rsidRPr="00000000">
        <w:rPr>
          <w:rtl w:val="0"/>
        </w:rPr>
      </w:r>
    </w:p>
    <w:p w:rsidR="00000000" w:rsidDel="00000000" w:rsidP="00000000" w:rsidRDefault="00000000" w:rsidRPr="00000000" w14:paraId="0000083D">
      <w:pPr>
        <w:spacing w:after="200" w:before="240" w:line="276" w:lineRule="auto"/>
        <w:rPr>
          <w:i w:val="1"/>
          <w:sz w:val="18"/>
          <w:szCs w:val="18"/>
        </w:rPr>
      </w:pPr>
      <w:r w:rsidDel="00000000" w:rsidR="00000000" w:rsidRPr="00000000">
        <w:rPr>
          <w:rtl w:val="0"/>
        </w:rPr>
      </w:r>
    </w:p>
    <w:p w:rsidR="00000000" w:rsidDel="00000000" w:rsidP="00000000" w:rsidRDefault="00000000" w:rsidRPr="00000000" w14:paraId="0000083E">
      <w:pPr>
        <w:spacing w:after="200" w:before="240" w:line="276" w:lineRule="auto"/>
        <w:rPr>
          <w:i w:val="1"/>
          <w:sz w:val="18"/>
          <w:szCs w:val="18"/>
        </w:rPr>
      </w:pPr>
      <w:r w:rsidDel="00000000" w:rsidR="00000000" w:rsidRPr="00000000">
        <w:rPr>
          <w:rtl w:val="0"/>
        </w:rPr>
      </w:r>
    </w:p>
    <w:p w:rsidR="00000000" w:rsidDel="00000000" w:rsidP="00000000" w:rsidRDefault="00000000" w:rsidRPr="00000000" w14:paraId="0000083F">
      <w:pPr>
        <w:spacing w:after="200" w:before="240" w:line="276" w:lineRule="auto"/>
        <w:rPr>
          <w:i w:val="1"/>
          <w:sz w:val="18"/>
          <w:szCs w:val="18"/>
        </w:rPr>
      </w:pPr>
      <w:r w:rsidDel="00000000" w:rsidR="00000000" w:rsidRPr="00000000">
        <w:rPr>
          <w:rtl w:val="0"/>
        </w:rPr>
      </w:r>
    </w:p>
    <w:p w:rsidR="00000000" w:rsidDel="00000000" w:rsidP="00000000" w:rsidRDefault="00000000" w:rsidRPr="00000000" w14:paraId="00000840">
      <w:pPr>
        <w:spacing w:after="200" w:before="240" w:line="276" w:lineRule="auto"/>
        <w:rPr>
          <w:i w:val="1"/>
          <w:sz w:val="18"/>
          <w:szCs w:val="18"/>
        </w:rPr>
      </w:pPr>
      <w:r w:rsidDel="00000000" w:rsidR="00000000" w:rsidRPr="00000000">
        <w:rPr>
          <w:rtl w:val="0"/>
        </w:rPr>
      </w:r>
    </w:p>
    <w:p w:rsidR="00000000" w:rsidDel="00000000" w:rsidP="00000000" w:rsidRDefault="00000000" w:rsidRPr="00000000" w14:paraId="00000841">
      <w:pPr>
        <w:spacing w:after="200" w:before="240" w:line="276" w:lineRule="auto"/>
        <w:rPr>
          <w:i w:val="1"/>
          <w:sz w:val="18"/>
          <w:szCs w:val="18"/>
        </w:rPr>
      </w:pPr>
      <w:r w:rsidDel="00000000" w:rsidR="00000000" w:rsidRPr="00000000">
        <w:rPr>
          <w:rtl w:val="0"/>
        </w:rPr>
      </w:r>
    </w:p>
    <w:p w:rsidR="00000000" w:rsidDel="00000000" w:rsidP="00000000" w:rsidRDefault="00000000" w:rsidRPr="00000000" w14:paraId="00000842">
      <w:pPr>
        <w:spacing w:after="200" w:before="240" w:line="276" w:lineRule="auto"/>
        <w:rPr>
          <w:i w:val="1"/>
          <w:sz w:val="18"/>
          <w:szCs w:val="18"/>
        </w:rPr>
      </w:pPr>
      <w:r w:rsidDel="00000000" w:rsidR="00000000" w:rsidRPr="00000000">
        <w:rPr>
          <w:rtl w:val="0"/>
        </w:rPr>
      </w:r>
    </w:p>
    <w:p w:rsidR="00000000" w:rsidDel="00000000" w:rsidP="00000000" w:rsidRDefault="00000000" w:rsidRPr="00000000" w14:paraId="00000843">
      <w:pPr>
        <w:spacing w:after="200" w:before="240" w:line="276" w:lineRule="auto"/>
        <w:rPr/>
      </w:pPr>
      <w:r w:rsidDel="00000000" w:rsidR="00000000" w:rsidRPr="00000000">
        <w:rPr>
          <w:rtl w:val="0"/>
        </w:rPr>
      </w:r>
    </w:p>
    <w:p w:rsidR="00000000" w:rsidDel="00000000" w:rsidP="00000000" w:rsidRDefault="00000000" w:rsidRPr="00000000" w14:paraId="00000844">
      <w:pPr>
        <w:pStyle w:val="Heading3"/>
        <w:rPr>
          <w:color w:val="000000"/>
        </w:rPr>
      </w:pPr>
      <w:bookmarkStart w:colFirst="0" w:colLast="0" w:name="_heading=h.338fx5o" w:id="124"/>
      <w:bookmarkEnd w:id="124"/>
      <w:r w:rsidDel="00000000" w:rsidR="00000000" w:rsidRPr="00000000">
        <w:rPr>
          <w:color w:val="000000"/>
          <w:rtl w:val="0"/>
        </w:rPr>
        <w:t xml:space="preserve">Estimating admixture from the Scandinavian Peninsula</w:t>
      </w:r>
    </w:p>
    <w:p w:rsidR="00000000" w:rsidDel="00000000" w:rsidP="00000000" w:rsidRDefault="00000000" w:rsidRPr="00000000" w14:paraId="00000845">
      <w:pPr>
        <w:rPr/>
      </w:pPr>
      <w:r w:rsidDel="00000000" w:rsidR="00000000" w:rsidRPr="00000000">
        <w:rPr>
          <w:rtl w:val="0"/>
        </w:rPr>
        <w:t xml:space="preserve">Drawing on the results of the </w:t>
      </w:r>
      <w:r w:rsidDel="00000000" w:rsidR="00000000" w:rsidRPr="00000000">
        <w:rPr>
          <w:i w:val="1"/>
          <w:rtl w:val="0"/>
        </w:rPr>
        <w:t xml:space="preserve">F</w:t>
      </w:r>
      <w:r w:rsidDel="00000000" w:rsidR="00000000" w:rsidRPr="00000000">
        <w:rPr>
          <w:vertAlign w:val="subscript"/>
          <w:rtl w:val="0"/>
        </w:rPr>
        <w:t xml:space="preserve">4 </w:t>
      </w:r>
      <w:r w:rsidDel="00000000" w:rsidR="00000000" w:rsidRPr="00000000">
        <w:rPr>
          <w:rtl w:val="0"/>
        </w:rPr>
        <w:t xml:space="preserve">statistics described above, we performed a supervised ADMIXTURE</w:t>
      </w:r>
      <w:hyperlink r:id="rId217">
        <w:r w:rsidDel="00000000" w:rsidR="00000000" w:rsidRPr="00000000">
          <w:rPr>
            <w:color w:val="000000"/>
            <w:vertAlign w:val="superscript"/>
            <w:rtl w:val="0"/>
          </w:rPr>
          <w:t xml:space="preserve">172</w:t>
        </w:r>
      </w:hyperlink>
      <w:r w:rsidDel="00000000" w:rsidR="00000000" w:rsidRPr="00000000">
        <w:rPr>
          <w:rtl w:val="0"/>
        </w:rPr>
        <w:t xml:space="preserve"> analysis, setting </w:t>
      </w:r>
      <w:r w:rsidDel="00000000" w:rsidR="00000000" w:rsidRPr="00000000">
        <w:rPr>
          <w:i w:val="1"/>
          <w:rtl w:val="0"/>
        </w:rPr>
        <w:t xml:space="preserve">K </w:t>
      </w:r>
      <w:r w:rsidDel="00000000" w:rsidR="00000000" w:rsidRPr="00000000">
        <w:rPr>
          <w:rtl w:val="0"/>
        </w:rPr>
        <w:t xml:space="preserve">= 3, treating samples from Norway and Sweden as a distinct additional parental group (NOR, </w:t>
      </w:r>
      <w:r w:rsidDel="00000000" w:rsidR="00000000" w:rsidRPr="00000000">
        <w:rPr>
          <w:i w:val="1"/>
          <w:rtl w:val="0"/>
        </w:rPr>
        <w:t xml:space="preserve">n</w:t>
      </w:r>
      <w:r w:rsidDel="00000000" w:rsidR="00000000" w:rsidRPr="00000000">
        <w:rPr>
          <w:rtl w:val="0"/>
        </w:rPr>
        <w:t xml:space="preserve"> = 1910) (Supp. Fig. 6.2, Supp. Table 6.3). In agreement with the </w:t>
      </w:r>
      <w:r w:rsidDel="00000000" w:rsidR="00000000" w:rsidRPr="00000000">
        <w:rPr>
          <w:i w:val="1"/>
          <w:rtl w:val="0"/>
        </w:rPr>
        <w:t xml:space="preserve">F</w:t>
      </w:r>
      <w:r w:rsidDel="00000000" w:rsidR="00000000" w:rsidRPr="00000000">
        <w:rPr>
          <w:vertAlign w:val="subscript"/>
          <w:rtl w:val="0"/>
        </w:rPr>
        <w:t xml:space="preserve">4 </w:t>
      </w:r>
      <w:r w:rsidDel="00000000" w:rsidR="00000000" w:rsidRPr="00000000">
        <w:rPr>
          <w:rtl w:val="0"/>
        </w:rPr>
        <w:t xml:space="preserve">statistics, no individual exhibits exclusively </w:t>
      </w:r>
      <w:r w:rsidDel="00000000" w:rsidR="00000000" w:rsidRPr="00000000">
        <w:rPr>
          <w:i w:val="1"/>
          <w:rtl w:val="0"/>
        </w:rPr>
        <w:t xml:space="preserve">NOR </w:t>
      </w:r>
      <w:r w:rsidDel="00000000" w:rsidR="00000000" w:rsidRPr="00000000">
        <w:rPr>
          <w:rtl w:val="0"/>
        </w:rPr>
        <w:t xml:space="preserve">ancestry, although smaller ancestry components were found across most individuals and sites. Consistent with the </w:t>
      </w:r>
      <w:r w:rsidDel="00000000" w:rsidR="00000000" w:rsidRPr="00000000">
        <w:rPr>
          <w:i w:val="1"/>
          <w:rtl w:val="0"/>
        </w:rPr>
        <w:t xml:space="preserve">F</w:t>
      </w:r>
      <w:r w:rsidDel="00000000" w:rsidR="00000000" w:rsidRPr="00000000">
        <w:rPr>
          <w:vertAlign w:val="subscript"/>
          <w:rtl w:val="0"/>
        </w:rPr>
        <w:t xml:space="preserve">4</w:t>
      </w:r>
      <w:r w:rsidDel="00000000" w:rsidR="00000000" w:rsidRPr="00000000">
        <w:rPr>
          <w:rtl w:val="0"/>
        </w:rPr>
        <w:t xml:space="preserve"> statistics, larger proportions of </w:t>
      </w:r>
      <w:r w:rsidDel="00000000" w:rsidR="00000000" w:rsidRPr="00000000">
        <w:rPr>
          <w:i w:val="1"/>
          <w:rtl w:val="0"/>
        </w:rPr>
        <w:t xml:space="preserve">NOR </w:t>
      </w:r>
      <w:r w:rsidDel="00000000" w:rsidR="00000000" w:rsidRPr="00000000">
        <w:rPr>
          <w:rtl w:val="0"/>
        </w:rPr>
        <w:t xml:space="preserve">ancestry were found in the outlier individuals identified above. We then averaged the computed components and calculated the mean Scandinavian Peninsula ancestry per site (Supp. Fig. 6.2b). Excluding the low-coverage individual from Folkestone, Kent, we find that Scandinavian Peninsula ancestry does not exceed 16% in early medieval England (15.8% in Bude and 12.5% in Lincoln) and is absent in Wolverton, Linton, Hartlepool, and Rookery Hill, and low in Eastry (0.6%) and Worth Matravers (0.1%). Higher proportions between 5% and 10% were found in Ely, West Heslerton, Hatherdene Close, and Dover Buckland. Overall, the Anglo-Saxon Period population of England harbours 5.4% Scandinavian Peninsula ancestry. In contrast, for the preceding Iron Age, we estimate only 0.4%  Scandinavian Peninsula ancestry. Notably, with the beginning of the Viking Age, a much higher mean proportion was measured in the ancient individuals, accounting for up to 30.6% of the total ancestry  (Supp. Fig. 6.2a). This is consistent with previous analyses of the Viking population of England, indicating that English Viking individuals showed high genetic similarity to Anglo-Saxon period individuals, however, additionally exhibiting excess affinity to the present-day Swedish population</w:t>
      </w:r>
      <w:hyperlink r:id="rId218">
        <w:r w:rsidDel="00000000" w:rsidR="00000000" w:rsidRPr="00000000">
          <w:rPr>
            <w:color w:val="000000"/>
            <w:vertAlign w:val="superscript"/>
            <w:rtl w:val="0"/>
          </w:rPr>
          <w:t xml:space="preserve">120</w:t>
        </w:r>
      </w:hyperlink>
      <w:r w:rsidDel="00000000" w:rsidR="00000000" w:rsidRPr="00000000">
        <w:rPr>
          <w:rtl w:val="0"/>
        </w:rPr>
        <w:t xml:space="preserve">. The standard errors for the individual estimates of </w:t>
      </w:r>
      <w:r w:rsidDel="00000000" w:rsidR="00000000" w:rsidRPr="00000000">
        <w:rPr>
          <w:i w:val="1"/>
          <w:rtl w:val="0"/>
        </w:rPr>
        <w:t xml:space="preserve">NOR </w:t>
      </w:r>
      <w:r w:rsidDel="00000000" w:rsidR="00000000" w:rsidRPr="00000000">
        <w:rPr>
          <w:rtl w:val="0"/>
        </w:rPr>
        <w:t xml:space="preserve">ancestry ranged between 0% and 40.8% (with the mean SEs for the </w:t>
      </w:r>
      <w:r w:rsidDel="00000000" w:rsidR="00000000" w:rsidRPr="00000000">
        <w:rPr>
          <w:i w:val="1"/>
          <w:rtl w:val="0"/>
        </w:rPr>
        <w:t xml:space="preserve">CNE </w:t>
      </w:r>
      <w:r w:rsidDel="00000000" w:rsidR="00000000" w:rsidRPr="00000000">
        <w:rPr>
          <w:rtl w:val="0"/>
        </w:rPr>
        <w:t xml:space="preserve">component being 9.3% (median 9.1%), for </w:t>
      </w:r>
      <w:r w:rsidDel="00000000" w:rsidR="00000000" w:rsidRPr="00000000">
        <w:rPr>
          <w:i w:val="1"/>
          <w:rtl w:val="0"/>
        </w:rPr>
        <w:t xml:space="preserve">NOR </w:t>
      </w:r>
      <w:r w:rsidDel="00000000" w:rsidR="00000000" w:rsidRPr="00000000">
        <w:rPr>
          <w:rtl w:val="0"/>
        </w:rPr>
        <w:t xml:space="preserve">component 5.9% (median 3.7%), and for the </w:t>
      </w:r>
      <w:r w:rsidDel="00000000" w:rsidR="00000000" w:rsidRPr="00000000">
        <w:rPr>
          <w:i w:val="1"/>
          <w:rtl w:val="0"/>
        </w:rPr>
        <w:t xml:space="preserve">WBI </w:t>
      </w:r>
      <w:r w:rsidDel="00000000" w:rsidR="00000000" w:rsidRPr="00000000">
        <w:rPr>
          <w:rtl w:val="0"/>
        </w:rPr>
        <w:t xml:space="preserve">component 6.5% (median 5.9%) in all 759 modelled individuals).</w:t>
      </w:r>
    </w:p>
    <w:p w:rsidR="00000000" w:rsidDel="00000000" w:rsidP="00000000" w:rsidRDefault="00000000" w:rsidRPr="00000000" w14:paraId="00000846">
      <w:pPr>
        <w:rPr/>
      </w:pPr>
      <w:r w:rsidDel="00000000" w:rsidR="00000000" w:rsidRPr="00000000">
        <w:rPr>
          <w:rtl w:val="0"/>
        </w:rPr>
        <w:t xml:space="preserve">We therefore conclude that there is no association between geographic location and fraction of ancestry from the Scandinavian Peninsula. If Saxons, Angles, and Jutes were meaningful biological categories that remained valid after the migration to England, then they were not correlated with varying degrees of ancestry from the Scandinavian Peninsula. </w:t>
      </w:r>
    </w:p>
    <w:p w:rsidR="00000000" w:rsidDel="00000000" w:rsidP="00000000" w:rsidRDefault="00000000" w:rsidRPr="00000000" w14:paraId="00000847">
      <w:pPr>
        <w:keepNext w:val="1"/>
        <w:rPr/>
      </w:pPr>
      <w:r w:rsidDel="00000000" w:rsidR="00000000" w:rsidRPr="00000000">
        <w:rPr/>
        <w:drawing>
          <wp:inline distB="0" distT="0" distL="0" distR="0">
            <wp:extent cx="5760720" cy="8839835"/>
            <wp:effectExtent b="0" l="0" r="0" t="0"/>
            <wp:docPr descr="Graphical user interface, application&#10;&#10;Description automatically generated" id="142" name="image21.png"/>
            <a:graphic>
              <a:graphicData uri="http://schemas.openxmlformats.org/drawingml/2006/picture">
                <pic:pic>
                  <pic:nvPicPr>
                    <pic:cNvPr descr="Graphical user interface, application&#10;&#10;Description automatically generated" id="0" name="image21.png"/>
                    <pic:cNvPicPr preferRelativeResize="0"/>
                  </pic:nvPicPr>
                  <pic:blipFill>
                    <a:blip r:embed="rId219"/>
                    <a:srcRect b="0" l="0" r="0" t="0"/>
                    <a:stretch>
                      <a:fillRect/>
                    </a:stretch>
                  </pic:blipFill>
                  <pic:spPr>
                    <a:xfrm>
                      <a:off x="0" y="0"/>
                      <a:ext cx="5760720" cy="8839835"/>
                    </a:xfrm>
                    <a:prstGeom prst="rect"/>
                    <a:ln/>
                  </pic:spPr>
                </pic:pic>
              </a:graphicData>
            </a:graphic>
          </wp:inline>
        </w:drawing>
      </w:r>
      <w:r w:rsidDel="00000000" w:rsidR="00000000" w:rsidRPr="00000000">
        <w:rPr>
          <w:rtl w:val="0"/>
        </w:rPr>
      </w:r>
    </w:p>
    <w:p w:rsidR="00000000" w:rsidDel="00000000" w:rsidP="00000000" w:rsidRDefault="00000000" w:rsidRPr="00000000" w14:paraId="00000848">
      <w:pPr>
        <w:spacing w:after="200" w:line="240" w:lineRule="auto"/>
        <w:rPr/>
      </w:pPr>
      <w:r w:rsidDel="00000000" w:rsidR="00000000" w:rsidRPr="00000000">
        <w:rPr>
          <w:b w:val="1"/>
          <w:i w:val="1"/>
          <w:sz w:val="18"/>
          <w:szCs w:val="18"/>
          <w:rtl w:val="0"/>
        </w:rPr>
        <w:t xml:space="preserve">Supplementary Figure 6.2, Scandinavian Peninsula ancestry in early medieval England. </w:t>
      </w:r>
      <w:r w:rsidDel="00000000" w:rsidR="00000000" w:rsidRPr="00000000">
        <w:rPr>
          <w:i w:val="1"/>
          <w:sz w:val="18"/>
          <w:szCs w:val="18"/>
          <w:rtl w:val="0"/>
        </w:rPr>
        <w:t xml:space="preserve">Supervised ADMIXTURE analysis, modelling ancient English individuals as a mixture of CNE (n = 405), WBI (l n = 667), and NOR ( n = 1910) reference populations. a) Shown are NOR estimates as boxplots. Bounds of the Box represent the 25</w:t>
      </w:r>
      <w:r w:rsidDel="00000000" w:rsidR="00000000" w:rsidRPr="00000000">
        <w:rPr>
          <w:i w:val="1"/>
          <w:sz w:val="18"/>
          <w:szCs w:val="18"/>
          <w:vertAlign w:val="superscript"/>
          <w:rtl w:val="0"/>
        </w:rPr>
        <w:t xml:space="preserve">th</w:t>
      </w:r>
      <w:r w:rsidDel="00000000" w:rsidR="00000000" w:rsidRPr="00000000">
        <w:rPr>
          <w:i w:val="1"/>
          <w:sz w:val="18"/>
          <w:szCs w:val="18"/>
          <w:rtl w:val="0"/>
        </w:rPr>
        <w:t xml:space="preserve"> and 75</w:t>
      </w:r>
      <w:r w:rsidDel="00000000" w:rsidR="00000000" w:rsidRPr="00000000">
        <w:rPr>
          <w:i w:val="1"/>
          <w:sz w:val="18"/>
          <w:szCs w:val="18"/>
          <w:vertAlign w:val="superscript"/>
          <w:rtl w:val="0"/>
        </w:rPr>
        <w:t xml:space="preserve">th</w:t>
      </w:r>
      <w:r w:rsidDel="00000000" w:rsidR="00000000" w:rsidRPr="00000000">
        <w:rPr>
          <w:i w:val="1"/>
          <w:sz w:val="18"/>
          <w:szCs w:val="18"/>
          <w:rtl w:val="0"/>
        </w:rPr>
        <w:t xml:space="preserve"> Percentile. The centre represents the median. Whiskers represent the smallest value greater than the 25</w:t>
      </w:r>
      <w:r w:rsidDel="00000000" w:rsidR="00000000" w:rsidRPr="00000000">
        <w:rPr>
          <w:i w:val="1"/>
          <w:sz w:val="18"/>
          <w:szCs w:val="18"/>
          <w:vertAlign w:val="superscript"/>
          <w:rtl w:val="0"/>
        </w:rPr>
        <w:t xml:space="preserve">th</w:t>
      </w:r>
      <w:r w:rsidDel="00000000" w:rsidR="00000000" w:rsidRPr="00000000">
        <w:rPr>
          <w:i w:val="1"/>
          <w:sz w:val="18"/>
          <w:szCs w:val="18"/>
          <w:rtl w:val="0"/>
        </w:rPr>
        <w:t xml:space="preserve"> Percentile minus 1.5 times the interquartile range and largest value less than the 75</w:t>
      </w:r>
      <w:r w:rsidDel="00000000" w:rsidR="00000000" w:rsidRPr="00000000">
        <w:rPr>
          <w:i w:val="1"/>
          <w:sz w:val="18"/>
          <w:szCs w:val="18"/>
          <w:vertAlign w:val="superscript"/>
          <w:rtl w:val="0"/>
        </w:rPr>
        <w:t xml:space="preserve">th</w:t>
      </w:r>
      <w:r w:rsidDel="00000000" w:rsidR="00000000" w:rsidRPr="00000000">
        <w:rPr>
          <w:i w:val="1"/>
          <w:sz w:val="18"/>
          <w:szCs w:val="18"/>
          <w:rtl w:val="0"/>
        </w:rPr>
        <w:t xml:space="preserve"> Percentile plus 1.5 times the interquartile range, respectively. Outliers present the minimum and maximum values in the data. b) The mean CNE, WBI, and NOR ancestry proportions of 22 early medieval English sites are shown as pie charts. Jitter was induced for enhanced readability. NOR ancestry is colored in dark blue, WBI in lighter blue, and CNE in red.</w:t>
      </w:r>
      <w:r w:rsidDel="00000000" w:rsidR="00000000" w:rsidRPr="00000000">
        <w:rPr>
          <w:rtl w:val="0"/>
        </w:rPr>
      </w:r>
    </w:p>
    <w:p w:rsidR="00000000" w:rsidDel="00000000" w:rsidP="00000000" w:rsidRDefault="00000000" w:rsidRPr="00000000" w14:paraId="00000849">
      <w:pPr>
        <w:pStyle w:val="Heading2"/>
        <w:rPr>
          <w:color w:val="000000"/>
        </w:rPr>
      </w:pPr>
      <w:bookmarkStart w:colFirst="0" w:colLast="0" w:name="_heading=h.1idq7dh" w:id="125"/>
      <w:bookmarkEnd w:id="125"/>
      <w:r w:rsidDel="00000000" w:rsidR="00000000" w:rsidRPr="00000000">
        <w:rPr>
          <w:color w:val="000000"/>
          <w:rtl w:val="0"/>
        </w:rPr>
        <w:t xml:space="preserve">Modelling present-day Britain and Ireland</w:t>
      </w:r>
    </w:p>
    <w:p w:rsidR="00000000" w:rsidDel="00000000" w:rsidP="00000000" w:rsidRDefault="00000000" w:rsidRPr="00000000" w14:paraId="0000084A">
      <w:pPr>
        <w:pStyle w:val="Heading3"/>
        <w:rPr>
          <w:color w:val="000000"/>
        </w:rPr>
      </w:pPr>
      <w:bookmarkStart w:colFirst="0" w:colLast="0" w:name="_heading=h.42ddq1a" w:id="126"/>
      <w:bookmarkEnd w:id="126"/>
      <w:r w:rsidDel="00000000" w:rsidR="00000000" w:rsidRPr="00000000">
        <w:rPr>
          <w:color w:val="000000"/>
          <w:rtl w:val="0"/>
        </w:rPr>
        <w:t xml:space="preserve">qpAdm</w:t>
      </w:r>
    </w:p>
    <w:p w:rsidR="00000000" w:rsidDel="00000000" w:rsidP="00000000" w:rsidRDefault="00000000" w:rsidRPr="00000000" w14:paraId="0000084B">
      <w:pPr>
        <w:rPr/>
      </w:pPr>
      <w:r w:rsidDel="00000000" w:rsidR="00000000" w:rsidRPr="00000000">
        <w:rPr>
          <w:rtl w:val="0"/>
        </w:rPr>
        <w:t xml:space="preserve">We note that our </w:t>
      </w:r>
      <w:r w:rsidDel="00000000" w:rsidR="00000000" w:rsidRPr="00000000">
        <w:rPr>
          <w:i w:val="1"/>
          <w:rtl w:val="0"/>
        </w:rPr>
        <w:t xml:space="preserve">qpAdm</w:t>
      </w:r>
      <w:r w:rsidDel="00000000" w:rsidR="00000000" w:rsidRPr="00000000">
        <w:rPr>
          <w:rtl w:val="0"/>
        </w:rPr>
        <w:t xml:space="preserve"> approaches produce fitting three-way models for all present-day English populations without further ancestry introgression from other parts of Europe. However, recent analyses of present-day individuals indicate at least a minor contribution from the Scandinavian Peninsula, which was introduced by migrations from Sweden and Norway during the Viking period</w:t>
      </w:r>
      <w:hyperlink r:id="rId220">
        <w:r w:rsidDel="00000000" w:rsidR="00000000" w:rsidRPr="00000000">
          <w:rPr>
            <w:color w:val="000000"/>
            <w:vertAlign w:val="superscript"/>
            <w:rtl w:val="0"/>
          </w:rPr>
          <w:t xml:space="preserve">56,120,179,180</w:t>
        </w:r>
      </w:hyperlink>
      <w:r w:rsidDel="00000000" w:rsidR="00000000" w:rsidRPr="00000000">
        <w:rPr>
          <w:rtl w:val="0"/>
        </w:rPr>
        <w:t xml:space="preserve">. While we cannot rule out that this component is too small and/or too undifferentiated from our ancient CNE sources to be detected in the </w:t>
      </w:r>
      <w:r w:rsidDel="00000000" w:rsidR="00000000" w:rsidRPr="00000000">
        <w:rPr>
          <w:i w:val="1"/>
          <w:rtl w:val="0"/>
        </w:rPr>
        <w:t xml:space="preserve">qpAdm</w:t>
      </w:r>
      <w:r w:rsidDel="00000000" w:rsidR="00000000" w:rsidRPr="00000000">
        <w:rPr>
          <w:rtl w:val="0"/>
        </w:rPr>
        <w:t xml:space="preserve"> models, we highlight that supervised ADMIXTURE modelling indicates that at least ~5.4% of the ancestry in early medieval England was related to present-day Norwegians and Swedes (Supp. Fig. 6.2), which suggests that a considerable part of that ancestry was already present in England before the Viking period and subsequent migrations may therefore have contributed less to the modern English gene pool than previously suggested.</w:t>
      </w:r>
    </w:p>
    <w:p w:rsidR="00000000" w:rsidDel="00000000" w:rsidP="00000000" w:rsidRDefault="00000000" w:rsidRPr="00000000" w14:paraId="0000084C">
      <w:pPr>
        <w:rPr/>
      </w:pPr>
      <w:r w:rsidDel="00000000" w:rsidR="00000000" w:rsidRPr="00000000">
        <w:rPr>
          <w:rtl w:val="0"/>
        </w:rPr>
        <w:t xml:space="preserve">However, to find potential signals of post-Anglo-Saxon period introgression from the Scandinavian Peninsula, we further modified our </w:t>
      </w:r>
      <w:r w:rsidDel="00000000" w:rsidR="00000000" w:rsidRPr="00000000">
        <w:rPr>
          <w:i w:val="1"/>
          <w:rtl w:val="0"/>
        </w:rPr>
        <w:t xml:space="preserve">qpAdm</w:t>
      </w:r>
      <w:r w:rsidDel="00000000" w:rsidR="00000000" w:rsidRPr="00000000">
        <w:rPr>
          <w:rtl w:val="0"/>
        </w:rPr>
        <w:t xml:space="preserve"> approach to include four Norwegian Iron Age samples (</w:t>
      </w:r>
      <w:r w:rsidDel="00000000" w:rsidR="00000000" w:rsidRPr="00000000">
        <w:rPr>
          <w:i w:val="1"/>
          <w:rtl w:val="0"/>
        </w:rPr>
        <w:t xml:space="preserve">Norway_IA</w:t>
      </w:r>
      <w:r w:rsidDel="00000000" w:rsidR="00000000" w:rsidRPr="00000000">
        <w:rPr>
          <w:rtl w:val="0"/>
        </w:rPr>
        <w:t xml:space="preserve">) as fourth source, and adding to the outgroups </w:t>
      </w:r>
      <w:r w:rsidDel="00000000" w:rsidR="00000000" w:rsidRPr="00000000">
        <w:rPr>
          <w:color w:val="000000"/>
          <w:rtl w:val="0"/>
        </w:rPr>
        <w:t xml:space="preserve">Norway, </w:t>
      </w:r>
      <w:r w:rsidDel="00000000" w:rsidR="00000000" w:rsidRPr="00000000">
        <w:rPr>
          <w:rtl w:val="0"/>
        </w:rPr>
        <w:t xml:space="preserve">Latvia and </w:t>
      </w:r>
      <w:r w:rsidDel="00000000" w:rsidR="00000000" w:rsidRPr="00000000">
        <w:rPr>
          <w:color w:val="000000"/>
          <w:rtl w:val="0"/>
        </w:rPr>
        <w:t xml:space="preserve">Saami. </w:t>
      </w:r>
      <w:r w:rsidDel="00000000" w:rsidR="00000000" w:rsidRPr="00000000">
        <w:rPr>
          <w:rtl w:val="0"/>
        </w:rPr>
        <w:t xml:space="preserve">The </w:t>
      </w:r>
      <w:r w:rsidDel="00000000" w:rsidR="00000000" w:rsidRPr="00000000">
        <w:rPr>
          <w:i w:val="1"/>
          <w:rtl w:val="0"/>
        </w:rPr>
        <w:t xml:space="preserve">qpAdm</w:t>
      </w:r>
      <w:r w:rsidDel="00000000" w:rsidR="00000000" w:rsidRPr="00000000">
        <w:rPr>
          <w:rtl w:val="0"/>
        </w:rPr>
        <w:t xml:space="preserve"> models obtained are mostly infeasible, suggesting either no additional admixture or too low resolution of our outgroup set (Supp. Table 6.4-6). However, for several regions in eastern and northern England, like Yorkshire and Cumbria, as well as generally in the territory of the Danelaw, we obtained feasible admixture proportions in the range of 1% to 6% (Supp. Fig. 3.3a). For the whole of England, we estimate </w:t>
      </w:r>
      <w:r w:rsidDel="00000000" w:rsidR="00000000" w:rsidRPr="00000000">
        <w:rPr>
          <w:color w:val="000000"/>
          <w:rtl w:val="0"/>
        </w:rPr>
        <w:t xml:space="preserve">1.1% ± 3.4% </w:t>
      </w:r>
      <w:r w:rsidDel="00000000" w:rsidR="00000000" w:rsidRPr="00000000">
        <w:rPr>
          <w:i w:val="1"/>
          <w:color w:val="000000"/>
          <w:rtl w:val="0"/>
        </w:rPr>
        <w:t xml:space="preserve">Norway</w:t>
      </w:r>
      <w:r w:rsidDel="00000000" w:rsidR="00000000" w:rsidRPr="00000000">
        <w:rPr>
          <w:i w:val="1"/>
          <w:rtl w:val="0"/>
        </w:rPr>
        <w:t xml:space="preserve">_</w:t>
      </w:r>
      <w:r w:rsidDel="00000000" w:rsidR="00000000" w:rsidRPr="00000000">
        <w:rPr>
          <w:i w:val="1"/>
          <w:color w:val="000000"/>
          <w:rtl w:val="0"/>
        </w:rPr>
        <w:t xml:space="preserve">IA </w:t>
      </w:r>
      <w:r w:rsidDel="00000000" w:rsidR="00000000" w:rsidRPr="00000000">
        <w:rPr>
          <w:color w:val="000000"/>
          <w:rtl w:val="0"/>
        </w:rPr>
        <w:t xml:space="preserve">contributions using </w:t>
      </w:r>
      <w:r w:rsidDel="00000000" w:rsidR="00000000" w:rsidRPr="00000000">
        <w:rPr>
          <w:i w:val="1"/>
          <w:color w:val="000000"/>
          <w:rtl w:val="0"/>
        </w:rPr>
        <w:t xml:space="preserve">England</w:t>
      </w:r>
      <w:r w:rsidDel="00000000" w:rsidR="00000000" w:rsidRPr="00000000">
        <w:rPr>
          <w:i w:val="1"/>
          <w:rtl w:val="0"/>
        </w:rPr>
        <w:t xml:space="preserve">_</w:t>
      </w:r>
      <w:r w:rsidDel="00000000" w:rsidR="00000000" w:rsidRPr="00000000">
        <w:rPr>
          <w:i w:val="1"/>
          <w:color w:val="000000"/>
          <w:rtl w:val="0"/>
        </w:rPr>
        <w:t xml:space="preserve">EMA</w:t>
      </w:r>
      <w:r w:rsidDel="00000000" w:rsidR="00000000" w:rsidRPr="00000000">
        <w:rPr>
          <w:i w:val="1"/>
          <w:rtl w:val="0"/>
        </w:rPr>
        <w:t xml:space="preserve">_</w:t>
      </w:r>
      <w:r w:rsidDel="00000000" w:rsidR="00000000" w:rsidRPr="00000000">
        <w:rPr>
          <w:i w:val="1"/>
          <w:color w:val="000000"/>
          <w:rtl w:val="0"/>
        </w:rPr>
        <w:t xml:space="preserve">CNE</w:t>
      </w:r>
      <w:r w:rsidDel="00000000" w:rsidR="00000000" w:rsidRPr="00000000">
        <w:rPr>
          <w:color w:val="000000"/>
          <w:rtl w:val="0"/>
        </w:rPr>
        <w:t xml:space="preserve"> as the source of CNE ancestry (</w:t>
      </w:r>
      <w:r w:rsidDel="00000000" w:rsidR="00000000" w:rsidRPr="00000000">
        <w:rPr>
          <w:i w:val="1"/>
          <w:color w:val="000000"/>
          <w:rtl w:val="0"/>
        </w:rPr>
        <w:t xml:space="preserve">p</w:t>
      </w:r>
      <w:r w:rsidDel="00000000" w:rsidR="00000000" w:rsidRPr="00000000">
        <w:rPr>
          <w:color w:val="000000"/>
          <w:rtl w:val="0"/>
        </w:rPr>
        <w:t xml:space="preserve"> &gt; 0.27)</w:t>
      </w:r>
      <w:r w:rsidDel="00000000" w:rsidR="00000000" w:rsidRPr="00000000">
        <w:rPr>
          <w:rtl w:val="0"/>
        </w:rPr>
      </w:r>
    </w:p>
    <w:p w:rsidR="00000000" w:rsidDel="00000000" w:rsidP="00000000" w:rsidRDefault="00000000" w:rsidRPr="00000000" w14:paraId="0000084D">
      <w:pPr>
        <w:rPr/>
      </w:pPr>
      <w:r w:rsidDel="00000000" w:rsidR="00000000" w:rsidRPr="00000000">
        <w:rPr>
          <w:rtl w:val="0"/>
        </w:rPr>
      </w:r>
    </w:p>
    <w:p w:rsidR="00000000" w:rsidDel="00000000" w:rsidP="00000000" w:rsidRDefault="00000000" w:rsidRPr="00000000" w14:paraId="0000084E">
      <w:pPr>
        <w:pStyle w:val="Heading3"/>
        <w:rPr>
          <w:color w:val="000000"/>
        </w:rPr>
      </w:pPr>
      <w:bookmarkStart w:colFirst="0" w:colLast="0" w:name="_heading=h.2hio093" w:id="127"/>
      <w:bookmarkEnd w:id="127"/>
      <w:r w:rsidDel="00000000" w:rsidR="00000000" w:rsidRPr="00000000">
        <w:rPr>
          <w:color w:val="000000"/>
          <w:rtl w:val="0"/>
        </w:rPr>
        <w:t xml:space="preserve">Supervised ADMIXTURE</w:t>
      </w:r>
    </w:p>
    <w:p w:rsidR="00000000" w:rsidDel="00000000" w:rsidP="00000000" w:rsidRDefault="00000000" w:rsidRPr="00000000" w14:paraId="0000084F">
      <w:pPr>
        <w:rPr/>
      </w:pPr>
      <w:r w:rsidDel="00000000" w:rsidR="00000000" w:rsidRPr="00000000">
        <w:rPr>
          <w:rtl w:val="0"/>
        </w:rPr>
        <w:t xml:space="preserve">Additionally, we also modelled each of the 1678 modern PoBI individuals as a mixture between CNE, WBI, CWE, and NOR. As in supplementary note 3, this </w:t>
      </w:r>
      <w:r w:rsidDel="00000000" w:rsidR="00000000" w:rsidRPr="00000000">
        <w:rPr>
          <w:i w:val="1"/>
          <w:rtl w:val="0"/>
        </w:rPr>
        <w:t xml:space="preserve">Norse</w:t>
      </w:r>
      <w:r w:rsidDel="00000000" w:rsidR="00000000" w:rsidRPr="00000000">
        <w:rPr>
          <w:rtl w:val="0"/>
        </w:rPr>
        <w:t xml:space="preserve"> metapopulation included 1910 individuals from Sweden and Norway grouped together. We estimate an average of 6% ± 0.2% Norse ancestry in present-day England, with peaks in Cumbria, Northeast England, and East Anglia and lower proportions in western and southwestern England (</w:t>
      </w:r>
      <w:r w:rsidDel="00000000" w:rsidR="00000000" w:rsidRPr="00000000">
        <w:rPr>
          <w:i w:val="1"/>
          <w:rtl w:val="0"/>
        </w:rPr>
        <w:t xml:space="preserve">e.g.</w:t>
      </w:r>
      <w:r w:rsidDel="00000000" w:rsidR="00000000" w:rsidRPr="00000000">
        <w:rPr>
          <w:rtl w:val="0"/>
        </w:rPr>
        <w:t xml:space="preserve"> Cornwall, Sussex, Herefordshire, Forest of Dean)(Supp. Fig. 6.3b, Supp. Table 6.7-8), which is close to previous estimates based on ancient DNA</w:t>
      </w:r>
      <w:hyperlink r:id="rId221">
        <w:r w:rsidDel="00000000" w:rsidR="00000000" w:rsidRPr="00000000">
          <w:rPr>
            <w:color w:val="000000"/>
            <w:vertAlign w:val="superscript"/>
            <w:rtl w:val="0"/>
          </w:rPr>
          <w:t xml:space="preserve">120</w:t>
        </w:r>
      </w:hyperlink>
      <w:r w:rsidDel="00000000" w:rsidR="00000000" w:rsidRPr="00000000">
        <w:rPr>
          <w:rtl w:val="0"/>
        </w:rPr>
        <w:t xml:space="preserve">. Correspondingly, the overall fraction of CNE ancestry in England was reduced by inclusion of the fourth source population to 32.7% ± 0.4% (WBI = 36.4% ± 0.4%, CWE = 24.9% ± 0.4%).  </w:t>
      </w:r>
    </w:p>
    <w:p w:rsidR="00000000" w:rsidDel="00000000" w:rsidP="00000000" w:rsidRDefault="00000000" w:rsidRPr="00000000" w14:paraId="00000850">
      <w:pPr>
        <w:rPr/>
      </w:pPr>
      <w:r w:rsidDel="00000000" w:rsidR="00000000" w:rsidRPr="00000000">
        <w:rPr>
          <w:rtl w:val="0"/>
        </w:rPr>
        <w:t xml:space="preserve">Altogether, our analyses suggest that later migration from northern Europe into England during the Viking period did not have a substantial effect on the English population and that only minor ancestry contributions from the Scandinavian Peninsula are present in England, mainly restricted to the northern regions. This finding contrasts with results obtained from modelling non-English British and Irish populations. For example, we find that Orkney received 12.2% ± 0.9% NOR-related or 15.4% ± 4.5% </w:t>
      </w:r>
      <w:r w:rsidDel="00000000" w:rsidR="00000000" w:rsidRPr="00000000">
        <w:rPr>
          <w:i w:val="1"/>
          <w:rtl w:val="0"/>
        </w:rPr>
        <w:t xml:space="preserve">Norway_IA</w:t>
      </w:r>
      <w:r w:rsidDel="00000000" w:rsidR="00000000" w:rsidRPr="00000000">
        <w:rPr>
          <w:rtl w:val="0"/>
        </w:rPr>
        <w:t xml:space="preserve">-related ancestry and a minor contribution from CNE-like (6.1% ± 0.8%) or </w:t>
      </w:r>
      <w:r w:rsidDel="00000000" w:rsidR="00000000" w:rsidRPr="00000000">
        <w:rPr>
          <w:i w:val="1"/>
          <w:rtl w:val="0"/>
        </w:rPr>
        <w:t xml:space="preserve">England_EMA_CNE</w:t>
      </w:r>
      <w:r w:rsidDel="00000000" w:rsidR="00000000" w:rsidRPr="00000000">
        <w:rPr>
          <w:rtl w:val="0"/>
        </w:rPr>
        <w:t xml:space="preserve">-like sources (9.5% ± 5.9%). This is highly congruent with previous estimates of Norse ancestry in the population of the Orkney Islands</w:t>
      </w:r>
      <w:hyperlink r:id="rId222">
        <w:r w:rsidDel="00000000" w:rsidR="00000000" w:rsidRPr="00000000">
          <w:rPr>
            <w:color w:val="000000"/>
            <w:vertAlign w:val="superscript"/>
            <w:rtl w:val="0"/>
          </w:rPr>
          <w:t xml:space="preserve">56,180</w:t>
        </w:r>
      </w:hyperlink>
      <w:r w:rsidDel="00000000" w:rsidR="00000000" w:rsidRPr="00000000">
        <w:rPr>
          <w:rtl w:val="0"/>
        </w:rPr>
        <w:t xml:space="preserve">. </w:t>
      </w:r>
    </w:p>
    <w:p w:rsidR="00000000" w:rsidDel="00000000" w:rsidP="00000000" w:rsidRDefault="00000000" w:rsidRPr="00000000" w14:paraId="00000851">
      <w:pPr>
        <w:rPr/>
      </w:pPr>
      <w:r w:rsidDel="00000000" w:rsidR="00000000" w:rsidRPr="00000000">
        <w:rPr>
          <w:rtl w:val="0"/>
        </w:rPr>
        <w:t xml:space="preserve">On the other hand, we observe that mainland Scotland was rather influenced by CNE-like ancestry, in agreement with previous Y-chromosome analyses indicating a mainly Danish rather than Norwegian introgression</w:t>
      </w:r>
      <w:hyperlink r:id="rId223">
        <w:r w:rsidDel="00000000" w:rsidR="00000000" w:rsidRPr="00000000">
          <w:rPr>
            <w:color w:val="000000"/>
            <w:vertAlign w:val="superscript"/>
            <w:rtl w:val="0"/>
          </w:rPr>
          <w:t xml:space="preserve">157</w:t>
        </w:r>
      </w:hyperlink>
      <w:r w:rsidDel="00000000" w:rsidR="00000000" w:rsidRPr="00000000">
        <w:rPr>
          <w:rtl w:val="0"/>
        </w:rPr>
        <w:t xml:space="preserve"> (16.8% ± 1.4% CNE vs. 5.3% ± 0.8% NOR ancestry or 10.1% ± 6.3% </w:t>
      </w:r>
      <w:r w:rsidDel="00000000" w:rsidR="00000000" w:rsidRPr="00000000">
        <w:rPr>
          <w:i w:val="1"/>
          <w:rtl w:val="0"/>
        </w:rPr>
        <w:t xml:space="preserve">England_EMA_CNE </w:t>
      </w:r>
      <w:r w:rsidDel="00000000" w:rsidR="00000000" w:rsidRPr="00000000">
        <w:rPr>
          <w:rtl w:val="0"/>
        </w:rPr>
        <w:t xml:space="preserve">vs. 5.5% ± 4.8% </w:t>
      </w:r>
      <w:r w:rsidDel="00000000" w:rsidR="00000000" w:rsidRPr="00000000">
        <w:rPr>
          <w:i w:val="1"/>
          <w:rtl w:val="0"/>
        </w:rPr>
        <w:t xml:space="preserve">Norway_IA </w:t>
      </w:r>
      <w:r w:rsidDel="00000000" w:rsidR="00000000" w:rsidRPr="00000000">
        <w:rPr>
          <w:rtl w:val="0"/>
        </w:rPr>
        <w:t xml:space="preserve">ancestry), with higher proportions of CNE ancestry in the East than in the West (22.9% ± 1.5% vs 8.6% ± 2.0%) (Supp. Table 6.5, 6.6 and 6.8). Taken together, this highlights that our </w:t>
      </w:r>
      <w:r w:rsidDel="00000000" w:rsidR="00000000" w:rsidRPr="00000000">
        <w:rPr>
          <w:i w:val="1"/>
          <w:rtl w:val="0"/>
        </w:rPr>
        <w:t xml:space="preserve">qpAdm</w:t>
      </w:r>
      <w:r w:rsidDel="00000000" w:rsidR="00000000" w:rsidRPr="00000000">
        <w:rPr>
          <w:rtl w:val="0"/>
        </w:rPr>
        <w:t xml:space="preserve"> and supervised ADMIXTURE approaches are generally able to identify excess affinity to populations from the Scandinavian peninsula, supporting our inferences about the magnitude of Norse Viking ancestry contribution to the modern English population.</w:t>
      </w:r>
    </w:p>
    <w:p w:rsidR="00000000" w:rsidDel="00000000" w:rsidP="00000000" w:rsidRDefault="00000000" w:rsidRPr="00000000" w14:paraId="00000852">
      <w:pPr>
        <w:keepNext w:val="1"/>
        <w:rPr/>
      </w:pPr>
      <w:r w:rsidDel="00000000" w:rsidR="00000000" w:rsidRPr="00000000">
        <w:rPr/>
        <w:drawing>
          <wp:inline distB="0" distT="0" distL="0" distR="0">
            <wp:extent cx="5760720" cy="3244215"/>
            <wp:effectExtent b="0" l="0" r="0" t="0"/>
            <wp:docPr descr="Map&#10;&#10;Description automatically generated" id="144" name="image34.png"/>
            <a:graphic>
              <a:graphicData uri="http://schemas.openxmlformats.org/drawingml/2006/picture">
                <pic:pic>
                  <pic:nvPicPr>
                    <pic:cNvPr descr="Map&#10;&#10;Description automatically generated" id="0" name="image34.png"/>
                    <pic:cNvPicPr preferRelativeResize="0"/>
                  </pic:nvPicPr>
                  <pic:blipFill>
                    <a:blip r:embed="rId224"/>
                    <a:srcRect b="0" l="0" r="0" t="0"/>
                    <a:stretch>
                      <a:fillRect/>
                    </a:stretch>
                  </pic:blipFill>
                  <pic:spPr>
                    <a:xfrm>
                      <a:off x="0" y="0"/>
                      <a:ext cx="5760720" cy="3244215"/>
                    </a:xfrm>
                    <a:prstGeom prst="rect"/>
                    <a:ln/>
                  </pic:spPr>
                </pic:pic>
              </a:graphicData>
            </a:graphic>
          </wp:inline>
        </w:drawing>
      </w:r>
      <w:r w:rsidDel="00000000" w:rsidR="00000000" w:rsidRPr="00000000">
        <w:rPr>
          <w:rtl w:val="0"/>
        </w:rPr>
      </w:r>
    </w:p>
    <w:p w:rsidR="00000000" w:rsidDel="00000000" w:rsidP="00000000" w:rsidRDefault="00000000" w:rsidRPr="00000000" w14:paraId="00000853">
      <w:pPr>
        <w:pBdr>
          <w:top w:space="0" w:sz="0" w:val="nil"/>
          <w:left w:space="0" w:sz="0" w:val="nil"/>
          <w:bottom w:space="0" w:sz="0" w:val="nil"/>
          <w:right w:space="0" w:sz="0" w:val="nil"/>
          <w:between w:space="0" w:sz="0" w:val="nil"/>
        </w:pBdr>
        <w:spacing w:after="200" w:line="240" w:lineRule="auto"/>
        <w:rPr>
          <w:i w:val="1"/>
          <w:sz w:val="18"/>
          <w:szCs w:val="18"/>
        </w:rPr>
      </w:pPr>
      <w:r w:rsidDel="00000000" w:rsidR="00000000" w:rsidRPr="00000000">
        <w:rPr>
          <w:b w:val="1"/>
          <w:i w:val="1"/>
          <w:sz w:val="18"/>
          <w:szCs w:val="18"/>
          <w:rtl w:val="0"/>
        </w:rPr>
        <w:t xml:space="preserve">Supplementary Figure 6.3, Scandinavian Peninsula ancestry in present-day Britain and Ireland. </w:t>
      </w:r>
      <w:r w:rsidDel="00000000" w:rsidR="00000000" w:rsidRPr="00000000">
        <w:rPr>
          <w:i w:val="1"/>
          <w:sz w:val="18"/>
          <w:szCs w:val="18"/>
          <w:rtl w:val="0"/>
        </w:rPr>
        <w:t xml:space="preserve">Interpolated maps of Scandinavian Peninsula (Norway IA or present-day Swedish &amp; Norwegian) ancestry across modern populations from Britain and Ireland. a) Using Norway IA and England_EMA_CNE as sources of Norse or CNE ancestry. b) Using NOR (present-day Norway &amp; Sweden) and CNE (present-day Denmark &amp; Northern Germany) as sources of Norse or CNE ancestry.</w:t>
      </w:r>
    </w:p>
    <w:p w:rsidR="00000000" w:rsidDel="00000000" w:rsidP="00000000" w:rsidRDefault="00000000" w:rsidRPr="00000000" w14:paraId="00000854">
      <w:pPr>
        <w:pStyle w:val="Heading1"/>
        <w:rPr>
          <w:color w:val="000000"/>
          <w:sz w:val="28"/>
          <w:szCs w:val="28"/>
        </w:rPr>
      </w:pPr>
      <w:bookmarkStart w:colFirst="0" w:colLast="0" w:name="_heading=h.wnyagw" w:id="128"/>
      <w:bookmarkEnd w:id="128"/>
      <w:r w:rsidDel="00000000" w:rsidR="00000000" w:rsidRPr="00000000">
        <w:br w:type="page"/>
      </w:r>
      <w:r w:rsidDel="00000000" w:rsidR="00000000" w:rsidRPr="00000000">
        <w:rPr>
          <w:rtl w:val="0"/>
        </w:rPr>
      </w:r>
    </w:p>
    <w:p w:rsidR="00000000" w:rsidDel="00000000" w:rsidP="00000000" w:rsidRDefault="00000000" w:rsidRPr="00000000" w14:paraId="00000855">
      <w:pPr>
        <w:pStyle w:val="Heading1"/>
        <w:rPr>
          <w:rFonts w:ascii="Calibri" w:cs="Calibri" w:eastAsia="Calibri" w:hAnsi="Calibri"/>
          <w:sz w:val="28"/>
          <w:szCs w:val="28"/>
        </w:rPr>
      </w:pPr>
      <w:bookmarkStart w:colFirst="0" w:colLast="0" w:name="_heading=h.3gnlt4p" w:id="129"/>
      <w:bookmarkEnd w:id="129"/>
      <w:r w:rsidDel="00000000" w:rsidR="00000000" w:rsidRPr="00000000">
        <w:rPr>
          <w:rFonts w:ascii="Calibri" w:cs="Calibri" w:eastAsia="Calibri" w:hAnsi="Calibri"/>
          <w:color w:val="000000"/>
          <w:sz w:val="28"/>
          <w:szCs w:val="28"/>
          <w:rtl w:val="0"/>
        </w:rPr>
        <w:t xml:space="preserve">Supplementary Note 7 </w:t>
      </w:r>
      <w:r w:rsidDel="00000000" w:rsidR="00000000" w:rsidRPr="00000000">
        <w:rPr>
          <w:rFonts w:ascii="Calibri" w:cs="Calibri" w:eastAsia="Calibri" w:hAnsi="Calibri"/>
          <w:i w:val="1"/>
          <w:color w:val="000000"/>
          <w:sz w:val="28"/>
          <w:szCs w:val="28"/>
          <w:rtl w:val="0"/>
        </w:rPr>
        <w:t xml:space="preserve">Association of CNE </w:t>
      </w:r>
      <w:r w:rsidDel="00000000" w:rsidR="00000000" w:rsidRPr="00000000">
        <w:rPr>
          <w:rFonts w:ascii="Calibri" w:cs="Calibri" w:eastAsia="Calibri" w:hAnsi="Calibri"/>
          <w:i w:val="1"/>
          <w:color w:val="222222"/>
          <w:sz w:val="28"/>
          <w:szCs w:val="28"/>
          <w:rtl w:val="0"/>
        </w:rPr>
        <w:t xml:space="preserve">ancestry with elements of material culture</w:t>
      </w:r>
      <w:r w:rsidDel="00000000" w:rsidR="00000000" w:rsidRPr="00000000">
        <w:rPr>
          <w:rtl w:val="0"/>
        </w:rPr>
      </w:r>
    </w:p>
    <w:p w:rsidR="00000000" w:rsidDel="00000000" w:rsidP="00000000" w:rsidRDefault="00000000" w:rsidRPr="00000000" w14:paraId="00000856">
      <w:pPr>
        <w:rPr>
          <w:color w:val="222222"/>
          <w:highlight w:val="white"/>
        </w:rPr>
      </w:pPr>
      <w:r w:rsidDel="00000000" w:rsidR="00000000" w:rsidRPr="00000000">
        <w:rPr>
          <w:color w:val="222222"/>
          <w:highlight w:val="white"/>
          <w:rtl w:val="0"/>
        </w:rPr>
        <w:t xml:space="preserve">Amorim et al. identified distinctive differences in grave furnishings of individuals with predominantly immigrant and local ancestry in the early medieval Langobard-associated cemeteries of Szólád and Collegno in Hungary and Italy.</w:t>
      </w:r>
      <w:r w:rsidDel="00000000" w:rsidR="00000000" w:rsidRPr="00000000">
        <w:rPr>
          <w:rFonts w:ascii="Times New Roman" w:cs="Times New Roman" w:eastAsia="Times New Roman" w:hAnsi="Times New Roman"/>
          <w:color w:val="222222"/>
          <w:sz w:val="27"/>
          <w:szCs w:val="27"/>
          <w:highlight w:val="white"/>
          <w:rtl w:val="0"/>
        </w:rPr>
        <w:t xml:space="preserve"> </w:t>
      </w:r>
      <w:r w:rsidDel="00000000" w:rsidR="00000000" w:rsidRPr="00000000">
        <w:rPr>
          <w:color w:val="222222"/>
          <w:highlight w:val="white"/>
          <w:rtl w:val="0"/>
        </w:rPr>
        <w:t xml:space="preserve">In particular, in both sites, individuals with immigrant ancestry were significantly more often buried with grave goods. We wanted to test if a similar relationships between immigrant ancestry and material culture (</w:t>
      </w:r>
      <w:r w:rsidDel="00000000" w:rsidR="00000000" w:rsidRPr="00000000">
        <w:rPr>
          <w:rtl w:val="0"/>
        </w:rPr>
        <w:t xml:space="preserve">Supp. Table 7.1) </w:t>
      </w:r>
      <w:r w:rsidDel="00000000" w:rsidR="00000000" w:rsidRPr="00000000">
        <w:rPr>
          <w:color w:val="222222"/>
          <w:highlight w:val="white"/>
          <w:rtl w:val="0"/>
        </w:rPr>
        <w:t xml:space="preserve">could be observed in Early Anglo-Saxon Period England. </w:t>
      </w:r>
    </w:p>
    <w:p w:rsidR="00000000" w:rsidDel="00000000" w:rsidP="00000000" w:rsidRDefault="00000000" w:rsidRPr="00000000" w14:paraId="00000857">
      <w:pPr>
        <w:rPr>
          <w:color w:val="222222"/>
          <w:highlight w:val="white"/>
        </w:rPr>
      </w:pPr>
      <w:r w:rsidDel="00000000" w:rsidR="00000000" w:rsidRPr="00000000">
        <w:rPr>
          <w:color w:val="222222"/>
          <w:highlight w:val="white"/>
          <w:rtl w:val="0"/>
        </w:rPr>
        <w:t xml:space="preserve">In order to investigate such a relationship, we applied two different statistical approaches:</w:t>
      </w:r>
    </w:p>
    <w:p w:rsidR="00000000" w:rsidDel="00000000" w:rsidP="00000000" w:rsidRDefault="00000000" w:rsidRPr="00000000" w14:paraId="00000858">
      <w:pPr>
        <w:numPr>
          <w:ilvl w:val="0"/>
          <w:numId w:val="10"/>
        </w:numPr>
        <w:spacing w:after="0" w:lineRule="auto"/>
        <w:ind w:left="720" w:hanging="360"/>
        <w:rPr>
          <w:color w:val="222222"/>
          <w:highlight w:val="white"/>
        </w:rPr>
      </w:pPr>
      <w:r w:rsidDel="00000000" w:rsidR="00000000" w:rsidRPr="00000000">
        <w:rPr>
          <w:color w:val="222222"/>
          <w:highlight w:val="white"/>
          <w:rtl w:val="0"/>
        </w:rPr>
        <w:t xml:space="preserve">We classified individuals into either immigrant or local groups based on whether their proportion of CNE ancestry was greater or lower than 50%. We then used this classification in a series of Fisher’s exact tests for their association with material culture.</w:t>
      </w:r>
    </w:p>
    <w:p w:rsidR="00000000" w:rsidDel="00000000" w:rsidP="00000000" w:rsidRDefault="00000000" w:rsidRPr="00000000" w14:paraId="00000859">
      <w:pPr>
        <w:numPr>
          <w:ilvl w:val="0"/>
          <w:numId w:val="10"/>
        </w:numPr>
        <w:ind w:left="720" w:hanging="360"/>
        <w:rPr>
          <w:color w:val="222222"/>
          <w:highlight w:val="white"/>
        </w:rPr>
      </w:pPr>
      <w:r w:rsidDel="00000000" w:rsidR="00000000" w:rsidRPr="00000000">
        <w:rPr>
          <w:color w:val="222222"/>
          <w:highlight w:val="white"/>
          <w:rtl w:val="0"/>
        </w:rPr>
        <w:t xml:space="preserve">We did not group individuals but included CNE ancestry als continuous variable in a series of (non-parametric) </w:t>
      </w:r>
      <w:r w:rsidDel="00000000" w:rsidR="00000000" w:rsidRPr="00000000">
        <w:rPr>
          <w:color w:val="111827"/>
          <w:highlight w:val="white"/>
          <w:rtl w:val="0"/>
        </w:rPr>
        <w:t xml:space="preserve">Wilcoxon Rank Sum tests </w:t>
      </w:r>
      <w:r w:rsidDel="00000000" w:rsidR="00000000" w:rsidRPr="00000000">
        <w:rPr>
          <w:color w:val="222222"/>
          <w:highlight w:val="white"/>
          <w:rtl w:val="0"/>
        </w:rPr>
        <w:t xml:space="preserve">for its association with the presence or absence of  material culture.</w:t>
      </w:r>
    </w:p>
    <w:p w:rsidR="00000000" w:rsidDel="00000000" w:rsidP="00000000" w:rsidRDefault="00000000" w:rsidRPr="00000000" w14:paraId="0000085A">
      <w:pPr>
        <w:rPr>
          <w:color w:val="222222"/>
          <w:highlight w:val="white"/>
        </w:rPr>
      </w:pPr>
      <w:r w:rsidDel="00000000" w:rsidR="00000000" w:rsidRPr="00000000">
        <w:rPr>
          <w:color w:val="222222"/>
          <w:highlight w:val="white"/>
          <w:rtl w:val="0"/>
        </w:rPr>
        <w:t xml:space="preserve">The rationale behind performing both of these tests, is the fact they assess ancestry from different angles. The Fisher’s test considers ancestry as a proxy for “immigrant” (CNE) vs “local” (WBI) individual family histories. The Wilcoxon Rank test adds nuance and resolution to this view, by using the full spectrum of the ancestry gradient in a continuous fashion, even if the continuous nature of ancestry proportion was arguably less obvious to the lived experience. </w:t>
      </w:r>
    </w:p>
    <w:p w:rsidR="00000000" w:rsidDel="00000000" w:rsidP="00000000" w:rsidRDefault="00000000" w:rsidRPr="00000000" w14:paraId="0000085B">
      <w:pPr>
        <w:rPr>
          <w:color w:val="222222"/>
          <w:highlight w:val="white"/>
        </w:rPr>
      </w:pPr>
      <w:r w:rsidDel="00000000" w:rsidR="00000000" w:rsidRPr="00000000">
        <w:rPr>
          <w:color w:val="222222"/>
          <w:highlight w:val="white"/>
          <w:rtl w:val="0"/>
        </w:rPr>
        <w:t xml:space="preserve">Overall, we find consistent results between these two approaches, with notable exception of West Heslerton, where the Wilcoxon test reveals a significant relationship in male graves between CNE ancestry and presence of weapons, which is the only significant such relationship found among sites and regions overall.</w:t>
      </w:r>
    </w:p>
    <w:p w:rsidR="00000000" w:rsidDel="00000000" w:rsidP="00000000" w:rsidRDefault="00000000" w:rsidRPr="00000000" w14:paraId="0000085C">
      <w:pPr>
        <w:pStyle w:val="Heading2"/>
        <w:rPr>
          <w:color w:val="000000"/>
        </w:rPr>
      </w:pPr>
      <w:bookmarkStart w:colFirst="0" w:colLast="0" w:name="_heading=h.1vsw3ci" w:id="130"/>
      <w:bookmarkEnd w:id="130"/>
      <w:r w:rsidDel="00000000" w:rsidR="00000000" w:rsidRPr="00000000">
        <w:rPr>
          <w:color w:val="000000"/>
          <w:rtl w:val="0"/>
        </w:rPr>
        <w:t xml:space="preserve">Fisher’s exact test</w:t>
      </w:r>
    </w:p>
    <w:p w:rsidR="00000000" w:rsidDel="00000000" w:rsidP="00000000" w:rsidRDefault="00000000" w:rsidRPr="00000000" w14:paraId="0000085D">
      <w:pPr>
        <w:rPr/>
      </w:pPr>
      <w:r w:rsidDel="00000000" w:rsidR="00000000" w:rsidRPr="00000000">
        <w:rPr>
          <w:rtl w:val="0"/>
        </w:rPr>
        <w:t xml:space="preserve">For approach 1), we categorised all individuals according to their CNE and WBI ancestry estimates into two classes: CNE (&gt;50% CNE ancestry) and WBI (&gt;50% WBI ancestry), and then computed Fisher’s exact tests with respect to the following burial features:</w:t>
      </w:r>
    </w:p>
    <w:p w:rsidR="00000000" w:rsidDel="00000000" w:rsidP="00000000" w:rsidRDefault="00000000" w:rsidRPr="00000000" w14:paraId="0000085E">
      <w:pPr>
        <w:numPr>
          <w:ilvl w:val="0"/>
          <w:numId w:val="8"/>
        </w:numPr>
        <w:spacing w:after="0" w:lineRule="auto"/>
        <w:ind w:left="720" w:hanging="360"/>
        <w:rPr/>
      </w:pPr>
      <w:r w:rsidDel="00000000" w:rsidR="00000000" w:rsidRPr="00000000">
        <w:rPr>
          <w:rtl w:val="0"/>
        </w:rPr>
        <w:t xml:space="preserve">Presence of grave goods (“Grave goods”)</w:t>
      </w:r>
    </w:p>
    <w:p w:rsidR="00000000" w:rsidDel="00000000" w:rsidP="00000000" w:rsidRDefault="00000000" w:rsidRPr="00000000" w14:paraId="0000085F">
      <w:pPr>
        <w:numPr>
          <w:ilvl w:val="0"/>
          <w:numId w:val="8"/>
        </w:numPr>
        <w:spacing w:after="0" w:lineRule="auto"/>
        <w:ind w:left="720" w:hanging="360"/>
        <w:rPr/>
      </w:pPr>
      <w:r w:rsidDel="00000000" w:rsidR="00000000" w:rsidRPr="00000000">
        <w:rPr>
          <w:rtl w:val="0"/>
        </w:rPr>
        <w:t xml:space="preserve">For male graves: Presence of grave goods (“Male grave goods”)</w:t>
      </w:r>
    </w:p>
    <w:p w:rsidR="00000000" w:rsidDel="00000000" w:rsidP="00000000" w:rsidRDefault="00000000" w:rsidRPr="00000000" w14:paraId="00000860">
      <w:pPr>
        <w:numPr>
          <w:ilvl w:val="0"/>
          <w:numId w:val="8"/>
        </w:numPr>
        <w:spacing w:after="0" w:lineRule="auto"/>
        <w:ind w:left="720" w:hanging="360"/>
        <w:rPr/>
      </w:pPr>
      <w:r w:rsidDel="00000000" w:rsidR="00000000" w:rsidRPr="00000000">
        <w:rPr>
          <w:rtl w:val="0"/>
        </w:rPr>
        <w:t xml:space="preserve">For male graves: Presence of weapons (“Weapons”)</w:t>
      </w:r>
    </w:p>
    <w:p w:rsidR="00000000" w:rsidDel="00000000" w:rsidP="00000000" w:rsidRDefault="00000000" w:rsidRPr="00000000" w14:paraId="00000861">
      <w:pPr>
        <w:numPr>
          <w:ilvl w:val="0"/>
          <w:numId w:val="8"/>
        </w:numPr>
        <w:spacing w:after="0" w:lineRule="auto"/>
        <w:ind w:left="720" w:hanging="360"/>
        <w:rPr/>
      </w:pPr>
      <w:r w:rsidDel="00000000" w:rsidR="00000000" w:rsidRPr="00000000">
        <w:rPr>
          <w:rtl w:val="0"/>
        </w:rPr>
        <w:t xml:space="preserve">For female graves: Presence of grave goods (“Female grave goods”)</w:t>
      </w:r>
    </w:p>
    <w:p w:rsidR="00000000" w:rsidDel="00000000" w:rsidP="00000000" w:rsidRDefault="00000000" w:rsidRPr="00000000" w14:paraId="00000862">
      <w:pPr>
        <w:numPr>
          <w:ilvl w:val="0"/>
          <w:numId w:val="8"/>
        </w:numPr>
        <w:spacing w:after="0" w:lineRule="auto"/>
        <w:ind w:left="720" w:hanging="360"/>
        <w:rPr/>
      </w:pPr>
      <w:r w:rsidDel="00000000" w:rsidR="00000000" w:rsidRPr="00000000">
        <w:rPr>
          <w:rtl w:val="0"/>
        </w:rPr>
        <w:t xml:space="preserve">For female graves: Presence of brooches (“Brooches”)</w:t>
      </w:r>
    </w:p>
    <w:p w:rsidR="00000000" w:rsidDel="00000000" w:rsidP="00000000" w:rsidRDefault="00000000" w:rsidRPr="00000000" w14:paraId="00000863">
      <w:pPr>
        <w:numPr>
          <w:ilvl w:val="0"/>
          <w:numId w:val="8"/>
        </w:numPr>
        <w:spacing w:after="0" w:lineRule="auto"/>
        <w:ind w:left="720" w:hanging="360"/>
        <w:rPr/>
      </w:pPr>
      <w:r w:rsidDel="00000000" w:rsidR="00000000" w:rsidRPr="00000000">
        <w:rPr>
          <w:rtl w:val="0"/>
        </w:rPr>
        <w:t xml:space="preserve">Estimated age (“Age”) (based on three classes &lt;25yo, 25-45yo, &gt;45yo), in which case we used a Fisher-Freeman-Halton test to account for more than two age categories</w:t>
      </w:r>
    </w:p>
    <w:p w:rsidR="00000000" w:rsidDel="00000000" w:rsidP="00000000" w:rsidRDefault="00000000" w:rsidRPr="00000000" w14:paraId="00000864">
      <w:pPr>
        <w:numPr>
          <w:ilvl w:val="0"/>
          <w:numId w:val="8"/>
        </w:numPr>
        <w:spacing w:after="0" w:lineRule="auto"/>
        <w:ind w:left="720" w:hanging="360"/>
        <w:rPr/>
      </w:pPr>
      <w:r w:rsidDel="00000000" w:rsidR="00000000" w:rsidRPr="00000000">
        <w:rPr>
          <w:rtl w:val="0"/>
        </w:rPr>
        <w:t xml:space="preserve">Genetic Sex (“Sex”)</w:t>
      </w:r>
    </w:p>
    <w:p w:rsidR="00000000" w:rsidDel="00000000" w:rsidP="00000000" w:rsidRDefault="00000000" w:rsidRPr="00000000" w14:paraId="00000865">
      <w:pPr>
        <w:numPr>
          <w:ilvl w:val="0"/>
          <w:numId w:val="8"/>
        </w:numPr>
        <w:ind w:left="720" w:hanging="360"/>
        <w:rPr/>
      </w:pPr>
      <w:r w:rsidDel="00000000" w:rsidR="00000000" w:rsidRPr="00000000">
        <w:rPr>
          <w:rtl w:val="0"/>
        </w:rPr>
        <w:t xml:space="preserve">North / South as a broad regional category (“North/South”)</w:t>
      </w:r>
    </w:p>
    <w:p w:rsidR="00000000" w:rsidDel="00000000" w:rsidP="00000000" w:rsidRDefault="00000000" w:rsidRPr="00000000" w14:paraId="00000866">
      <w:pPr>
        <w:spacing w:after="0" w:lineRule="auto"/>
        <w:rPr/>
      </w:pPr>
      <w:r w:rsidDel="00000000" w:rsidR="00000000" w:rsidRPr="00000000">
        <w:rPr>
          <w:rtl w:val="0"/>
        </w:rPr>
        <w:t xml:space="preserve">The numbers reported are </w:t>
      </w:r>
      <w:r w:rsidDel="00000000" w:rsidR="00000000" w:rsidRPr="00000000">
        <w:rPr>
          <w:i w:val="1"/>
          <w:rtl w:val="0"/>
        </w:rPr>
        <w:t xml:space="preserve">p</w:t>
      </w:r>
      <w:r w:rsidDel="00000000" w:rsidR="00000000" w:rsidRPr="00000000">
        <w:rPr>
          <w:rtl w:val="0"/>
        </w:rPr>
        <w:t xml:space="preserve">-values.</w:t>
      </w:r>
    </w:p>
    <w:p w:rsidR="00000000" w:rsidDel="00000000" w:rsidP="00000000" w:rsidRDefault="00000000" w:rsidRPr="00000000" w14:paraId="00000867">
      <w:pPr>
        <w:spacing w:after="0" w:lineRule="auto"/>
        <w:rPr>
          <w:b w:val="1"/>
        </w:rPr>
      </w:pPr>
      <w:r w:rsidDel="00000000" w:rsidR="00000000" w:rsidRPr="00000000">
        <w:rPr>
          <w:rtl w:val="0"/>
        </w:rPr>
      </w:r>
    </w:p>
    <w:p w:rsidR="00000000" w:rsidDel="00000000" w:rsidP="00000000" w:rsidRDefault="00000000" w:rsidRPr="00000000" w14:paraId="00000868">
      <w:pPr>
        <w:pStyle w:val="Heading3"/>
        <w:rPr>
          <w:color w:val="000000"/>
        </w:rPr>
      </w:pPr>
      <w:bookmarkStart w:colFirst="0" w:colLast="0" w:name="_heading=h.4fsjm0b" w:id="131"/>
      <w:bookmarkEnd w:id="131"/>
      <w:r w:rsidDel="00000000" w:rsidR="00000000" w:rsidRPr="00000000">
        <w:rPr>
          <w:color w:val="000000"/>
          <w:rtl w:val="0"/>
        </w:rPr>
        <w:t xml:space="preserve">For England as a whole</w:t>
      </w:r>
    </w:p>
    <w:p w:rsidR="00000000" w:rsidDel="00000000" w:rsidP="00000000" w:rsidRDefault="00000000" w:rsidRPr="00000000" w14:paraId="00000869">
      <w:pPr>
        <w:spacing w:after="0" w:lineRule="auto"/>
        <w:rPr/>
      </w:pPr>
      <w:r w:rsidDel="00000000" w:rsidR="00000000" w:rsidRPr="00000000">
        <w:rPr>
          <w:rtl w:val="0"/>
        </w:rPr>
        <w:t xml:space="preserve">Grave Goods: .016 significant</w:t>
      </w:r>
    </w:p>
    <w:p w:rsidR="00000000" w:rsidDel="00000000" w:rsidP="00000000" w:rsidRDefault="00000000" w:rsidRPr="00000000" w14:paraId="0000086A">
      <w:pPr>
        <w:spacing w:after="0" w:lineRule="auto"/>
        <w:rPr/>
      </w:pPr>
      <w:r w:rsidDel="00000000" w:rsidR="00000000" w:rsidRPr="00000000">
        <w:rPr>
          <w:rtl w:val="0"/>
        </w:rPr>
        <w:t xml:space="preserve">Weapons: = 1    </w:t>
      </w:r>
    </w:p>
    <w:p w:rsidR="00000000" w:rsidDel="00000000" w:rsidP="00000000" w:rsidRDefault="00000000" w:rsidRPr="00000000" w14:paraId="0000086B">
      <w:pPr>
        <w:spacing w:after="0" w:lineRule="auto"/>
        <w:rPr/>
      </w:pPr>
      <w:r w:rsidDel="00000000" w:rsidR="00000000" w:rsidRPr="00000000">
        <w:rPr>
          <w:rtl w:val="0"/>
        </w:rPr>
        <w:t xml:space="preserve">Brooches = .012 significant</w:t>
      </w:r>
    </w:p>
    <w:p w:rsidR="00000000" w:rsidDel="00000000" w:rsidP="00000000" w:rsidRDefault="00000000" w:rsidRPr="00000000" w14:paraId="0000086C">
      <w:pPr>
        <w:spacing w:after="0" w:lineRule="auto"/>
        <w:rPr/>
      </w:pPr>
      <w:r w:rsidDel="00000000" w:rsidR="00000000" w:rsidRPr="00000000">
        <w:rPr>
          <w:rtl w:val="0"/>
        </w:rPr>
        <w:t xml:space="preserve">Age = 0.4                                  </w:t>
      </w:r>
    </w:p>
    <w:p w:rsidR="00000000" w:rsidDel="00000000" w:rsidP="00000000" w:rsidRDefault="00000000" w:rsidRPr="00000000" w14:paraId="0000086D">
      <w:pPr>
        <w:spacing w:after="0" w:lineRule="auto"/>
        <w:rPr/>
      </w:pPr>
      <w:r w:rsidDel="00000000" w:rsidR="00000000" w:rsidRPr="00000000">
        <w:rPr>
          <w:rtl w:val="0"/>
        </w:rPr>
        <w:t xml:space="preserve">Sex = 0.86                              </w:t>
      </w:r>
    </w:p>
    <w:p w:rsidR="00000000" w:rsidDel="00000000" w:rsidP="00000000" w:rsidRDefault="00000000" w:rsidRPr="00000000" w14:paraId="0000086E">
      <w:pPr>
        <w:spacing w:after="0" w:lineRule="auto"/>
        <w:rPr/>
      </w:pPr>
      <w:r w:rsidDel="00000000" w:rsidR="00000000" w:rsidRPr="00000000">
        <w:rPr>
          <w:rtl w:val="0"/>
        </w:rPr>
        <w:t xml:space="preserve">Men grave goods = 0.57        </w:t>
      </w:r>
    </w:p>
    <w:p w:rsidR="00000000" w:rsidDel="00000000" w:rsidP="00000000" w:rsidRDefault="00000000" w:rsidRPr="00000000" w14:paraId="0000086F">
      <w:pPr>
        <w:spacing w:after="0" w:lineRule="auto"/>
        <w:rPr/>
      </w:pPr>
      <w:r w:rsidDel="00000000" w:rsidR="00000000" w:rsidRPr="00000000">
        <w:rPr>
          <w:rtl w:val="0"/>
        </w:rPr>
        <w:t xml:space="preserve">Female Grave goods = 0.001</w:t>
      </w:r>
    </w:p>
    <w:p w:rsidR="00000000" w:rsidDel="00000000" w:rsidP="00000000" w:rsidRDefault="00000000" w:rsidRPr="00000000" w14:paraId="00000870">
      <w:pPr>
        <w:spacing w:after="0" w:lineRule="auto"/>
        <w:rPr/>
      </w:pPr>
      <w:r w:rsidDel="00000000" w:rsidR="00000000" w:rsidRPr="00000000">
        <w:rPr>
          <w:rtl w:val="0"/>
        </w:rPr>
        <w:t xml:space="preserve">North/South = 0.01 significant</w:t>
      </w:r>
    </w:p>
    <w:p w:rsidR="00000000" w:rsidDel="00000000" w:rsidP="00000000" w:rsidRDefault="00000000" w:rsidRPr="00000000" w14:paraId="00000871">
      <w:pPr>
        <w:spacing w:after="0" w:lineRule="auto"/>
        <w:rPr/>
      </w:pPr>
      <w:r w:rsidDel="00000000" w:rsidR="00000000" w:rsidRPr="00000000">
        <w:rPr>
          <w:rtl w:val="0"/>
        </w:rPr>
        <w:t xml:space="preserve">Each County, Fisher-Freeman-Halton = 0.007 significant</w:t>
      </w:r>
    </w:p>
    <w:p w:rsidR="00000000" w:rsidDel="00000000" w:rsidP="00000000" w:rsidRDefault="00000000" w:rsidRPr="00000000" w14:paraId="00000872">
      <w:pPr>
        <w:spacing w:after="0" w:lineRule="auto"/>
        <w:rPr>
          <w:b w:val="1"/>
        </w:rPr>
      </w:pPr>
      <w:r w:rsidDel="00000000" w:rsidR="00000000" w:rsidRPr="00000000">
        <w:rPr>
          <w:b w:val="1"/>
          <w:rtl w:val="0"/>
        </w:rPr>
        <w:t xml:space="preserve"> </w:t>
      </w:r>
    </w:p>
    <w:p w:rsidR="00000000" w:rsidDel="00000000" w:rsidP="00000000" w:rsidRDefault="00000000" w:rsidRPr="00000000" w14:paraId="00000873">
      <w:pPr>
        <w:pStyle w:val="Heading3"/>
        <w:rPr>
          <w:color w:val="000000"/>
        </w:rPr>
      </w:pPr>
      <w:bookmarkStart w:colFirst="0" w:colLast="0" w:name="_heading=h.2uxtw84" w:id="132"/>
      <w:bookmarkEnd w:id="132"/>
      <w:r w:rsidDel="00000000" w:rsidR="00000000" w:rsidRPr="00000000">
        <w:rPr>
          <w:color w:val="000000"/>
          <w:rtl w:val="0"/>
        </w:rPr>
        <w:t xml:space="preserve">Regional Patterns</w:t>
      </w:r>
    </w:p>
    <w:p w:rsidR="00000000" w:rsidDel="00000000" w:rsidP="00000000" w:rsidRDefault="00000000" w:rsidRPr="00000000" w14:paraId="00000874">
      <w:pPr>
        <w:spacing w:after="0" w:lineRule="auto"/>
        <w:rPr>
          <w:u w:val="single"/>
        </w:rPr>
      </w:pPr>
      <w:r w:rsidDel="00000000" w:rsidR="00000000" w:rsidRPr="00000000">
        <w:rPr>
          <w:rtl w:val="0"/>
        </w:rPr>
      </w:r>
    </w:p>
    <w:p w:rsidR="00000000" w:rsidDel="00000000" w:rsidP="00000000" w:rsidRDefault="00000000" w:rsidRPr="00000000" w14:paraId="00000875">
      <w:pPr>
        <w:spacing w:after="0" w:lineRule="auto"/>
        <w:rPr>
          <w:u w:val="single"/>
        </w:rPr>
      </w:pPr>
      <w:r w:rsidDel="00000000" w:rsidR="00000000" w:rsidRPr="00000000">
        <w:rPr>
          <w:u w:val="single"/>
          <w:rtl w:val="0"/>
        </w:rPr>
        <w:t xml:space="preserve">North</w:t>
      </w:r>
    </w:p>
    <w:p w:rsidR="00000000" w:rsidDel="00000000" w:rsidP="00000000" w:rsidRDefault="00000000" w:rsidRPr="00000000" w14:paraId="00000876">
      <w:pPr>
        <w:spacing w:after="0" w:lineRule="auto"/>
        <w:rPr/>
      </w:pPr>
      <w:r w:rsidDel="00000000" w:rsidR="00000000" w:rsidRPr="00000000">
        <w:rPr>
          <w:rtl w:val="0"/>
        </w:rPr>
        <w:t xml:space="preserve">Weapons = 0.7</w:t>
      </w:r>
    </w:p>
    <w:p w:rsidR="00000000" w:rsidDel="00000000" w:rsidP="00000000" w:rsidRDefault="00000000" w:rsidRPr="00000000" w14:paraId="00000877">
      <w:pPr>
        <w:spacing w:after="0" w:lineRule="auto"/>
        <w:rPr/>
      </w:pPr>
      <w:r w:rsidDel="00000000" w:rsidR="00000000" w:rsidRPr="00000000">
        <w:rPr>
          <w:rtl w:val="0"/>
        </w:rPr>
        <w:t xml:space="preserve">Brooches = 0.9</w:t>
      </w:r>
    </w:p>
    <w:p w:rsidR="00000000" w:rsidDel="00000000" w:rsidP="00000000" w:rsidRDefault="00000000" w:rsidRPr="00000000" w14:paraId="00000878">
      <w:pPr>
        <w:spacing w:after="0" w:lineRule="auto"/>
        <w:rPr/>
      </w:pPr>
      <w:r w:rsidDel="00000000" w:rsidR="00000000" w:rsidRPr="00000000">
        <w:rPr>
          <w:rtl w:val="0"/>
        </w:rPr>
        <w:t xml:space="preserve">Grave goods = 0.1</w:t>
      </w:r>
    </w:p>
    <w:p w:rsidR="00000000" w:rsidDel="00000000" w:rsidP="00000000" w:rsidRDefault="00000000" w:rsidRPr="00000000" w14:paraId="00000879">
      <w:pPr>
        <w:spacing w:after="0" w:lineRule="auto"/>
        <w:rPr/>
      </w:pPr>
      <w:r w:rsidDel="00000000" w:rsidR="00000000" w:rsidRPr="00000000">
        <w:rPr>
          <w:rtl w:val="0"/>
        </w:rPr>
        <w:t xml:space="preserve">Sex = 0.38</w:t>
      </w:r>
    </w:p>
    <w:p w:rsidR="00000000" w:rsidDel="00000000" w:rsidP="00000000" w:rsidRDefault="00000000" w:rsidRPr="00000000" w14:paraId="0000087A">
      <w:pPr>
        <w:spacing w:after="0" w:lineRule="auto"/>
        <w:rPr/>
      </w:pPr>
      <w:r w:rsidDel="00000000" w:rsidR="00000000" w:rsidRPr="00000000">
        <w:rPr>
          <w:rtl w:val="0"/>
        </w:rPr>
        <w:t xml:space="preserve">Men grave goods = 0.25</w:t>
      </w:r>
    </w:p>
    <w:p w:rsidR="00000000" w:rsidDel="00000000" w:rsidP="00000000" w:rsidRDefault="00000000" w:rsidRPr="00000000" w14:paraId="0000087B">
      <w:pPr>
        <w:spacing w:after="0" w:lineRule="auto"/>
        <w:rPr/>
      </w:pPr>
      <w:r w:rsidDel="00000000" w:rsidR="00000000" w:rsidRPr="00000000">
        <w:rPr>
          <w:rtl w:val="0"/>
        </w:rPr>
        <w:t xml:space="preserve">Women Grave goods = 0.004 significant</w:t>
      </w:r>
    </w:p>
    <w:p w:rsidR="00000000" w:rsidDel="00000000" w:rsidP="00000000" w:rsidRDefault="00000000" w:rsidRPr="00000000" w14:paraId="0000087C">
      <w:pPr>
        <w:spacing w:after="0" w:lineRule="auto"/>
        <w:rPr>
          <w:color w:val="ff0000"/>
        </w:rPr>
      </w:pPr>
      <w:r w:rsidDel="00000000" w:rsidR="00000000" w:rsidRPr="00000000">
        <w:rPr>
          <w:rtl w:val="0"/>
        </w:rPr>
      </w:r>
    </w:p>
    <w:p w:rsidR="00000000" w:rsidDel="00000000" w:rsidP="00000000" w:rsidRDefault="00000000" w:rsidRPr="00000000" w14:paraId="0000087D">
      <w:pPr>
        <w:spacing w:after="0" w:lineRule="auto"/>
        <w:rPr>
          <w:u w:val="single"/>
        </w:rPr>
      </w:pPr>
      <w:r w:rsidDel="00000000" w:rsidR="00000000" w:rsidRPr="00000000">
        <w:rPr>
          <w:u w:val="single"/>
          <w:rtl w:val="0"/>
        </w:rPr>
        <w:t xml:space="preserve">South</w:t>
      </w:r>
    </w:p>
    <w:p w:rsidR="00000000" w:rsidDel="00000000" w:rsidP="00000000" w:rsidRDefault="00000000" w:rsidRPr="00000000" w14:paraId="0000087E">
      <w:pPr>
        <w:spacing w:after="0" w:lineRule="auto"/>
        <w:rPr/>
      </w:pPr>
      <w:r w:rsidDel="00000000" w:rsidR="00000000" w:rsidRPr="00000000">
        <w:rPr>
          <w:rtl w:val="0"/>
        </w:rPr>
        <w:t xml:space="preserve">Weapons = 0.53</w:t>
      </w:r>
    </w:p>
    <w:p w:rsidR="00000000" w:rsidDel="00000000" w:rsidP="00000000" w:rsidRDefault="00000000" w:rsidRPr="00000000" w14:paraId="0000087F">
      <w:pPr>
        <w:spacing w:after="0" w:lineRule="auto"/>
        <w:rPr/>
      </w:pPr>
      <w:r w:rsidDel="00000000" w:rsidR="00000000" w:rsidRPr="00000000">
        <w:rPr>
          <w:rtl w:val="0"/>
        </w:rPr>
        <w:t xml:space="preserve">Brooches = 0.15</w:t>
      </w:r>
    </w:p>
    <w:p w:rsidR="00000000" w:rsidDel="00000000" w:rsidP="00000000" w:rsidRDefault="00000000" w:rsidRPr="00000000" w14:paraId="00000880">
      <w:pPr>
        <w:spacing w:after="0" w:lineRule="auto"/>
        <w:rPr/>
      </w:pPr>
      <w:r w:rsidDel="00000000" w:rsidR="00000000" w:rsidRPr="00000000">
        <w:rPr>
          <w:rtl w:val="0"/>
        </w:rPr>
        <w:t xml:space="preserve">Grave goods = 0.44</w:t>
      </w:r>
    </w:p>
    <w:p w:rsidR="00000000" w:rsidDel="00000000" w:rsidP="00000000" w:rsidRDefault="00000000" w:rsidRPr="00000000" w14:paraId="00000881">
      <w:pPr>
        <w:spacing w:after="0" w:lineRule="auto"/>
        <w:rPr/>
      </w:pPr>
      <w:r w:rsidDel="00000000" w:rsidR="00000000" w:rsidRPr="00000000">
        <w:rPr>
          <w:rtl w:val="0"/>
        </w:rPr>
        <w:t xml:space="preserve">Sex = 0.65</w:t>
      </w:r>
    </w:p>
    <w:p w:rsidR="00000000" w:rsidDel="00000000" w:rsidP="00000000" w:rsidRDefault="00000000" w:rsidRPr="00000000" w14:paraId="00000882">
      <w:pPr>
        <w:spacing w:after="0" w:lineRule="auto"/>
        <w:rPr/>
      </w:pPr>
      <w:r w:rsidDel="00000000" w:rsidR="00000000" w:rsidRPr="00000000">
        <w:rPr>
          <w:rtl w:val="0"/>
        </w:rPr>
        <w:t xml:space="preserve">Men grave goods = 0.74</w:t>
      </w:r>
    </w:p>
    <w:p w:rsidR="00000000" w:rsidDel="00000000" w:rsidP="00000000" w:rsidRDefault="00000000" w:rsidRPr="00000000" w14:paraId="00000883">
      <w:pPr>
        <w:spacing w:after="0" w:lineRule="auto"/>
        <w:rPr>
          <w:color w:val="ff0000"/>
        </w:rPr>
      </w:pPr>
      <w:r w:rsidDel="00000000" w:rsidR="00000000" w:rsidRPr="00000000">
        <w:rPr>
          <w:rtl w:val="0"/>
        </w:rPr>
        <w:t xml:space="preserve">Women Grave goods = 0.96</w:t>
      </w:r>
      <w:r w:rsidDel="00000000" w:rsidR="00000000" w:rsidRPr="00000000">
        <w:rPr>
          <w:rtl w:val="0"/>
        </w:rPr>
      </w:r>
    </w:p>
    <w:p w:rsidR="00000000" w:rsidDel="00000000" w:rsidP="00000000" w:rsidRDefault="00000000" w:rsidRPr="00000000" w14:paraId="00000884">
      <w:pPr>
        <w:spacing w:after="0" w:lineRule="auto"/>
        <w:rPr/>
      </w:pPr>
      <w:r w:rsidDel="00000000" w:rsidR="00000000" w:rsidRPr="00000000">
        <w:rPr>
          <w:rtl w:val="0"/>
        </w:rPr>
        <w:t xml:space="preserve"> </w:t>
      </w:r>
    </w:p>
    <w:p w:rsidR="00000000" w:rsidDel="00000000" w:rsidP="00000000" w:rsidRDefault="00000000" w:rsidRPr="00000000" w14:paraId="00000885">
      <w:pPr>
        <w:spacing w:after="0" w:lineRule="auto"/>
        <w:rPr>
          <w:u w:val="single"/>
        </w:rPr>
      </w:pPr>
      <w:r w:rsidDel="00000000" w:rsidR="00000000" w:rsidRPr="00000000">
        <w:rPr>
          <w:u w:val="single"/>
          <w:rtl w:val="0"/>
        </w:rPr>
        <w:t xml:space="preserve">East Anglia</w:t>
      </w:r>
    </w:p>
    <w:p w:rsidR="00000000" w:rsidDel="00000000" w:rsidP="00000000" w:rsidRDefault="00000000" w:rsidRPr="00000000" w14:paraId="00000886">
      <w:pPr>
        <w:spacing w:after="0" w:lineRule="auto"/>
        <w:rPr/>
      </w:pPr>
      <w:r w:rsidDel="00000000" w:rsidR="00000000" w:rsidRPr="00000000">
        <w:rPr>
          <w:rtl w:val="0"/>
        </w:rPr>
        <w:t xml:space="preserve">Weapons = 1</w:t>
      </w:r>
    </w:p>
    <w:p w:rsidR="00000000" w:rsidDel="00000000" w:rsidP="00000000" w:rsidRDefault="00000000" w:rsidRPr="00000000" w14:paraId="00000887">
      <w:pPr>
        <w:spacing w:after="0" w:lineRule="auto"/>
        <w:rPr/>
      </w:pPr>
      <w:r w:rsidDel="00000000" w:rsidR="00000000" w:rsidRPr="00000000">
        <w:rPr>
          <w:rtl w:val="0"/>
        </w:rPr>
        <w:t xml:space="preserve">Brooches = 0.197</w:t>
      </w:r>
    </w:p>
    <w:p w:rsidR="00000000" w:rsidDel="00000000" w:rsidP="00000000" w:rsidRDefault="00000000" w:rsidRPr="00000000" w14:paraId="00000888">
      <w:pPr>
        <w:spacing w:after="0" w:lineRule="auto"/>
        <w:rPr/>
      </w:pPr>
      <w:r w:rsidDel="00000000" w:rsidR="00000000" w:rsidRPr="00000000">
        <w:rPr>
          <w:rtl w:val="0"/>
        </w:rPr>
        <w:t xml:space="preserve">Grave goods, Fishers = 0.014 significant</w:t>
      </w:r>
    </w:p>
    <w:p w:rsidR="00000000" w:rsidDel="00000000" w:rsidP="00000000" w:rsidRDefault="00000000" w:rsidRPr="00000000" w14:paraId="00000889">
      <w:pPr>
        <w:spacing w:after="0" w:lineRule="auto"/>
        <w:rPr/>
      </w:pPr>
      <w:r w:rsidDel="00000000" w:rsidR="00000000" w:rsidRPr="00000000">
        <w:rPr>
          <w:rtl w:val="0"/>
        </w:rPr>
        <w:t xml:space="preserve">Sex, Fishers = 0.5</w:t>
      </w:r>
    </w:p>
    <w:p w:rsidR="00000000" w:rsidDel="00000000" w:rsidP="00000000" w:rsidRDefault="00000000" w:rsidRPr="00000000" w14:paraId="0000088A">
      <w:pPr>
        <w:spacing w:after="0" w:lineRule="auto"/>
        <w:rPr/>
      </w:pPr>
      <w:r w:rsidDel="00000000" w:rsidR="00000000" w:rsidRPr="00000000">
        <w:rPr>
          <w:rtl w:val="0"/>
        </w:rPr>
        <w:t xml:space="preserve">Men grave goods, Fishers = 0.34</w:t>
      </w:r>
    </w:p>
    <w:p w:rsidR="00000000" w:rsidDel="00000000" w:rsidP="00000000" w:rsidRDefault="00000000" w:rsidRPr="00000000" w14:paraId="0000088B">
      <w:pPr>
        <w:spacing w:after="0" w:lineRule="auto"/>
        <w:rPr/>
      </w:pPr>
      <w:r w:rsidDel="00000000" w:rsidR="00000000" w:rsidRPr="00000000">
        <w:rPr>
          <w:rtl w:val="0"/>
        </w:rPr>
        <w:t xml:space="preserve">Women Grave goods, Fisher’s = 0.025 significant</w:t>
      </w:r>
    </w:p>
    <w:p w:rsidR="00000000" w:rsidDel="00000000" w:rsidP="00000000" w:rsidRDefault="00000000" w:rsidRPr="00000000" w14:paraId="0000088C">
      <w:pPr>
        <w:spacing w:after="0" w:lineRule="auto"/>
        <w:rPr/>
      </w:pPr>
      <w:r w:rsidDel="00000000" w:rsidR="00000000" w:rsidRPr="00000000">
        <w:rPr>
          <w:rtl w:val="0"/>
        </w:rPr>
        <w:t xml:space="preserve"> </w:t>
      </w:r>
    </w:p>
    <w:p w:rsidR="00000000" w:rsidDel="00000000" w:rsidP="00000000" w:rsidRDefault="00000000" w:rsidRPr="00000000" w14:paraId="0000088D">
      <w:pPr>
        <w:spacing w:after="0" w:lineRule="auto"/>
        <w:rPr>
          <w:u w:val="single"/>
        </w:rPr>
      </w:pPr>
      <w:r w:rsidDel="00000000" w:rsidR="00000000" w:rsidRPr="00000000">
        <w:rPr>
          <w:u w:val="single"/>
          <w:rtl w:val="0"/>
        </w:rPr>
        <w:t xml:space="preserve">Kent</w:t>
      </w:r>
    </w:p>
    <w:p w:rsidR="00000000" w:rsidDel="00000000" w:rsidP="00000000" w:rsidRDefault="00000000" w:rsidRPr="00000000" w14:paraId="0000088E">
      <w:pPr>
        <w:spacing w:after="0" w:lineRule="auto"/>
        <w:rPr/>
      </w:pPr>
      <w:r w:rsidDel="00000000" w:rsidR="00000000" w:rsidRPr="00000000">
        <w:rPr>
          <w:rtl w:val="0"/>
        </w:rPr>
        <w:t xml:space="preserve">Weapons, Fisher test = 1</w:t>
      </w:r>
    </w:p>
    <w:p w:rsidR="00000000" w:rsidDel="00000000" w:rsidP="00000000" w:rsidRDefault="00000000" w:rsidRPr="00000000" w14:paraId="0000088F">
      <w:pPr>
        <w:spacing w:after="0" w:lineRule="auto"/>
        <w:rPr/>
      </w:pPr>
      <w:r w:rsidDel="00000000" w:rsidR="00000000" w:rsidRPr="00000000">
        <w:rPr>
          <w:rtl w:val="0"/>
        </w:rPr>
        <w:t xml:space="preserve">Brooches, Fishers = 0.25</w:t>
      </w:r>
    </w:p>
    <w:p w:rsidR="00000000" w:rsidDel="00000000" w:rsidP="00000000" w:rsidRDefault="00000000" w:rsidRPr="00000000" w14:paraId="00000890">
      <w:pPr>
        <w:spacing w:after="0" w:lineRule="auto"/>
        <w:rPr/>
      </w:pPr>
      <w:r w:rsidDel="00000000" w:rsidR="00000000" w:rsidRPr="00000000">
        <w:rPr>
          <w:rtl w:val="0"/>
        </w:rPr>
        <w:t xml:space="preserve">Grave goods, Fishers = 0.283</w:t>
      </w:r>
    </w:p>
    <w:p w:rsidR="00000000" w:rsidDel="00000000" w:rsidP="00000000" w:rsidRDefault="00000000" w:rsidRPr="00000000" w14:paraId="00000891">
      <w:pPr>
        <w:spacing w:after="0" w:lineRule="auto"/>
        <w:rPr/>
      </w:pPr>
      <w:r w:rsidDel="00000000" w:rsidR="00000000" w:rsidRPr="00000000">
        <w:rPr>
          <w:rtl w:val="0"/>
        </w:rPr>
        <w:t xml:space="preserve">Sex, Fishers = 0.48</w:t>
      </w:r>
    </w:p>
    <w:p w:rsidR="00000000" w:rsidDel="00000000" w:rsidP="00000000" w:rsidRDefault="00000000" w:rsidRPr="00000000" w14:paraId="00000892">
      <w:pPr>
        <w:spacing w:after="0" w:lineRule="auto"/>
        <w:rPr/>
      </w:pPr>
      <w:r w:rsidDel="00000000" w:rsidR="00000000" w:rsidRPr="00000000">
        <w:rPr>
          <w:rtl w:val="0"/>
        </w:rPr>
        <w:t xml:space="preserve">Men grave goods, Fishers = 1</w:t>
      </w:r>
    </w:p>
    <w:p w:rsidR="00000000" w:rsidDel="00000000" w:rsidP="00000000" w:rsidRDefault="00000000" w:rsidRPr="00000000" w14:paraId="00000893">
      <w:pPr>
        <w:spacing w:after="0" w:lineRule="auto"/>
        <w:rPr/>
      </w:pPr>
      <w:r w:rsidDel="00000000" w:rsidR="00000000" w:rsidRPr="00000000">
        <w:rPr>
          <w:rtl w:val="0"/>
        </w:rPr>
        <w:t xml:space="preserve">Women Grave goods, Fisher’s = 0.68</w:t>
      </w:r>
    </w:p>
    <w:p w:rsidR="00000000" w:rsidDel="00000000" w:rsidP="00000000" w:rsidRDefault="00000000" w:rsidRPr="00000000" w14:paraId="00000894">
      <w:pPr>
        <w:spacing w:after="0" w:lineRule="auto"/>
        <w:rPr>
          <w:b w:val="1"/>
        </w:rPr>
      </w:pPr>
      <w:r w:rsidDel="00000000" w:rsidR="00000000" w:rsidRPr="00000000">
        <w:rPr>
          <w:b w:val="1"/>
          <w:rtl w:val="0"/>
        </w:rPr>
        <w:t xml:space="preserve"> </w:t>
      </w:r>
    </w:p>
    <w:p w:rsidR="00000000" w:rsidDel="00000000" w:rsidP="00000000" w:rsidRDefault="00000000" w:rsidRPr="00000000" w14:paraId="00000895">
      <w:pPr>
        <w:pStyle w:val="Heading3"/>
        <w:rPr>
          <w:color w:val="000000"/>
        </w:rPr>
      </w:pPr>
      <w:bookmarkStart w:colFirst="0" w:colLast="0" w:name="_heading=h.1a346fx" w:id="133"/>
      <w:bookmarkEnd w:id="133"/>
      <w:r w:rsidDel="00000000" w:rsidR="00000000" w:rsidRPr="00000000">
        <w:rPr>
          <w:color w:val="000000"/>
          <w:rtl w:val="0"/>
        </w:rPr>
        <w:t xml:space="preserve">Cemetery Patterns</w:t>
      </w:r>
    </w:p>
    <w:p w:rsidR="00000000" w:rsidDel="00000000" w:rsidP="00000000" w:rsidRDefault="00000000" w:rsidRPr="00000000" w14:paraId="00000896">
      <w:pPr>
        <w:spacing w:after="0" w:lineRule="auto"/>
        <w:rPr>
          <w:i w:val="1"/>
        </w:rPr>
      </w:pPr>
      <w:r w:rsidDel="00000000" w:rsidR="00000000" w:rsidRPr="00000000">
        <w:rPr>
          <w:rtl w:val="0"/>
        </w:rPr>
      </w:r>
    </w:p>
    <w:p w:rsidR="00000000" w:rsidDel="00000000" w:rsidP="00000000" w:rsidRDefault="00000000" w:rsidRPr="00000000" w14:paraId="00000897">
      <w:pPr>
        <w:spacing w:after="0" w:lineRule="auto"/>
        <w:rPr>
          <w:i w:val="1"/>
        </w:rPr>
      </w:pPr>
      <w:r w:rsidDel="00000000" w:rsidR="00000000" w:rsidRPr="00000000">
        <w:rPr>
          <w:i w:val="1"/>
          <w:rtl w:val="0"/>
        </w:rPr>
        <w:t xml:space="preserve">Apple Down </w:t>
      </w:r>
    </w:p>
    <w:p w:rsidR="00000000" w:rsidDel="00000000" w:rsidP="00000000" w:rsidRDefault="00000000" w:rsidRPr="00000000" w14:paraId="00000898">
      <w:pPr>
        <w:spacing w:after="0" w:lineRule="auto"/>
        <w:rPr/>
      </w:pPr>
      <w:r w:rsidDel="00000000" w:rsidR="00000000" w:rsidRPr="00000000">
        <w:rPr>
          <w:rtl w:val="0"/>
        </w:rPr>
        <w:t xml:space="preserve">Configuration, Fisher = .048 significant</w:t>
      </w:r>
    </w:p>
    <w:p w:rsidR="00000000" w:rsidDel="00000000" w:rsidP="00000000" w:rsidRDefault="00000000" w:rsidRPr="00000000" w14:paraId="00000899">
      <w:pPr>
        <w:spacing w:after="0" w:lineRule="auto"/>
        <w:rPr/>
      </w:pPr>
      <w:r w:rsidDel="00000000" w:rsidR="00000000" w:rsidRPr="00000000">
        <w:rPr>
          <w:rtl w:val="0"/>
        </w:rPr>
        <w:t xml:space="preserve">Weapons, Fisher test = 1</w:t>
      </w:r>
    </w:p>
    <w:p w:rsidR="00000000" w:rsidDel="00000000" w:rsidP="00000000" w:rsidRDefault="00000000" w:rsidRPr="00000000" w14:paraId="0000089A">
      <w:pPr>
        <w:spacing w:after="0" w:lineRule="auto"/>
        <w:rPr/>
      </w:pPr>
      <w:r w:rsidDel="00000000" w:rsidR="00000000" w:rsidRPr="00000000">
        <w:rPr>
          <w:rtl w:val="0"/>
        </w:rPr>
        <w:t xml:space="preserve">Brooches , Fishers = 0.33</w:t>
      </w:r>
    </w:p>
    <w:p w:rsidR="00000000" w:rsidDel="00000000" w:rsidP="00000000" w:rsidRDefault="00000000" w:rsidRPr="00000000" w14:paraId="0000089B">
      <w:pPr>
        <w:spacing w:after="0" w:lineRule="auto"/>
        <w:rPr/>
      </w:pPr>
      <w:r w:rsidDel="00000000" w:rsidR="00000000" w:rsidRPr="00000000">
        <w:rPr>
          <w:rtl w:val="0"/>
        </w:rPr>
        <w:t xml:space="preserve"> </w:t>
      </w:r>
    </w:p>
    <w:p w:rsidR="00000000" w:rsidDel="00000000" w:rsidP="00000000" w:rsidRDefault="00000000" w:rsidRPr="00000000" w14:paraId="0000089C">
      <w:pPr>
        <w:spacing w:after="0" w:lineRule="auto"/>
        <w:rPr>
          <w:i w:val="1"/>
        </w:rPr>
      </w:pPr>
      <w:r w:rsidDel="00000000" w:rsidR="00000000" w:rsidRPr="00000000">
        <w:rPr>
          <w:i w:val="1"/>
          <w:rtl w:val="0"/>
        </w:rPr>
        <w:t xml:space="preserve">Dover Buckland</w:t>
      </w:r>
    </w:p>
    <w:p w:rsidR="00000000" w:rsidDel="00000000" w:rsidP="00000000" w:rsidRDefault="00000000" w:rsidRPr="00000000" w14:paraId="0000089D">
      <w:pPr>
        <w:spacing w:after="0" w:lineRule="auto"/>
        <w:rPr/>
      </w:pPr>
      <w:r w:rsidDel="00000000" w:rsidR="00000000" w:rsidRPr="00000000">
        <w:rPr>
          <w:rtl w:val="0"/>
        </w:rPr>
        <w:t xml:space="preserve">Weapons Fishers = 0.6</w:t>
      </w:r>
    </w:p>
    <w:p w:rsidR="00000000" w:rsidDel="00000000" w:rsidP="00000000" w:rsidRDefault="00000000" w:rsidRPr="00000000" w14:paraId="0000089E">
      <w:pPr>
        <w:spacing w:after="0" w:lineRule="auto"/>
        <w:rPr>
          <w:color w:val="ff0000"/>
        </w:rPr>
      </w:pPr>
      <w:r w:rsidDel="00000000" w:rsidR="00000000" w:rsidRPr="00000000">
        <w:rPr>
          <w:rtl w:val="0"/>
        </w:rPr>
        <w:t xml:space="preserve">Brooches Fishers = 0.65</w:t>
      </w:r>
      <w:r w:rsidDel="00000000" w:rsidR="00000000" w:rsidRPr="00000000">
        <w:rPr>
          <w:rtl w:val="0"/>
        </w:rPr>
      </w:r>
    </w:p>
    <w:p w:rsidR="00000000" w:rsidDel="00000000" w:rsidP="00000000" w:rsidRDefault="00000000" w:rsidRPr="00000000" w14:paraId="0000089F">
      <w:pPr>
        <w:spacing w:after="0" w:lineRule="auto"/>
        <w:rPr/>
      </w:pPr>
      <w:r w:rsidDel="00000000" w:rsidR="00000000" w:rsidRPr="00000000">
        <w:rPr>
          <w:rtl w:val="0"/>
        </w:rPr>
        <w:t xml:space="preserve">Grave goods, Fishers = 1</w:t>
      </w:r>
    </w:p>
    <w:p w:rsidR="00000000" w:rsidDel="00000000" w:rsidP="00000000" w:rsidRDefault="00000000" w:rsidRPr="00000000" w14:paraId="000008A0">
      <w:pPr>
        <w:spacing w:after="0" w:lineRule="auto"/>
        <w:rPr/>
      </w:pPr>
      <w:r w:rsidDel="00000000" w:rsidR="00000000" w:rsidRPr="00000000">
        <w:rPr>
          <w:rtl w:val="0"/>
        </w:rPr>
        <w:t xml:space="preserve">Genetic Sex, Fishers = 1</w:t>
      </w:r>
    </w:p>
    <w:p w:rsidR="00000000" w:rsidDel="00000000" w:rsidP="00000000" w:rsidRDefault="00000000" w:rsidRPr="00000000" w14:paraId="000008A1">
      <w:pPr>
        <w:spacing w:after="0" w:lineRule="auto"/>
        <w:rPr/>
      </w:pPr>
      <w:r w:rsidDel="00000000" w:rsidR="00000000" w:rsidRPr="00000000">
        <w:rPr>
          <w:rtl w:val="0"/>
        </w:rPr>
        <w:t xml:space="preserve">Men Grave Goods, Fishers = 1</w:t>
      </w:r>
    </w:p>
    <w:p w:rsidR="00000000" w:rsidDel="00000000" w:rsidP="00000000" w:rsidRDefault="00000000" w:rsidRPr="00000000" w14:paraId="000008A2">
      <w:pPr>
        <w:spacing w:after="0" w:lineRule="auto"/>
        <w:rPr/>
      </w:pPr>
      <w:r w:rsidDel="00000000" w:rsidR="00000000" w:rsidRPr="00000000">
        <w:rPr>
          <w:rtl w:val="0"/>
        </w:rPr>
        <w:t xml:space="preserve">Women Grave Goods, Fishers = 1</w:t>
      </w:r>
    </w:p>
    <w:p w:rsidR="00000000" w:rsidDel="00000000" w:rsidP="00000000" w:rsidRDefault="00000000" w:rsidRPr="00000000" w14:paraId="000008A3">
      <w:pPr>
        <w:spacing w:after="0" w:lineRule="auto"/>
        <w:rPr/>
      </w:pPr>
      <w:r w:rsidDel="00000000" w:rsidR="00000000" w:rsidRPr="00000000">
        <w:rPr>
          <w:rtl w:val="0"/>
        </w:rPr>
        <w:t xml:space="preserve"> </w:t>
      </w:r>
    </w:p>
    <w:p w:rsidR="00000000" w:rsidDel="00000000" w:rsidP="00000000" w:rsidRDefault="00000000" w:rsidRPr="00000000" w14:paraId="000008A4">
      <w:pPr>
        <w:spacing w:after="0" w:lineRule="auto"/>
        <w:rPr>
          <w:i w:val="1"/>
        </w:rPr>
      </w:pPr>
      <w:r w:rsidDel="00000000" w:rsidR="00000000" w:rsidRPr="00000000">
        <w:rPr>
          <w:i w:val="1"/>
          <w:rtl w:val="0"/>
        </w:rPr>
        <w:t xml:space="preserve">Hatherdene Close</w:t>
      </w:r>
    </w:p>
    <w:p w:rsidR="00000000" w:rsidDel="00000000" w:rsidP="00000000" w:rsidRDefault="00000000" w:rsidRPr="00000000" w14:paraId="000008A5">
      <w:pPr>
        <w:spacing w:after="0" w:lineRule="auto"/>
        <w:rPr/>
      </w:pPr>
      <w:r w:rsidDel="00000000" w:rsidR="00000000" w:rsidRPr="00000000">
        <w:rPr>
          <w:rtl w:val="0"/>
        </w:rPr>
        <w:t xml:space="preserve">Weapons Fishers test = 1</w:t>
      </w:r>
    </w:p>
    <w:p w:rsidR="00000000" w:rsidDel="00000000" w:rsidP="00000000" w:rsidRDefault="00000000" w:rsidRPr="00000000" w14:paraId="000008A6">
      <w:pPr>
        <w:spacing w:after="0" w:lineRule="auto"/>
        <w:rPr/>
      </w:pPr>
      <w:r w:rsidDel="00000000" w:rsidR="00000000" w:rsidRPr="00000000">
        <w:rPr>
          <w:rtl w:val="0"/>
        </w:rPr>
        <w:t xml:space="preserve">Brooches Fishers = 0.1 </w:t>
      </w:r>
    </w:p>
    <w:p w:rsidR="00000000" w:rsidDel="00000000" w:rsidP="00000000" w:rsidRDefault="00000000" w:rsidRPr="00000000" w14:paraId="000008A7">
      <w:pPr>
        <w:spacing w:after="0" w:lineRule="auto"/>
        <w:rPr/>
      </w:pPr>
      <w:r w:rsidDel="00000000" w:rsidR="00000000" w:rsidRPr="00000000">
        <w:rPr>
          <w:rtl w:val="0"/>
        </w:rPr>
        <w:t xml:space="preserve">Grave goods, Fishers = 0.015 significant</w:t>
      </w:r>
    </w:p>
    <w:p w:rsidR="00000000" w:rsidDel="00000000" w:rsidP="00000000" w:rsidRDefault="00000000" w:rsidRPr="00000000" w14:paraId="000008A8">
      <w:pPr>
        <w:spacing w:after="0" w:lineRule="auto"/>
        <w:rPr/>
      </w:pPr>
      <w:r w:rsidDel="00000000" w:rsidR="00000000" w:rsidRPr="00000000">
        <w:rPr>
          <w:rtl w:val="0"/>
        </w:rPr>
        <w:t xml:space="preserve">Genetic Sex, Fishers = 1</w:t>
      </w:r>
    </w:p>
    <w:p w:rsidR="00000000" w:rsidDel="00000000" w:rsidP="00000000" w:rsidRDefault="00000000" w:rsidRPr="00000000" w14:paraId="000008A9">
      <w:pPr>
        <w:spacing w:after="0" w:lineRule="auto"/>
        <w:rPr/>
      </w:pPr>
      <w:r w:rsidDel="00000000" w:rsidR="00000000" w:rsidRPr="00000000">
        <w:rPr>
          <w:rtl w:val="0"/>
        </w:rPr>
        <w:t xml:space="preserve">Men Grave Goods, Fishers = 0.33</w:t>
      </w:r>
    </w:p>
    <w:p w:rsidR="00000000" w:rsidDel="00000000" w:rsidP="00000000" w:rsidRDefault="00000000" w:rsidRPr="00000000" w14:paraId="000008AA">
      <w:pPr>
        <w:spacing w:after="0" w:lineRule="auto"/>
        <w:rPr/>
      </w:pPr>
      <w:r w:rsidDel="00000000" w:rsidR="00000000" w:rsidRPr="00000000">
        <w:rPr>
          <w:rtl w:val="0"/>
        </w:rPr>
        <w:t xml:space="preserve">Women Grave Goods, Fishers = 0.036 significant</w:t>
      </w:r>
    </w:p>
    <w:p w:rsidR="00000000" w:rsidDel="00000000" w:rsidP="00000000" w:rsidRDefault="00000000" w:rsidRPr="00000000" w14:paraId="000008AB">
      <w:pPr>
        <w:spacing w:after="0" w:lineRule="auto"/>
        <w:rPr/>
      </w:pPr>
      <w:r w:rsidDel="00000000" w:rsidR="00000000" w:rsidRPr="00000000">
        <w:rPr>
          <w:rtl w:val="0"/>
        </w:rPr>
        <w:t xml:space="preserve"> </w:t>
      </w:r>
    </w:p>
    <w:p w:rsidR="00000000" w:rsidDel="00000000" w:rsidP="00000000" w:rsidRDefault="00000000" w:rsidRPr="00000000" w14:paraId="000008AC">
      <w:pPr>
        <w:spacing w:after="0" w:lineRule="auto"/>
        <w:rPr>
          <w:i w:val="1"/>
        </w:rPr>
      </w:pPr>
      <w:r w:rsidDel="00000000" w:rsidR="00000000" w:rsidRPr="00000000">
        <w:rPr>
          <w:i w:val="1"/>
          <w:rtl w:val="0"/>
        </w:rPr>
        <w:t xml:space="preserve">Oakington</w:t>
      </w:r>
    </w:p>
    <w:p w:rsidR="00000000" w:rsidDel="00000000" w:rsidP="00000000" w:rsidRDefault="00000000" w:rsidRPr="00000000" w14:paraId="000008AD">
      <w:pPr>
        <w:spacing w:after="0" w:lineRule="auto"/>
        <w:rPr/>
      </w:pPr>
      <w:r w:rsidDel="00000000" w:rsidR="00000000" w:rsidRPr="00000000">
        <w:rPr>
          <w:rtl w:val="0"/>
        </w:rPr>
        <w:t xml:space="preserve">Weapons Fishers = 0.2                          </w:t>
      </w:r>
    </w:p>
    <w:p w:rsidR="00000000" w:rsidDel="00000000" w:rsidP="00000000" w:rsidRDefault="00000000" w:rsidRPr="00000000" w14:paraId="000008AE">
      <w:pPr>
        <w:spacing w:after="0" w:lineRule="auto"/>
        <w:rPr/>
      </w:pPr>
      <w:r w:rsidDel="00000000" w:rsidR="00000000" w:rsidRPr="00000000">
        <w:rPr>
          <w:rtl w:val="0"/>
        </w:rPr>
        <w:t xml:space="preserve">Brooches Fishers = 0.6                          </w:t>
      </w:r>
    </w:p>
    <w:p w:rsidR="00000000" w:rsidDel="00000000" w:rsidP="00000000" w:rsidRDefault="00000000" w:rsidRPr="00000000" w14:paraId="000008AF">
      <w:pPr>
        <w:spacing w:after="0" w:lineRule="auto"/>
        <w:rPr/>
      </w:pPr>
      <w:r w:rsidDel="00000000" w:rsidR="00000000" w:rsidRPr="00000000">
        <w:rPr>
          <w:rtl w:val="0"/>
        </w:rPr>
        <w:t xml:space="preserve">Grave goods, Fishers = 1</w:t>
      </w:r>
    </w:p>
    <w:p w:rsidR="00000000" w:rsidDel="00000000" w:rsidP="00000000" w:rsidRDefault="00000000" w:rsidRPr="00000000" w14:paraId="000008B0">
      <w:pPr>
        <w:spacing w:after="0" w:lineRule="auto"/>
        <w:rPr/>
      </w:pPr>
      <w:r w:rsidDel="00000000" w:rsidR="00000000" w:rsidRPr="00000000">
        <w:rPr>
          <w:rtl w:val="0"/>
        </w:rPr>
        <w:t xml:space="preserve">Genetic Sex, Fishers = 0.6                     </w:t>
      </w:r>
    </w:p>
    <w:p w:rsidR="00000000" w:rsidDel="00000000" w:rsidP="00000000" w:rsidRDefault="00000000" w:rsidRPr="00000000" w14:paraId="000008B1">
      <w:pPr>
        <w:spacing w:after="0" w:lineRule="auto"/>
        <w:rPr/>
      </w:pPr>
      <w:r w:rsidDel="00000000" w:rsidR="00000000" w:rsidRPr="00000000">
        <w:rPr>
          <w:rtl w:val="0"/>
        </w:rPr>
        <w:t xml:space="preserve">Men Grave Goods, Fishers = 1           </w:t>
      </w:r>
    </w:p>
    <w:p w:rsidR="00000000" w:rsidDel="00000000" w:rsidP="00000000" w:rsidRDefault="00000000" w:rsidRPr="00000000" w14:paraId="000008B2">
      <w:pPr>
        <w:spacing w:after="0" w:lineRule="auto"/>
        <w:rPr/>
      </w:pPr>
      <w:r w:rsidDel="00000000" w:rsidR="00000000" w:rsidRPr="00000000">
        <w:rPr>
          <w:rtl w:val="0"/>
        </w:rPr>
        <w:t xml:space="preserve">Women Grave Goods, Fishers = 0.45  </w:t>
      </w:r>
    </w:p>
    <w:p w:rsidR="00000000" w:rsidDel="00000000" w:rsidP="00000000" w:rsidRDefault="00000000" w:rsidRPr="00000000" w14:paraId="000008B3">
      <w:pPr>
        <w:spacing w:after="0" w:lineRule="auto"/>
        <w:rPr/>
      </w:pPr>
      <w:r w:rsidDel="00000000" w:rsidR="00000000" w:rsidRPr="00000000">
        <w:rPr>
          <w:rtl w:val="0"/>
        </w:rPr>
        <w:t xml:space="preserve"> </w:t>
      </w:r>
    </w:p>
    <w:p w:rsidR="00000000" w:rsidDel="00000000" w:rsidP="00000000" w:rsidRDefault="00000000" w:rsidRPr="00000000" w14:paraId="000008B4">
      <w:pPr>
        <w:spacing w:after="0" w:lineRule="auto"/>
        <w:rPr>
          <w:i w:val="1"/>
        </w:rPr>
      </w:pPr>
      <w:r w:rsidDel="00000000" w:rsidR="00000000" w:rsidRPr="00000000">
        <w:rPr>
          <w:i w:val="1"/>
          <w:rtl w:val="0"/>
        </w:rPr>
        <w:t xml:space="preserve">West Heslerton</w:t>
      </w:r>
    </w:p>
    <w:p w:rsidR="00000000" w:rsidDel="00000000" w:rsidP="00000000" w:rsidRDefault="00000000" w:rsidRPr="00000000" w14:paraId="000008B5">
      <w:pPr>
        <w:spacing w:after="0" w:lineRule="auto"/>
        <w:rPr/>
      </w:pPr>
      <w:r w:rsidDel="00000000" w:rsidR="00000000" w:rsidRPr="00000000">
        <w:rPr>
          <w:rtl w:val="0"/>
        </w:rPr>
        <w:t xml:space="preserve">Weapons Fishers = 0.53                        </w:t>
      </w:r>
    </w:p>
    <w:p w:rsidR="00000000" w:rsidDel="00000000" w:rsidP="00000000" w:rsidRDefault="00000000" w:rsidRPr="00000000" w14:paraId="000008B6">
      <w:pPr>
        <w:spacing w:after="0" w:lineRule="auto"/>
        <w:rPr/>
      </w:pPr>
      <w:r w:rsidDel="00000000" w:rsidR="00000000" w:rsidRPr="00000000">
        <w:rPr>
          <w:rtl w:val="0"/>
        </w:rPr>
        <w:t xml:space="preserve">Brooches Fishers = 0.26                        </w:t>
      </w:r>
    </w:p>
    <w:p w:rsidR="00000000" w:rsidDel="00000000" w:rsidP="00000000" w:rsidRDefault="00000000" w:rsidRPr="00000000" w14:paraId="000008B7">
      <w:pPr>
        <w:spacing w:after="0" w:lineRule="auto"/>
        <w:rPr/>
      </w:pPr>
      <w:r w:rsidDel="00000000" w:rsidR="00000000" w:rsidRPr="00000000">
        <w:rPr>
          <w:rtl w:val="0"/>
        </w:rPr>
        <w:t xml:space="preserve">Grave goods, Fishers = 0.19</w:t>
      </w:r>
    </w:p>
    <w:p w:rsidR="00000000" w:rsidDel="00000000" w:rsidP="00000000" w:rsidRDefault="00000000" w:rsidRPr="00000000" w14:paraId="000008B8">
      <w:pPr>
        <w:spacing w:after="0" w:lineRule="auto"/>
        <w:rPr/>
      </w:pPr>
      <w:r w:rsidDel="00000000" w:rsidR="00000000" w:rsidRPr="00000000">
        <w:rPr>
          <w:rtl w:val="0"/>
        </w:rPr>
        <w:t xml:space="preserve">Genetic Sex, Fishers = 1                    </w:t>
      </w:r>
    </w:p>
    <w:p w:rsidR="00000000" w:rsidDel="00000000" w:rsidP="00000000" w:rsidRDefault="00000000" w:rsidRPr="00000000" w14:paraId="000008B9">
      <w:pPr>
        <w:spacing w:after="0" w:lineRule="auto"/>
        <w:rPr/>
      </w:pPr>
      <w:r w:rsidDel="00000000" w:rsidR="00000000" w:rsidRPr="00000000">
        <w:rPr>
          <w:rtl w:val="0"/>
        </w:rPr>
        <w:t xml:space="preserve">Men Grave Goods, Fishers = 0.33     </w:t>
      </w:r>
    </w:p>
    <w:p w:rsidR="00000000" w:rsidDel="00000000" w:rsidP="00000000" w:rsidRDefault="00000000" w:rsidRPr="00000000" w14:paraId="000008BA">
      <w:pPr>
        <w:spacing w:after="0" w:lineRule="auto"/>
        <w:rPr/>
      </w:pPr>
      <w:r w:rsidDel="00000000" w:rsidR="00000000" w:rsidRPr="00000000">
        <w:rPr>
          <w:rtl w:val="0"/>
        </w:rPr>
        <w:t xml:space="preserve">Women Grave Goods, Fishers = 0.1 </w:t>
      </w:r>
    </w:p>
    <w:p w:rsidR="00000000" w:rsidDel="00000000" w:rsidP="00000000" w:rsidRDefault="00000000" w:rsidRPr="00000000" w14:paraId="000008BB">
      <w:pPr>
        <w:rPr/>
      </w:pPr>
      <w:r w:rsidDel="00000000" w:rsidR="00000000" w:rsidRPr="00000000">
        <w:rPr>
          <w:rtl w:val="0"/>
        </w:rPr>
      </w:r>
    </w:p>
    <w:p w:rsidR="00000000" w:rsidDel="00000000" w:rsidP="00000000" w:rsidRDefault="00000000" w:rsidRPr="00000000" w14:paraId="000008BC">
      <w:pPr>
        <w:pStyle w:val="Heading2"/>
        <w:rPr>
          <w:color w:val="000000"/>
        </w:rPr>
      </w:pPr>
      <w:bookmarkStart w:colFirst="0" w:colLast="0" w:name="_heading=h.3u2rp3q" w:id="134"/>
      <w:bookmarkEnd w:id="134"/>
      <w:r w:rsidDel="00000000" w:rsidR="00000000" w:rsidRPr="00000000">
        <w:rPr>
          <w:color w:val="000000"/>
          <w:rtl w:val="0"/>
        </w:rPr>
        <w:t xml:space="preserve">Wilcoxon Rank Sum test</w:t>
      </w:r>
    </w:p>
    <w:p w:rsidR="00000000" w:rsidDel="00000000" w:rsidP="00000000" w:rsidRDefault="00000000" w:rsidRPr="00000000" w14:paraId="000008BD">
      <w:pPr>
        <w:rPr>
          <w:color w:val="222222"/>
          <w:highlight w:val="white"/>
        </w:rPr>
      </w:pPr>
      <w:r w:rsidDel="00000000" w:rsidR="00000000" w:rsidRPr="00000000">
        <w:rPr>
          <w:color w:val="222222"/>
          <w:highlight w:val="white"/>
          <w:rtl w:val="0"/>
        </w:rPr>
        <w:t xml:space="preserve">For approach 2), we tested three different manifestations of material culture: i) (observed) presence against absence of grave goods, ii) (observed) presence of brooches and bractes against their absence in female graves, and iii) (observed) presence of weapons against their absence in male graves. </w:t>
      </w:r>
    </w:p>
    <w:p w:rsidR="00000000" w:rsidDel="00000000" w:rsidP="00000000" w:rsidRDefault="00000000" w:rsidRPr="00000000" w14:paraId="000008BE">
      <w:pPr>
        <w:rPr>
          <w:color w:val="222222"/>
          <w:highlight w:val="white"/>
        </w:rPr>
      </w:pPr>
      <w:r w:rsidDel="00000000" w:rsidR="00000000" w:rsidRPr="00000000">
        <w:rPr>
          <w:color w:val="222222"/>
          <w:highlight w:val="white"/>
          <w:rtl w:val="0"/>
        </w:rPr>
        <w:t xml:space="preserve">We tested those on the site level (where applicable due to sample size), in two major regions (Kent and East Anglia), in the northern (Ely, Hatherdene, Lakenheath, Oakington, and West Heslerton) and southern (Apple Down, Dover Buckland, Eastry, and Polhill) sampling range, as well as in all individuals. In those tests, CNE estimates were derived from the three-way admixture model WBI+CNE+CWE as described in Supp. Note 5 </w:t>
      </w:r>
      <w:r w:rsidDel="00000000" w:rsidR="00000000" w:rsidRPr="00000000">
        <w:rPr>
          <w:rtl w:val="0"/>
        </w:rPr>
        <w:t xml:space="preserve">(Supp. Fig. 7.1)</w:t>
      </w:r>
      <w:r w:rsidDel="00000000" w:rsidR="00000000" w:rsidRPr="00000000">
        <w:rPr>
          <w:color w:val="222222"/>
          <w:highlight w:val="white"/>
          <w:rtl w:val="0"/>
        </w:rPr>
        <w:t xml:space="preserve">.</w:t>
      </w:r>
    </w:p>
    <w:p w:rsidR="00000000" w:rsidDel="00000000" w:rsidP="00000000" w:rsidRDefault="00000000" w:rsidRPr="00000000" w14:paraId="000008BF">
      <w:pPr>
        <w:rPr>
          <w:color w:val="222222"/>
          <w:highlight w:val="white"/>
        </w:rPr>
      </w:pPr>
      <w:r w:rsidDel="00000000" w:rsidR="00000000" w:rsidRPr="00000000">
        <w:rPr>
          <w:color w:val="222222"/>
          <w:highlight w:val="white"/>
          <w:rtl w:val="0"/>
        </w:rPr>
        <w:t xml:space="preserve">We find the following twelve significant (</w:t>
      </w:r>
      <w:r w:rsidDel="00000000" w:rsidR="00000000" w:rsidRPr="00000000">
        <w:rPr>
          <w:i w:val="1"/>
          <w:color w:val="222222"/>
          <w:highlight w:val="white"/>
          <w:rtl w:val="0"/>
        </w:rPr>
        <w:t xml:space="preserve">p </w:t>
      </w:r>
      <w:r w:rsidDel="00000000" w:rsidR="00000000" w:rsidRPr="00000000">
        <w:rPr>
          <w:color w:val="222222"/>
          <w:highlight w:val="white"/>
          <w:rtl w:val="0"/>
        </w:rPr>
        <w:t xml:space="preserve">&lt; 0.05) results:</w:t>
      </w:r>
    </w:p>
    <w:p w:rsidR="00000000" w:rsidDel="00000000" w:rsidP="00000000" w:rsidRDefault="00000000" w:rsidRPr="00000000" w14:paraId="000008C0">
      <w:pPr>
        <w:numPr>
          <w:ilvl w:val="0"/>
          <w:numId w:val="2"/>
        </w:numPr>
        <w:spacing w:after="0" w:lineRule="auto"/>
        <w:ind w:left="720" w:hanging="360"/>
        <w:rPr>
          <w:color w:val="222222"/>
          <w:highlight w:val="white"/>
        </w:rPr>
      </w:pPr>
      <w:r w:rsidDel="00000000" w:rsidR="00000000" w:rsidRPr="00000000">
        <w:rPr>
          <w:color w:val="222222"/>
          <w:highlight w:val="white"/>
          <w:rtl w:val="0"/>
        </w:rPr>
        <w:t xml:space="preserve">In England overall, female graves with brooches/bracteates have more CNE ancestry than female graves without brooches/bracteates. </w:t>
      </w:r>
    </w:p>
    <w:p w:rsidR="00000000" w:rsidDel="00000000" w:rsidP="00000000" w:rsidRDefault="00000000" w:rsidRPr="00000000" w14:paraId="000008C1">
      <w:pPr>
        <w:numPr>
          <w:ilvl w:val="0"/>
          <w:numId w:val="2"/>
        </w:numPr>
        <w:spacing w:after="0" w:lineRule="auto"/>
        <w:ind w:left="720" w:hanging="360"/>
        <w:rPr>
          <w:color w:val="222222"/>
          <w:highlight w:val="white"/>
        </w:rPr>
      </w:pPr>
      <w:r w:rsidDel="00000000" w:rsidR="00000000" w:rsidRPr="00000000">
        <w:rPr>
          <w:color w:val="222222"/>
          <w:highlight w:val="white"/>
          <w:rtl w:val="0"/>
        </w:rPr>
        <w:t xml:space="preserve">At Hatherdene Close, graves with grave goods have more CNE ancestry than graves without grave goods. </w:t>
      </w:r>
    </w:p>
    <w:p w:rsidR="00000000" w:rsidDel="00000000" w:rsidP="00000000" w:rsidRDefault="00000000" w:rsidRPr="00000000" w14:paraId="000008C2">
      <w:pPr>
        <w:numPr>
          <w:ilvl w:val="0"/>
          <w:numId w:val="2"/>
        </w:numPr>
        <w:spacing w:after="0" w:lineRule="auto"/>
        <w:ind w:left="720" w:hanging="360"/>
        <w:rPr>
          <w:color w:val="222222"/>
          <w:highlight w:val="white"/>
        </w:rPr>
      </w:pPr>
      <w:r w:rsidDel="00000000" w:rsidR="00000000" w:rsidRPr="00000000">
        <w:rPr>
          <w:color w:val="222222"/>
          <w:highlight w:val="white"/>
          <w:rtl w:val="0"/>
        </w:rPr>
        <w:t xml:space="preserve">At Hatherdene Close, female graves with grave goods have more CNE ancestry than female graves without grave goods. </w:t>
      </w:r>
    </w:p>
    <w:p w:rsidR="00000000" w:rsidDel="00000000" w:rsidP="00000000" w:rsidRDefault="00000000" w:rsidRPr="00000000" w14:paraId="000008C3">
      <w:pPr>
        <w:numPr>
          <w:ilvl w:val="0"/>
          <w:numId w:val="2"/>
        </w:numPr>
        <w:spacing w:after="0" w:lineRule="auto"/>
        <w:ind w:left="720" w:hanging="360"/>
        <w:rPr>
          <w:color w:val="222222"/>
          <w:highlight w:val="white"/>
        </w:rPr>
      </w:pPr>
      <w:r w:rsidDel="00000000" w:rsidR="00000000" w:rsidRPr="00000000">
        <w:rPr>
          <w:color w:val="222222"/>
          <w:highlight w:val="white"/>
          <w:rtl w:val="0"/>
        </w:rPr>
        <w:t xml:space="preserve">At Apple Down, graves with grave configuration A have more CNE ancestry than graves with grave configuration B. </w:t>
      </w:r>
    </w:p>
    <w:p w:rsidR="00000000" w:rsidDel="00000000" w:rsidP="00000000" w:rsidRDefault="00000000" w:rsidRPr="00000000" w14:paraId="000008C4">
      <w:pPr>
        <w:numPr>
          <w:ilvl w:val="0"/>
          <w:numId w:val="2"/>
        </w:numPr>
        <w:spacing w:after="0" w:lineRule="auto"/>
        <w:ind w:left="720" w:hanging="360"/>
        <w:rPr>
          <w:color w:val="222222"/>
          <w:highlight w:val="white"/>
        </w:rPr>
      </w:pPr>
      <w:r w:rsidDel="00000000" w:rsidR="00000000" w:rsidRPr="00000000">
        <w:rPr>
          <w:color w:val="222222"/>
          <w:highlight w:val="white"/>
          <w:rtl w:val="0"/>
        </w:rPr>
        <w:t xml:space="preserve">In West Heslerton, male graves with grave goods have more CNE ancestry than male graves without grevae goods. </w:t>
      </w:r>
    </w:p>
    <w:p w:rsidR="00000000" w:rsidDel="00000000" w:rsidP="00000000" w:rsidRDefault="00000000" w:rsidRPr="00000000" w14:paraId="000008C5">
      <w:pPr>
        <w:numPr>
          <w:ilvl w:val="0"/>
          <w:numId w:val="2"/>
        </w:numPr>
        <w:spacing w:after="0" w:lineRule="auto"/>
        <w:ind w:left="720" w:hanging="360"/>
        <w:rPr>
          <w:color w:val="222222"/>
          <w:highlight w:val="white"/>
        </w:rPr>
      </w:pPr>
      <w:r w:rsidDel="00000000" w:rsidR="00000000" w:rsidRPr="00000000">
        <w:rPr>
          <w:color w:val="222222"/>
          <w:highlight w:val="white"/>
          <w:rtl w:val="0"/>
        </w:rPr>
        <w:t xml:space="preserve">In West Heslerton, male graves with weapons have more CNE ancestry than male graves without weapons. </w:t>
      </w:r>
    </w:p>
    <w:p w:rsidR="00000000" w:rsidDel="00000000" w:rsidP="00000000" w:rsidRDefault="00000000" w:rsidRPr="00000000" w14:paraId="000008C6">
      <w:pPr>
        <w:numPr>
          <w:ilvl w:val="0"/>
          <w:numId w:val="2"/>
        </w:numPr>
        <w:spacing w:after="0" w:lineRule="auto"/>
        <w:ind w:left="720" w:hanging="360"/>
        <w:rPr>
          <w:color w:val="222222"/>
          <w:highlight w:val="white"/>
        </w:rPr>
      </w:pPr>
      <w:r w:rsidDel="00000000" w:rsidR="00000000" w:rsidRPr="00000000">
        <w:rPr>
          <w:color w:val="222222"/>
          <w:highlight w:val="white"/>
          <w:rtl w:val="0"/>
        </w:rPr>
        <w:t xml:space="preserve">In East Anglia, graves with grave goods have more CNE ancestry than graves without grave goods. </w:t>
      </w:r>
    </w:p>
    <w:p w:rsidR="00000000" w:rsidDel="00000000" w:rsidP="00000000" w:rsidRDefault="00000000" w:rsidRPr="00000000" w14:paraId="000008C7">
      <w:pPr>
        <w:numPr>
          <w:ilvl w:val="0"/>
          <w:numId w:val="2"/>
        </w:numPr>
        <w:spacing w:after="0" w:lineRule="auto"/>
        <w:ind w:left="720" w:hanging="360"/>
        <w:rPr>
          <w:color w:val="222222"/>
          <w:highlight w:val="white"/>
        </w:rPr>
      </w:pPr>
      <w:r w:rsidDel="00000000" w:rsidR="00000000" w:rsidRPr="00000000">
        <w:rPr>
          <w:color w:val="222222"/>
          <w:highlight w:val="white"/>
          <w:rtl w:val="0"/>
        </w:rPr>
        <w:t xml:space="preserve">In East Anglia, female graves with grave goods have more CNE ancestry than female graves without grave goods. </w:t>
      </w:r>
    </w:p>
    <w:p w:rsidR="00000000" w:rsidDel="00000000" w:rsidP="00000000" w:rsidRDefault="00000000" w:rsidRPr="00000000" w14:paraId="000008C8">
      <w:pPr>
        <w:numPr>
          <w:ilvl w:val="0"/>
          <w:numId w:val="2"/>
        </w:numPr>
        <w:spacing w:after="0" w:lineRule="auto"/>
        <w:ind w:left="720" w:hanging="360"/>
        <w:rPr>
          <w:color w:val="222222"/>
          <w:highlight w:val="white"/>
        </w:rPr>
      </w:pPr>
      <w:r w:rsidDel="00000000" w:rsidR="00000000" w:rsidRPr="00000000">
        <w:rPr>
          <w:color w:val="222222"/>
          <w:highlight w:val="white"/>
          <w:rtl w:val="0"/>
        </w:rPr>
        <w:t xml:space="preserve">In East Anglia, male graves with grave goods have more CNE ancestry than male graves without grave goods. </w:t>
      </w:r>
    </w:p>
    <w:p w:rsidR="00000000" w:rsidDel="00000000" w:rsidP="00000000" w:rsidRDefault="00000000" w:rsidRPr="00000000" w14:paraId="000008C9">
      <w:pPr>
        <w:numPr>
          <w:ilvl w:val="0"/>
          <w:numId w:val="2"/>
        </w:numPr>
        <w:spacing w:after="0" w:lineRule="auto"/>
        <w:ind w:left="720" w:hanging="360"/>
        <w:rPr>
          <w:color w:val="222222"/>
          <w:highlight w:val="white"/>
        </w:rPr>
      </w:pPr>
      <w:r w:rsidDel="00000000" w:rsidR="00000000" w:rsidRPr="00000000">
        <w:rPr>
          <w:color w:val="222222"/>
          <w:highlight w:val="white"/>
          <w:rtl w:val="0"/>
        </w:rPr>
        <w:t xml:space="preserve">Looking at the North overall, graves with grave goods have more CNE ancestry than graves without grave goods. </w:t>
      </w:r>
    </w:p>
    <w:p w:rsidR="00000000" w:rsidDel="00000000" w:rsidP="00000000" w:rsidRDefault="00000000" w:rsidRPr="00000000" w14:paraId="000008CA">
      <w:pPr>
        <w:numPr>
          <w:ilvl w:val="0"/>
          <w:numId w:val="2"/>
        </w:numPr>
        <w:spacing w:after="0" w:lineRule="auto"/>
        <w:ind w:left="720" w:hanging="360"/>
        <w:rPr>
          <w:color w:val="222222"/>
          <w:highlight w:val="white"/>
        </w:rPr>
      </w:pPr>
      <w:r w:rsidDel="00000000" w:rsidR="00000000" w:rsidRPr="00000000">
        <w:rPr>
          <w:color w:val="222222"/>
          <w:highlight w:val="white"/>
          <w:rtl w:val="0"/>
        </w:rPr>
        <w:t xml:space="preserve">Looking at the North overall, female graves with grave goods have more CNE ancestry than female graves without grave goods. </w:t>
      </w:r>
    </w:p>
    <w:p w:rsidR="00000000" w:rsidDel="00000000" w:rsidP="00000000" w:rsidRDefault="00000000" w:rsidRPr="00000000" w14:paraId="000008CB">
      <w:pPr>
        <w:numPr>
          <w:ilvl w:val="0"/>
          <w:numId w:val="2"/>
        </w:numPr>
        <w:ind w:left="720" w:hanging="360"/>
        <w:rPr>
          <w:color w:val="222222"/>
          <w:highlight w:val="white"/>
        </w:rPr>
      </w:pPr>
      <w:r w:rsidDel="00000000" w:rsidR="00000000" w:rsidRPr="00000000">
        <w:rPr>
          <w:color w:val="222222"/>
          <w:highlight w:val="white"/>
          <w:rtl w:val="0"/>
        </w:rPr>
        <w:t xml:space="preserve">Looking at the North overall, male graves with grave goods have more CNE ancestry than male graves without grave goods. </w:t>
      </w:r>
    </w:p>
    <w:p w:rsidR="00000000" w:rsidDel="00000000" w:rsidP="00000000" w:rsidRDefault="00000000" w:rsidRPr="00000000" w14:paraId="000008CC">
      <w:pPr>
        <w:rPr>
          <w:color w:val="222222"/>
          <w:highlight w:val="white"/>
        </w:rPr>
      </w:pPr>
      <w:r w:rsidDel="00000000" w:rsidR="00000000" w:rsidRPr="00000000">
        <w:rPr>
          <w:color w:val="222222"/>
          <w:highlight w:val="white"/>
          <w:rtl w:val="0"/>
        </w:rPr>
        <w:t xml:space="preserve">Furthermore, there are four borderline </w:t>
      </w:r>
      <w:r w:rsidDel="00000000" w:rsidR="00000000" w:rsidRPr="00000000">
        <w:rPr>
          <w:i w:val="1"/>
          <w:color w:val="222222"/>
          <w:highlight w:val="white"/>
          <w:rtl w:val="0"/>
        </w:rPr>
        <w:t xml:space="preserve">p</w:t>
      </w:r>
      <w:r w:rsidDel="00000000" w:rsidR="00000000" w:rsidRPr="00000000">
        <w:rPr>
          <w:color w:val="222222"/>
          <w:highlight w:val="white"/>
          <w:rtl w:val="0"/>
        </w:rPr>
        <w:t xml:space="preserve">-values (</w:t>
      </w:r>
      <w:r w:rsidDel="00000000" w:rsidR="00000000" w:rsidRPr="00000000">
        <w:rPr>
          <w:i w:val="1"/>
          <w:color w:val="222222"/>
          <w:highlight w:val="white"/>
          <w:rtl w:val="0"/>
        </w:rPr>
        <w:t xml:space="preserve">p </w:t>
      </w:r>
      <w:r w:rsidDel="00000000" w:rsidR="00000000" w:rsidRPr="00000000">
        <w:rPr>
          <w:color w:val="222222"/>
          <w:highlight w:val="white"/>
          <w:rtl w:val="0"/>
        </w:rPr>
        <w:t xml:space="preserve">&lt; 0.1):</w:t>
      </w:r>
    </w:p>
    <w:p w:rsidR="00000000" w:rsidDel="00000000" w:rsidP="00000000" w:rsidRDefault="00000000" w:rsidRPr="00000000" w14:paraId="000008CD">
      <w:pPr>
        <w:numPr>
          <w:ilvl w:val="0"/>
          <w:numId w:val="3"/>
        </w:numPr>
        <w:spacing w:after="0" w:lineRule="auto"/>
        <w:ind w:left="720" w:hanging="360"/>
        <w:rPr>
          <w:color w:val="222222"/>
          <w:highlight w:val="white"/>
        </w:rPr>
      </w:pPr>
      <w:r w:rsidDel="00000000" w:rsidR="00000000" w:rsidRPr="00000000">
        <w:rPr>
          <w:color w:val="222222"/>
          <w:highlight w:val="white"/>
          <w:rtl w:val="0"/>
        </w:rPr>
        <w:t xml:space="preserve"> At West Heslerton, graves with grave goods have more CNE than graves without grave goods. </w:t>
      </w:r>
    </w:p>
    <w:p w:rsidR="00000000" w:rsidDel="00000000" w:rsidP="00000000" w:rsidRDefault="00000000" w:rsidRPr="00000000" w14:paraId="000008CE">
      <w:pPr>
        <w:numPr>
          <w:ilvl w:val="0"/>
          <w:numId w:val="3"/>
        </w:numPr>
        <w:spacing w:after="0" w:lineRule="auto"/>
        <w:ind w:left="720" w:hanging="360"/>
        <w:rPr>
          <w:color w:val="222222"/>
          <w:highlight w:val="white"/>
        </w:rPr>
      </w:pPr>
      <w:r w:rsidDel="00000000" w:rsidR="00000000" w:rsidRPr="00000000">
        <w:rPr>
          <w:color w:val="222222"/>
          <w:highlight w:val="white"/>
          <w:rtl w:val="0"/>
        </w:rPr>
        <w:t xml:space="preserve"> At Dover Buckland, female graves with brooches/bracteates have more CNE ancestry than female graves without brooches/bracteates. </w:t>
      </w:r>
    </w:p>
    <w:p w:rsidR="00000000" w:rsidDel="00000000" w:rsidP="00000000" w:rsidRDefault="00000000" w:rsidRPr="00000000" w14:paraId="000008CF">
      <w:pPr>
        <w:numPr>
          <w:ilvl w:val="0"/>
          <w:numId w:val="3"/>
        </w:numPr>
        <w:spacing w:after="0" w:lineRule="auto"/>
        <w:ind w:left="720" w:hanging="360"/>
        <w:rPr>
          <w:color w:val="222222"/>
          <w:highlight w:val="white"/>
        </w:rPr>
      </w:pPr>
      <w:r w:rsidDel="00000000" w:rsidR="00000000" w:rsidRPr="00000000">
        <w:rPr>
          <w:color w:val="222222"/>
          <w:highlight w:val="white"/>
          <w:rtl w:val="0"/>
        </w:rPr>
        <w:t xml:space="preserve">In Kent, female graves with brooches/bracteates have more CNE than female graves without brooches/bracteates. </w:t>
      </w:r>
    </w:p>
    <w:p w:rsidR="00000000" w:rsidDel="00000000" w:rsidP="00000000" w:rsidRDefault="00000000" w:rsidRPr="00000000" w14:paraId="000008D0">
      <w:pPr>
        <w:numPr>
          <w:ilvl w:val="0"/>
          <w:numId w:val="3"/>
        </w:numPr>
        <w:ind w:left="720" w:hanging="360"/>
        <w:rPr>
          <w:color w:val="222222"/>
          <w:highlight w:val="white"/>
        </w:rPr>
      </w:pPr>
      <w:r w:rsidDel="00000000" w:rsidR="00000000" w:rsidRPr="00000000">
        <w:rPr>
          <w:color w:val="222222"/>
          <w:highlight w:val="white"/>
          <w:rtl w:val="0"/>
        </w:rPr>
        <w:t xml:space="preserve">In the South, female graves with brooches/bracteates have more CNE than female graves without brooches/bracteates. </w:t>
      </w:r>
    </w:p>
    <w:p w:rsidR="00000000" w:rsidDel="00000000" w:rsidP="00000000" w:rsidRDefault="00000000" w:rsidRPr="00000000" w14:paraId="000008D1">
      <w:pPr>
        <w:rPr/>
      </w:pPr>
      <w:r w:rsidDel="00000000" w:rsidR="00000000" w:rsidRPr="00000000">
        <w:rPr>
          <w:color w:val="222222"/>
          <w:highlight w:val="white"/>
          <w:rtl w:val="0"/>
        </w:rPr>
        <w:t xml:space="preserve">Finally, we also tested using Kolmogorov-Smirnov-Tests whether (in the whole dataset) CNE distributions differ between: i) graves with and without grave goods, ii) female graves with brooches/bracteates and women graves without brooches/bracteates, iii) male graves with weapons and male graves without weapons. This is, however, for none of the comparisons the case (</w:t>
      </w:r>
      <w:r w:rsidDel="00000000" w:rsidR="00000000" w:rsidRPr="00000000">
        <w:rPr>
          <w:i w:val="1"/>
          <w:color w:val="222222"/>
          <w:highlight w:val="white"/>
          <w:rtl w:val="0"/>
        </w:rPr>
        <w:t xml:space="preserve">p</w:t>
      </w:r>
      <w:r w:rsidDel="00000000" w:rsidR="00000000" w:rsidRPr="00000000">
        <w:rPr>
          <w:color w:val="222222"/>
          <w:highlight w:val="white"/>
          <w:rtl w:val="0"/>
        </w:rPr>
        <w:t xml:space="preserve"> = 0.5252, 0.165, and 1, respectively).</w:t>
      </w:r>
      <w:r w:rsidDel="00000000" w:rsidR="00000000" w:rsidRPr="00000000">
        <w:rPr>
          <w:rtl w:val="0"/>
        </w:rPr>
      </w:r>
    </w:p>
    <w:p w:rsidR="00000000" w:rsidDel="00000000" w:rsidP="00000000" w:rsidRDefault="00000000" w:rsidRPr="00000000" w14:paraId="000008D2">
      <w:pPr>
        <w:rPr/>
      </w:pPr>
      <w:r w:rsidDel="00000000" w:rsidR="00000000" w:rsidRPr="00000000">
        <w:rPr/>
        <w:drawing>
          <wp:inline distB="0" distT="0" distL="0" distR="0">
            <wp:extent cx="5760720" cy="2472055"/>
            <wp:effectExtent b="0" l="0" r="0" t="0"/>
            <wp:docPr descr="Chart, treemap chart&#10;&#10;Description automatically generated" id="146" name="image33.png"/>
            <a:graphic>
              <a:graphicData uri="http://schemas.openxmlformats.org/drawingml/2006/picture">
                <pic:pic>
                  <pic:nvPicPr>
                    <pic:cNvPr descr="Chart, treemap chart&#10;&#10;Description automatically generated" id="0" name="image33.png"/>
                    <pic:cNvPicPr preferRelativeResize="0"/>
                  </pic:nvPicPr>
                  <pic:blipFill>
                    <a:blip r:embed="rId225"/>
                    <a:srcRect b="0" l="0" r="0" t="0"/>
                    <a:stretch>
                      <a:fillRect/>
                    </a:stretch>
                  </pic:blipFill>
                  <pic:spPr>
                    <a:xfrm>
                      <a:off x="0" y="0"/>
                      <a:ext cx="5760720" cy="2472055"/>
                    </a:xfrm>
                    <a:prstGeom prst="rect"/>
                    <a:ln/>
                  </pic:spPr>
                </pic:pic>
              </a:graphicData>
            </a:graphic>
          </wp:inline>
        </w:drawing>
      </w:r>
      <w:r w:rsidDel="00000000" w:rsidR="00000000" w:rsidRPr="00000000">
        <w:rPr>
          <w:rtl w:val="0"/>
        </w:rPr>
      </w:r>
    </w:p>
    <w:p w:rsidR="00000000" w:rsidDel="00000000" w:rsidP="00000000" w:rsidRDefault="00000000" w:rsidRPr="00000000" w14:paraId="000008D3">
      <w:pPr>
        <w:spacing w:after="200" w:line="240" w:lineRule="auto"/>
        <w:rPr>
          <w:sz w:val="28"/>
          <w:szCs w:val="28"/>
        </w:rPr>
      </w:pPr>
      <w:r w:rsidDel="00000000" w:rsidR="00000000" w:rsidRPr="00000000">
        <w:rPr>
          <w:b w:val="1"/>
          <w:i w:val="1"/>
          <w:sz w:val="18"/>
          <w:szCs w:val="18"/>
          <w:rtl w:val="0"/>
        </w:rPr>
        <w:t xml:space="preserve">Supplementary Figure 7.1, Association between material culture and genetic ancestry</w:t>
      </w:r>
      <w:r w:rsidDel="00000000" w:rsidR="00000000" w:rsidRPr="00000000">
        <w:rPr>
          <w:i w:val="1"/>
          <w:sz w:val="18"/>
          <w:szCs w:val="18"/>
          <w:rtl w:val="0"/>
        </w:rPr>
        <w:t xml:space="preserve">. P-values of two-sided Wilcoxon Rank Sum tests across sites and regions are shown.</w:t>
      </w:r>
      <w:r w:rsidDel="00000000" w:rsidR="00000000" w:rsidRPr="00000000">
        <w:rPr>
          <w:rtl w:val="0"/>
        </w:rPr>
      </w:r>
    </w:p>
    <w:p w:rsidR="00000000" w:rsidDel="00000000" w:rsidP="00000000" w:rsidRDefault="00000000" w:rsidRPr="00000000" w14:paraId="000008D4">
      <w:pPr>
        <w:pStyle w:val="Heading1"/>
        <w:rPr>
          <w:color w:val="000000"/>
          <w:sz w:val="28"/>
          <w:szCs w:val="28"/>
        </w:rPr>
      </w:pPr>
      <w:bookmarkStart w:colFirst="0" w:colLast="0" w:name="_heading=h.2981zbj" w:id="135"/>
      <w:bookmarkEnd w:id="135"/>
      <w:r w:rsidDel="00000000" w:rsidR="00000000" w:rsidRPr="00000000">
        <w:rPr>
          <w:color w:val="000000"/>
          <w:sz w:val="28"/>
          <w:szCs w:val="28"/>
          <w:rtl w:val="0"/>
        </w:rPr>
        <w:t xml:space="preserve">References</w:t>
      </w:r>
    </w:p>
    <w:p w:rsidR="00000000" w:rsidDel="00000000" w:rsidP="00000000" w:rsidRDefault="00000000" w:rsidRPr="00000000" w14:paraId="000008D5">
      <w:pPr>
        <w:widowControl w:val="0"/>
        <w:pBdr>
          <w:top w:space="0" w:sz="0" w:val="nil"/>
          <w:left w:space="0" w:sz="0" w:val="nil"/>
          <w:bottom w:space="0" w:sz="0" w:val="nil"/>
          <w:right w:space="0" w:sz="0" w:val="nil"/>
          <w:between w:space="0" w:sz="0" w:val="nil"/>
        </w:pBdr>
        <w:spacing w:after="0" w:line="276" w:lineRule="auto"/>
        <w:rPr/>
      </w:pPr>
      <w:r w:rsidDel="00000000" w:rsidR="00000000" w:rsidRPr="00000000">
        <w:rPr>
          <w:rtl w:val="0"/>
        </w:rPr>
      </w:r>
    </w:p>
    <w:p w:rsidR="00000000" w:rsidDel="00000000" w:rsidP="00000000" w:rsidRDefault="00000000" w:rsidRPr="00000000" w14:paraId="000008D6">
      <w:pPr>
        <w:widowControl w:val="0"/>
        <w:pBdr>
          <w:top w:space="0" w:sz="0" w:val="nil"/>
          <w:left w:space="0" w:sz="0" w:val="nil"/>
          <w:bottom w:space="0" w:sz="0" w:val="nil"/>
          <w:right w:space="0" w:sz="0" w:val="nil"/>
          <w:between w:space="0" w:sz="0" w:val="nil"/>
        </w:pBdr>
        <w:spacing w:after="0" w:before="220" w:line="480" w:lineRule="auto"/>
        <w:ind w:left="440" w:hanging="440"/>
        <w:rPr>
          <w:color w:val="000000"/>
        </w:rPr>
      </w:pPr>
      <w:r w:rsidDel="00000000" w:rsidR="00000000" w:rsidRPr="00000000">
        <w:rPr>
          <w:color w:val="000000"/>
          <w:rtl w:val="0"/>
        </w:rPr>
        <w:t xml:space="preserve">1.</w:t>
        <w:tab/>
      </w:r>
      <w:hyperlink r:id="rId226">
        <w:r w:rsidDel="00000000" w:rsidR="00000000" w:rsidRPr="00000000">
          <w:rPr>
            <w:color w:val="000000"/>
            <w:rtl w:val="0"/>
          </w:rPr>
          <w:t xml:space="preserve">Down, A. &amp; Welch, M. Chichester Excavations 7: apple down and the mardens. </w:t>
        </w:r>
      </w:hyperlink>
      <w:hyperlink r:id="rId227">
        <w:r w:rsidDel="00000000" w:rsidR="00000000" w:rsidRPr="00000000">
          <w:rPr>
            <w:i w:val="1"/>
            <w:color w:val="000000"/>
            <w:rtl w:val="0"/>
          </w:rPr>
          <w:t xml:space="preserve">Archaeological Journal</w:t>
        </w:r>
      </w:hyperlink>
      <w:hyperlink r:id="rId228">
        <w:r w:rsidDel="00000000" w:rsidR="00000000" w:rsidRPr="00000000">
          <w:rPr>
            <w:color w:val="000000"/>
            <w:rtl w:val="0"/>
          </w:rPr>
          <w:t xml:space="preserve"> </w:t>
        </w:r>
      </w:hyperlink>
      <w:hyperlink r:id="rId229">
        <w:r w:rsidDel="00000000" w:rsidR="00000000" w:rsidRPr="00000000">
          <w:rPr>
            <w:b w:val="1"/>
            <w:color w:val="000000"/>
            <w:rtl w:val="0"/>
          </w:rPr>
          <w:t xml:space="preserve">48</w:t>
        </w:r>
      </w:hyperlink>
      <w:hyperlink r:id="rId230">
        <w:r w:rsidDel="00000000" w:rsidR="00000000" w:rsidRPr="00000000">
          <w:rPr>
            <w:color w:val="000000"/>
            <w:rtl w:val="0"/>
          </w:rPr>
          <w:t xml:space="preserve">, 312–313 (1991).</w:t>
        </w:r>
      </w:hyperlink>
      <w:r w:rsidDel="00000000" w:rsidR="00000000" w:rsidRPr="00000000">
        <w:rPr>
          <w:rtl w:val="0"/>
        </w:rPr>
      </w:r>
    </w:p>
    <w:p w:rsidR="00000000" w:rsidDel="00000000" w:rsidP="00000000" w:rsidRDefault="00000000" w:rsidRPr="00000000" w14:paraId="000008D7">
      <w:pPr>
        <w:widowControl w:val="0"/>
        <w:pBdr>
          <w:top w:space="0" w:sz="0" w:val="nil"/>
          <w:left w:space="0" w:sz="0" w:val="nil"/>
          <w:bottom w:space="0" w:sz="0" w:val="nil"/>
          <w:right w:space="0" w:sz="0" w:val="nil"/>
          <w:between w:space="0" w:sz="0" w:val="nil"/>
        </w:pBdr>
        <w:spacing w:after="0" w:line="480" w:lineRule="auto"/>
        <w:ind w:left="440" w:hanging="440"/>
        <w:rPr>
          <w:color w:val="000000"/>
        </w:rPr>
      </w:pPr>
      <w:r w:rsidDel="00000000" w:rsidR="00000000" w:rsidRPr="00000000">
        <w:rPr>
          <w:color w:val="000000"/>
          <w:rtl w:val="0"/>
        </w:rPr>
        <w:t xml:space="preserve">2.</w:t>
        <w:tab/>
      </w:r>
      <w:hyperlink r:id="rId231">
        <w:r w:rsidDel="00000000" w:rsidR="00000000" w:rsidRPr="00000000">
          <w:rPr>
            <w:color w:val="000000"/>
            <w:rtl w:val="0"/>
          </w:rPr>
          <w:t xml:space="preserve">Sayer, D. </w:t>
        </w:r>
      </w:hyperlink>
      <w:hyperlink r:id="rId232">
        <w:r w:rsidDel="00000000" w:rsidR="00000000" w:rsidRPr="00000000">
          <w:rPr>
            <w:i w:val="1"/>
            <w:color w:val="000000"/>
            <w:rtl w:val="0"/>
          </w:rPr>
          <w:t xml:space="preserve">Early Anglo-Saxon cemeteries</w:t>
        </w:r>
      </w:hyperlink>
      <w:hyperlink r:id="rId233">
        <w:r w:rsidDel="00000000" w:rsidR="00000000" w:rsidRPr="00000000">
          <w:rPr>
            <w:color w:val="000000"/>
            <w:rtl w:val="0"/>
          </w:rPr>
          <w:t xml:space="preserve">. (Manchester University Press, 2020).</w:t>
        </w:r>
      </w:hyperlink>
      <w:r w:rsidDel="00000000" w:rsidR="00000000" w:rsidRPr="00000000">
        <w:rPr>
          <w:rtl w:val="0"/>
        </w:rPr>
      </w:r>
    </w:p>
    <w:p w:rsidR="00000000" w:rsidDel="00000000" w:rsidP="00000000" w:rsidRDefault="00000000" w:rsidRPr="00000000" w14:paraId="000008D8">
      <w:pPr>
        <w:widowControl w:val="0"/>
        <w:pBdr>
          <w:top w:space="0" w:sz="0" w:val="nil"/>
          <w:left w:space="0" w:sz="0" w:val="nil"/>
          <w:bottom w:space="0" w:sz="0" w:val="nil"/>
          <w:right w:space="0" w:sz="0" w:val="nil"/>
          <w:between w:space="0" w:sz="0" w:val="nil"/>
        </w:pBdr>
        <w:spacing w:after="0" w:line="480" w:lineRule="auto"/>
        <w:ind w:left="440" w:hanging="440"/>
        <w:rPr>
          <w:color w:val="000000"/>
        </w:rPr>
      </w:pPr>
      <w:r w:rsidDel="00000000" w:rsidR="00000000" w:rsidRPr="00000000">
        <w:rPr>
          <w:color w:val="000000"/>
          <w:rtl w:val="0"/>
        </w:rPr>
        <w:t xml:space="preserve">3.</w:t>
        <w:tab/>
      </w:r>
      <w:hyperlink r:id="rId234">
        <w:r w:rsidDel="00000000" w:rsidR="00000000" w:rsidRPr="00000000">
          <w:rPr>
            <w:color w:val="000000"/>
            <w:rtl w:val="0"/>
          </w:rPr>
          <w:t xml:space="preserve">Evison, V. I. </w:t>
        </w:r>
      </w:hyperlink>
      <w:hyperlink r:id="rId235">
        <w:r w:rsidDel="00000000" w:rsidR="00000000" w:rsidRPr="00000000">
          <w:rPr>
            <w:i w:val="1"/>
            <w:color w:val="000000"/>
            <w:rtl w:val="0"/>
          </w:rPr>
          <w:t xml:space="preserve">Dover: The Buckland Anglo-Saxon Cemetery</w:t>
        </w:r>
      </w:hyperlink>
      <w:hyperlink r:id="rId236">
        <w:r w:rsidDel="00000000" w:rsidR="00000000" w:rsidRPr="00000000">
          <w:rPr>
            <w:color w:val="000000"/>
            <w:rtl w:val="0"/>
          </w:rPr>
          <w:t xml:space="preserve">. (Liverpool University Press, 1987).</w:t>
        </w:r>
      </w:hyperlink>
      <w:r w:rsidDel="00000000" w:rsidR="00000000" w:rsidRPr="00000000">
        <w:rPr>
          <w:rtl w:val="0"/>
        </w:rPr>
      </w:r>
    </w:p>
    <w:p w:rsidR="00000000" w:rsidDel="00000000" w:rsidP="00000000" w:rsidRDefault="00000000" w:rsidRPr="00000000" w14:paraId="000008D9">
      <w:pPr>
        <w:widowControl w:val="0"/>
        <w:pBdr>
          <w:top w:space="0" w:sz="0" w:val="nil"/>
          <w:left w:space="0" w:sz="0" w:val="nil"/>
          <w:bottom w:space="0" w:sz="0" w:val="nil"/>
          <w:right w:space="0" w:sz="0" w:val="nil"/>
          <w:between w:space="0" w:sz="0" w:val="nil"/>
        </w:pBdr>
        <w:spacing w:after="0" w:line="480" w:lineRule="auto"/>
        <w:ind w:left="440" w:hanging="440"/>
        <w:rPr>
          <w:color w:val="000000"/>
        </w:rPr>
      </w:pPr>
      <w:r w:rsidDel="00000000" w:rsidR="00000000" w:rsidRPr="00000000">
        <w:rPr>
          <w:color w:val="000000"/>
          <w:rtl w:val="0"/>
        </w:rPr>
        <w:t xml:space="preserve">4.</w:t>
        <w:tab/>
      </w:r>
      <w:hyperlink r:id="rId237">
        <w:r w:rsidDel="00000000" w:rsidR="00000000" w:rsidRPr="00000000">
          <w:rPr>
            <w:color w:val="000000"/>
            <w:rtl w:val="0"/>
          </w:rPr>
          <w:t xml:space="preserve">Parfitt, Keith., Anderson, Trevor. &amp; Canterbury Archaeological Trust. </w:t>
        </w:r>
      </w:hyperlink>
      <w:hyperlink r:id="rId238">
        <w:r w:rsidDel="00000000" w:rsidR="00000000" w:rsidRPr="00000000">
          <w:rPr>
            <w:i w:val="1"/>
            <w:color w:val="000000"/>
            <w:rtl w:val="0"/>
          </w:rPr>
          <w:t xml:space="preserve">Buckland Anglo-Saxon Cemetery, Dover : excavations 1994</w:t>
        </w:r>
      </w:hyperlink>
      <w:hyperlink r:id="rId239">
        <w:r w:rsidDel="00000000" w:rsidR="00000000" w:rsidRPr="00000000">
          <w:rPr>
            <w:color w:val="000000"/>
            <w:rtl w:val="0"/>
          </w:rPr>
          <w:t xml:space="preserve">. (Canterbury Archaeological Trust, 2012).</w:t>
        </w:r>
      </w:hyperlink>
      <w:r w:rsidDel="00000000" w:rsidR="00000000" w:rsidRPr="00000000">
        <w:rPr>
          <w:rtl w:val="0"/>
        </w:rPr>
      </w:r>
    </w:p>
    <w:p w:rsidR="00000000" w:rsidDel="00000000" w:rsidP="00000000" w:rsidRDefault="00000000" w:rsidRPr="00000000" w14:paraId="000008DA">
      <w:pPr>
        <w:widowControl w:val="0"/>
        <w:pBdr>
          <w:top w:space="0" w:sz="0" w:val="nil"/>
          <w:left w:space="0" w:sz="0" w:val="nil"/>
          <w:bottom w:space="0" w:sz="0" w:val="nil"/>
          <w:right w:space="0" w:sz="0" w:val="nil"/>
          <w:between w:space="0" w:sz="0" w:val="nil"/>
        </w:pBdr>
        <w:spacing w:after="0" w:line="480" w:lineRule="auto"/>
        <w:ind w:left="440" w:hanging="440"/>
        <w:rPr>
          <w:color w:val="000000"/>
        </w:rPr>
      </w:pPr>
      <w:r w:rsidDel="00000000" w:rsidR="00000000" w:rsidRPr="00000000">
        <w:rPr>
          <w:color w:val="000000"/>
          <w:rtl w:val="0"/>
        </w:rPr>
        <w:t xml:space="preserve">5.</w:t>
        <w:tab/>
      </w:r>
      <w:hyperlink r:id="rId240">
        <w:r w:rsidDel="00000000" w:rsidR="00000000" w:rsidRPr="00000000">
          <w:rPr>
            <w:color w:val="000000"/>
            <w:rtl w:val="0"/>
          </w:rPr>
          <w:t xml:space="preserve">Stoodley, N. </w:t>
        </w:r>
      </w:hyperlink>
      <w:hyperlink r:id="rId241">
        <w:r w:rsidDel="00000000" w:rsidR="00000000" w:rsidRPr="00000000">
          <w:rPr>
            <w:i w:val="1"/>
            <w:color w:val="000000"/>
            <w:rtl w:val="0"/>
          </w:rPr>
          <w:t xml:space="preserve">The spindle and the spear : a critical enquiry into the construction of meaning of gender in the early Anglo-Saxon inhumation burial rite</w:t>
        </w:r>
      </w:hyperlink>
      <w:hyperlink r:id="rId242">
        <w:r w:rsidDel="00000000" w:rsidR="00000000" w:rsidRPr="00000000">
          <w:rPr>
            <w:color w:val="000000"/>
            <w:rtl w:val="0"/>
          </w:rPr>
          <w:t xml:space="preserve">. vol. 288 (British Archaeology Reports, 1997).</w:t>
        </w:r>
      </w:hyperlink>
      <w:r w:rsidDel="00000000" w:rsidR="00000000" w:rsidRPr="00000000">
        <w:rPr>
          <w:rtl w:val="0"/>
        </w:rPr>
      </w:r>
    </w:p>
    <w:p w:rsidR="00000000" w:rsidDel="00000000" w:rsidP="00000000" w:rsidRDefault="00000000" w:rsidRPr="00000000" w14:paraId="000008DB">
      <w:pPr>
        <w:widowControl w:val="0"/>
        <w:pBdr>
          <w:top w:space="0" w:sz="0" w:val="nil"/>
          <w:left w:space="0" w:sz="0" w:val="nil"/>
          <w:bottom w:space="0" w:sz="0" w:val="nil"/>
          <w:right w:space="0" w:sz="0" w:val="nil"/>
          <w:between w:space="0" w:sz="0" w:val="nil"/>
        </w:pBdr>
        <w:spacing w:after="0" w:line="480" w:lineRule="auto"/>
        <w:ind w:left="440" w:hanging="440"/>
        <w:rPr>
          <w:color w:val="000000"/>
        </w:rPr>
      </w:pPr>
      <w:r w:rsidDel="00000000" w:rsidR="00000000" w:rsidRPr="00000000">
        <w:rPr>
          <w:color w:val="000000"/>
          <w:rtl w:val="0"/>
        </w:rPr>
        <w:t xml:space="preserve">6.</w:t>
        <w:tab/>
      </w:r>
      <w:hyperlink r:id="rId243">
        <w:r w:rsidDel="00000000" w:rsidR="00000000" w:rsidRPr="00000000">
          <w:rPr>
            <w:color w:val="000000"/>
            <w:rtl w:val="0"/>
          </w:rPr>
          <w:t xml:space="preserve">Lucy, S. Housewives, warriors and slaves? Sex and gender in Anglo-Saxon burials. in </w:t>
        </w:r>
      </w:hyperlink>
      <w:hyperlink r:id="rId244">
        <w:r w:rsidDel="00000000" w:rsidR="00000000" w:rsidRPr="00000000">
          <w:rPr>
            <w:i w:val="1"/>
            <w:color w:val="000000"/>
            <w:rtl w:val="0"/>
          </w:rPr>
          <w:t xml:space="preserve">Invisible People and Processes: Writing Gender and Childhood into European Archaeology</w:t>
        </w:r>
      </w:hyperlink>
      <w:hyperlink r:id="rId245">
        <w:r w:rsidDel="00000000" w:rsidR="00000000" w:rsidRPr="00000000">
          <w:rPr>
            <w:color w:val="000000"/>
            <w:rtl w:val="0"/>
          </w:rPr>
          <w:t xml:space="preserve"> (eds. Moore, J. S. E. &amp; Scott, E.) 150–168 (Leicester University Press, 1997).</w:t>
        </w:r>
      </w:hyperlink>
      <w:r w:rsidDel="00000000" w:rsidR="00000000" w:rsidRPr="00000000">
        <w:rPr>
          <w:rtl w:val="0"/>
        </w:rPr>
      </w:r>
    </w:p>
    <w:p w:rsidR="00000000" w:rsidDel="00000000" w:rsidP="00000000" w:rsidRDefault="00000000" w:rsidRPr="00000000" w14:paraId="000008DC">
      <w:pPr>
        <w:widowControl w:val="0"/>
        <w:pBdr>
          <w:top w:space="0" w:sz="0" w:val="nil"/>
          <w:left w:space="0" w:sz="0" w:val="nil"/>
          <w:bottom w:space="0" w:sz="0" w:val="nil"/>
          <w:right w:space="0" w:sz="0" w:val="nil"/>
          <w:between w:space="0" w:sz="0" w:val="nil"/>
        </w:pBdr>
        <w:spacing w:after="0" w:line="480" w:lineRule="auto"/>
        <w:ind w:left="440" w:hanging="440"/>
        <w:rPr>
          <w:color w:val="000000"/>
        </w:rPr>
      </w:pPr>
      <w:r w:rsidDel="00000000" w:rsidR="00000000" w:rsidRPr="00000000">
        <w:rPr>
          <w:color w:val="000000"/>
          <w:rtl w:val="0"/>
        </w:rPr>
        <w:t xml:space="preserve">7.</w:t>
        <w:tab/>
      </w:r>
      <w:hyperlink r:id="rId246">
        <w:r w:rsidDel="00000000" w:rsidR="00000000" w:rsidRPr="00000000">
          <w:rPr>
            <w:color w:val="000000"/>
            <w:rtl w:val="0"/>
          </w:rPr>
          <w:t xml:space="preserve">Brodrick, H. Fox Holes, Clapdale - a rock shelter. </w:t>
        </w:r>
      </w:hyperlink>
      <w:hyperlink r:id="rId247">
        <w:r w:rsidDel="00000000" w:rsidR="00000000" w:rsidRPr="00000000">
          <w:rPr>
            <w:i w:val="1"/>
            <w:color w:val="000000"/>
            <w:rtl w:val="0"/>
          </w:rPr>
          <w:t xml:space="preserve">Yorkshire Ramblers Club Journal</w:t>
        </w:r>
      </w:hyperlink>
      <w:hyperlink r:id="rId248">
        <w:r w:rsidDel="00000000" w:rsidR="00000000" w:rsidRPr="00000000">
          <w:rPr>
            <w:color w:val="000000"/>
            <w:rtl w:val="0"/>
          </w:rPr>
          <w:t xml:space="preserve"> </w:t>
        </w:r>
      </w:hyperlink>
      <w:hyperlink r:id="rId249">
        <w:r w:rsidDel="00000000" w:rsidR="00000000" w:rsidRPr="00000000">
          <w:rPr>
            <w:b w:val="1"/>
            <w:color w:val="000000"/>
            <w:rtl w:val="0"/>
          </w:rPr>
          <w:t xml:space="preserve">5</w:t>
        </w:r>
      </w:hyperlink>
      <w:hyperlink r:id="rId250">
        <w:r w:rsidDel="00000000" w:rsidR="00000000" w:rsidRPr="00000000">
          <w:rPr>
            <w:color w:val="000000"/>
            <w:rtl w:val="0"/>
          </w:rPr>
          <w:t xml:space="preserve">, 112–116 (1924).</w:t>
        </w:r>
      </w:hyperlink>
      <w:r w:rsidDel="00000000" w:rsidR="00000000" w:rsidRPr="00000000">
        <w:rPr>
          <w:rtl w:val="0"/>
        </w:rPr>
      </w:r>
    </w:p>
    <w:p w:rsidR="00000000" w:rsidDel="00000000" w:rsidP="00000000" w:rsidRDefault="00000000" w:rsidRPr="00000000" w14:paraId="000008DD">
      <w:pPr>
        <w:widowControl w:val="0"/>
        <w:pBdr>
          <w:top w:space="0" w:sz="0" w:val="nil"/>
          <w:left w:space="0" w:sz="0" w:val="nil"/>
          <w:bottom w:space="0" w:sz="0" w:val="nil"/>
          <w:right w:space="0" w:sz="0" w:val="nil"/>
          <w:between w:space="0" w:sz="0" w:val="nil"/>
        </w:pBdr>
        <w:spacing w:after="0" w:line="480" w:lineRule="auto"/>
        <w:ind w:left="440" w:hanging="440"/>
        <w:rPr>
          <w:color w:val="000000"/>
        </w:rPr>
      </w:pPr>
      <w:r w:rsidDel="00000000" w:rsidR="00000000" w:rsidRPr="00000000">
        <w:rPr>
          <w:color w:val="000000"/>
          <w:rtl w:val="0"/>
        </w:rPr>
        <w:t xml:space="preserve">8.</w:t>
        <w:tab/>
      </w:r>
      <w:hyperlink r:id="rId251">
        <w:r w:rsidDel="00000000" w:rsidR="00000000" w:rsidRPr="00000000">
          <w:rPr>
            <w:color w:val="000000"/>
            <w:rtl w:val="0"/>
          </w:rPr>
          <w:t xml:space="preserve">Leach, S. </w:t>
        </w:r>
      </w:hyperlink>
      <w:hyperlink r:id="rId252">
        <w:r w:rsidDel="00000000" w:rsidR="00000000" w:rsidRPr="00000000">
          <w:rPr>
            <w:i w:val="1"/>
            <w:color w:val="000000"/>
            <w:rtl w:val="0"/>
          </w:rPr>
          <w:t xml:space="preserve">Going Underground: An anthropological and taphonomic study of human remains from caves and rock shelters in Yorkshire</w:t>
        </w:r>
      </w:hyperlink>
      <w:hyperlink r:id="rId253">
        <w:r w:rsidDel="00000000" w:rsidR="00000000" w:rsidRPr="00000000">
          <w:rPr>
            <w:color w:val="000000"/>
            <w:rtl w:val="0"/>
          </w:rPr>
          <w:t xml:space="preserve">. (University of Winchester).</w:t>
        </w:r>
      </w:hyperlink>
      <w:r w:rsidDel="00000000" w:rsidR="00000000" w:rsidRPr="00000000">
        <w:rPr>
          <w:rtl w:val="0"/>
        </w:rPr>
      </w:r>
    </w:p>
    <w:p w:rsidR="00000000" w:rsidDel="00000000" w:rsidP="00000000" w:rsidRDefault="00000000" w:rsidRPr="00000000" w14:paraId="000008DE">
      <w:pPr>
        <w:widowControl w:val="0"/>
        <w:pBdr>
          <w:top w:space="0" w:sz="0" w:val="nil"/>
          <w:left w:space="0" w:sz="0" w:val="nil"/>
          <w:bottom w:space="0" w:sz="0" w:val="nil"/>
          <w:right w:space="0" w:sz="0" w:val="nil"/>
          <w:between w:space="0" w:sz="0" w:val="nil"/>
        </w:pBdr>
        <w:spacing w:after="0" w:line="480" w:lineRule="auto"/>
        <w:ind w:left="440" w:hanging="440"/>
        <w:rPr>
          <w:color w:val="000000"/>
        </w:rPr>
      </w:pPr>
      <w:r w:rsidDel="00000000" w:rsidR="00000000" w:rsidRPr="00000000">
        <w:rPr>
          <w:color w:val="000000"/>
          <w:rtl w:val="0"/>
        </w:rPr>
        <w:t xml:space="preserve">9.</w:t>
        <w:tab/>
      </w:r>
      <w:hyperlink r:id="rId254">
        <w:r w:rsidDel="00000000" w:rsidR="00000000" w:rsidRPr="00000000">
          <w:rPr>
            <w:color w:val="000000"/>
            <w:rtl w:val="0"/>
          </w:rPr>
          <w:t xml:space="preserve">Welch, M. G. Report on excavations of the Anglo-Saxon cemetery at Updown, Eastry, Kent. </w:t>
        </w:r>
      </w:hyperlink>
      <w:hyperlink r:id="rId255">
        <w:r w:rsidDel="00000000" w:rsidR="00000000" w:rsidRPr="00000000">
          <w:rPr>
            <w:i w:val="1"/>
            <w:color w:val="000000"/>
            <w:rtl w:val="0"/>
          </w:rPr>
          <w:t xml:space="preserve">Anglo-Saxon Studies in Archaeology and History</w:t>
        </w:r>
      </w:hyperlink>
      <w:hyperlink r:id="rId256">
        <w:r w:rsidDel="00000000" w:rsidR="00000000" w:rsidRPr="00000000">
          <w:rPr>
            <w:color w:val="000000"/>
            <w:rtl w:val="0"/>
          </w:rPr>
          <w:t xml:space="preserve"> </w:t>
        </w:r>
      </w:hyperlink>
      <w:hyperlink r:id="rId257">
        <w:r w:rsidDel="00000000" w:rsidR="00000000" w:rsidRPr="00000000">
          <w:rPr>
            <w:b w:val="1"/>
            <w:color w:val="000000"/>
            <w:rtl w:val="0"/>
          </w:rPr>
          <w:t xml:space="preserve">15</w:t>
        </w:r>
      </w:hyperlink>
      <w:hyperlink r:id="rId258">
        <w:r w:rsidDel="00000000" w:rsidR="00000000" w:rsidRPr="00000000">
          <w:rPr>
            <w:color w:val="000000"/>
            <w:rtl w:val="0"/>
          </w:rPr>
          <w:t xml:space="preserve">, 1–146 (2008).</w:t>
        </w:r>
      </w:hyperlink>
      <w:r w:rsidDel="00000000" w:rsidR="00000000" w:rsidRPr="00000000">
        <w:rPr>
          <w:rtl w:val="0"/>
        </w:rPr>
      </w:r>
    </w:p>
    <w:p w:rsidR="00000000" w:rsidDel="00000000" w:rsidP="00000000" w:rsidRDefault="00000000" w:rsidRPr="00000000" w14:paraId="000008DF">
      <w:pPr>
        <w:widowControl w:val="0"/>
        <w:pBdr>
          <w:top w:space="0" w:sz="0" w:val="nil"/>
          <w:left w:space="0" w:sz="0" w:val="nil"/>
          <w:bottom w:space="0" w:sz="0" w:val="nil"/>
          <w:right w:space="0" w:sz="0" w:val="nil"/>
          <w:between w:space="0" w:sz="0" w:val="nil"/>
        </w:pBdr>
        <w:spacing w:after="0" w:line="480" w:lineRule="auto"/>
        <w:ind w:left="440" w:hanging="440"/>
        <w:rPr>
          <w:color w:val="000000"/>
        </w:rPr>
      </w:pPr>
      <w:r w:rsidDel="00000000" w:rsidR="00000000" w:rsidRPr="00000000">
        <w:rPr>
          <w:color w:val="000000"/>
          <w:rtl w:val="0"/>
        </w:rPr>
        <w:t xml:space="preserve">10.</w:t>
        <w:tab/>
      </w:r>
      <w:hyperlink r:id="rId259">
        <w:r w:rsidDel="00000000" w:rsidR="00000000" w:rsidRPr="00000000">
          <w:rPr>
            <w:color w:val="000000"/>
            <w:rtl w:val="0"/>
          </w:rPr>
          <w:t xml:space="preserve">Ladd, S. &amp; Martin, T. </w:t>
        </w:r>
      </w:hyperlink>
      <w:hyperlink r:id="rId260">
        <w:r w:rsidDel="00000000" w:rsidR="00000000" w:rsidRPr="00000000">
          <w:rPr>
            <w:i w:val="1"/>
            <w:color w:val="000000"/>
            <w:rtl w:val="0"/>
          </w:rPr>
          <w:t xml:space="preserve">Roman and Early Anglo-Saxon Cemeteries at Cherry Hinton</w:t>
        </w:r>
      </w:hyperlink>
      <w:hyperlink r:id="rId261">
        <w:r w:rsidDel="00000000" w:rsidR="00000000" w:rsidRPr="00000000">
          <w:rPr>
            <w:color w:val="000000"/>
            <w:rtl w:val="0"/>
          </w:rPr>
          <w:t xml:space="preserve">. (East Anglian Archaeology).</w:t>
        </w:r>
      </w:hyperlink>
      <w:r w:rsidDel="00000000" w:rsidR="00000000" w:rsidRPr="00000000">
        <w:rPr>
          <w:rtl w:val="0"/>
        </w:rPr>
      </w:r>
    </w:p>
    <w:p w:rsidR="00000000" w:rsidDel="00000000" w:rsidP="00000000" w:rsidRDefault="00000000" w:rsidRPr="00000000" w14:paraId="000008E0">
      <w:pPr>
        <w:widowControl w:val="0"/>
        <w:pBdr>
          <w:top w:space="0" w:sz="0" w:val="nil"/>
          <w:left w:space="0" w:sz="0" w:val="nil"/>
          <w:bottom w:space="0" w:sz="0" w:val="nil"/>
          <w:right w:space="0" w:sz="0" w:val="nil"/>
          <w:between w:space="0" w:sz="0" w:val="nil"/>
        </w:pBdr>
        <w:spacing w:after="0" w:line="480" w:lineRule="auto"/>
        <w:ind w:left="440" w:hanging="440"/>
        <w:rPr>
          <w:color w:val="000000"/>
        </w:rPr>
      </w:pPr>
      <w:r w:rsidDel="00000000" w:rsidR="00000000" w:rsidRPr="00000000">
        <w:rPr>
          <w:color w:val="000000"/>
          <w:rtl w:val="0"/>
        </w:rPr>
        <w:t xml:space="preserve">11.</w:t>
        <w:tab/>
      </w:r>
      <w:hyperlink r:id="rId262">
        <w:r w:rsidDel="00000000" w:rsidR="00000000" w:rsidRPr="00000000">
          <w:rPr>
            <w:color w:val="000000"/>
            <w:rtl w:val="0"/>
          </w:rPr>
          <w:t xml:space="preserve">Turk, F. A. Human Remains from Crantock. </w:t>
        </w:r>
      </w:hyperlink>
      <w:hyperlink r:id="rId263">
        <w:r w:rsidDel="00000000" w:rsidR="00000000" w:rsidRPr="00000000">
          <w:rPr>
            <w:i w:val="1"/>
            <w:color w:val="000000"/>
            <w:rtl w:val="0"/>
          </w:rPr>
          <w:t xml:space="preserve">Cornish Archaeology</w:t>
        </w:r>
      </w:hyperlink>
      <w:hyperlink r:id="rId264">
        <w:r w:rsidDel="00000000" w:rsidR="00000000" w:rsidRPr="00000000">
          <w:rPr>
            <w:color w:val="000000"/>
            <w:rtl w:val="0"/>
          </w:rPr>
          <w:t xml:space="preserve"> </w:t>
        </w:r>
      </w:hyperlink>
      <w:hyperlink r:id="rId265">
        <w:r w:rsidDel="00000000" w:rsidR="00000000" w:rsidRPr="00000000">
          <w:rPr>
            <w:b w:val="1"/>
            <w:color w:val="000000"/>
            <w:rtl w:val="0"/>
          </w:rPr>
          <w:t xml:space="preserve">8</w:t>
        </w:r>
      </w:hyperlink>
      <w:hyperlink r:id="rId266">
        <w:r w:rsidDel="00000000" w:rsidR="00000000" w:rsidRPr="00000000">
          <w:rPr>
            <w:color w:val="000000"/>
            <w:rtl w:val="0"/>
          </w:rPr>
          <w:t xml:space="preserve">, 98–99 (1969).</w:t>
        </w:r>
      </w:hyperlink>
      <w:r w:rsidDel="00000000" w:rsidR="00000000" w:rsidRPr="00000000">
        <w:rPr>
          <w:rtl w:val="0"/>
        </w:rPr>
      </w:r>
    </w:p>
    <w:p w:rsidR="00000000" w:rsidDel="00000000" w:rsidP="00000000" w:rsidRDefault="00000000" w:rsidRPr="00000000" w14:paraId="000008E1">
      <w:pPr>
        <w:widowControl w:val="0"/>
        <w:pBdr>
          <w:top w:space="0" w:sz="0" w:val="nil"/>
          <w:left w:space="0" w:sz="0" w:val="nil"/>
          <w:bottom w:space="0" w:sz="0" w:val="nil"/>
          <w:right w:space="0" w:sz="0" w:val="nil"/>
          <w:between w:space="0" w:sz="0" w:val="nil"/>
        </w:pBdr>
        <w:spacing w:after="0" w:line="480" w:lineRule="auto"/>
        <w:ind w:left="440" w:hanging="440"/>
        <w:rPr>
          <w:color w:val="000000"/>
        </w:rPr>
      </w:pPr>
      <w:r w:rsidDel="00000000" w:rsidR="00000000" w:rsidRPr="00000000">
        <w:rPr>
          <w:color w:val="000000"/>
          <w:rtl w:val="0"/>
        </w:rPr>
        <w:t xml:space="preserve">12.</w:t>
        <w:tab/>
      </w:r>
      <w:hyperlink r:id="rId267">
        <w:r w:rsidDel="00000000" w:rsidR="00000000" w:rsidRPr="00000000">
          <w:rPr>
            <w:color w:val="000000"/>
            <w:rtl w:val="0"/>
          </w:rPr>
          <w:t xml:space="preserve">Turk, F. A. </w:t>
        </w:r>
      </w:hyperlink>
      <w:hyperlink r:id="rId268">
        <w:r w:rsidDel="00000000" w:rsidR="00000000" w:rsidRPr="00000000">
          <w:rPr>
            <w:i w:val="1"/>
            <w:color w:val="000000"/>
            <w:rtl w:val="0"/>
          </w:rPr>
          <w:t xml:space="preserve">On some Human Remains from Early Christian Date from Crantock, Cornwall,</w:t>
        </w:r>
      </w:hyperlink>
      <w:hyperlink r:id="rId269">
        <w:r w:rsidDel="00000000" w:rsidR="00000000" w:rsidRPr="00000000">
          <w:rPr>
            <w:color w:val="000000"/>
            <w:rtl w:val="0"/>
          </w:rPr>
          <w:t xml:space="preserve">. (1986).</w:t>
        </w:r>
      </w:hyperlink>
      <w:r w:rsidDel="00000000" w:rsidR="00000000" w:rsidRPr="00000000">
        <w:rPr>
          <w:rtl w:val="0"/>
        </w:rPr>
      </w:r>
    </w:p>
    <w:p w:rsidR="00000000" w:rsidDel="00000000" w:rsidP="00000000" w:rsidRDefault="00000000" w:rsidRPr="00000000" w14:paraId="000008E2">
      <w:pPr>
        <w:widowControl w:val="0"/>
        <w:pBdr>
          <w:top w:space="0" w:sz="0" w:val="nil"/>
          <w:left w:space="0" w:sz="0" w:val="nil"/>
          <w:bottom w:space="0" w:sz="0" w:val="nil"/>
          <w:right w:space="0" w:sz="0" w:val="nil"/>
          <w:between w:space="0" w:sz="0" w:val="nil"/>
        </w:pBdr>
        <w:spacing w:after="0" w:line="480" w:lineRule="auto"/>
        <w:ind w:left="440" w:hanging="440"/>
        <w:rPr>
          <w:color w:val="000000"/>
        </w:rPr>
      </w:pPr>
      <w:r w:rsidDel="00000000" w:rsidR="00000000" w:rsidRPr="00000000">
        <w:rPr>
          <w:color w:val="000000"/>
          <w:rtl w:val="0"/>
        </w:rPr>
        <w:t xml:space="preserve">13.</w:t>
        <w:tab/>
      </w:r>
      <w:hyperlink r:id="rId270">
        <w:r w:rsidDel="00000000" w:rsidR="00000000" w:rsidRPr="00000000">
          <w:rPr>
            <w:color w:val="000000"/>
            <w:rtl w:val="0"/>
          </w:rPr>
          <w:t xml:space="preserve">Taylor, A., Duhig, C. &amp; Hines, J. An Anglo-Saxon cemetery at Oakington, Cambridgeshire. </w:t>
        </w:r>
      </w:hyperlink>
      <w:hyperlink r:id="rId271">
        <w:r w:rsidDel="00000000" w:rsidR="00000000" w:rsidRPr="00000000">
          <w:rPr>
            <w:i w:val="1"/>
            <w:color w:val="000000"/>
            <w:rtl w:val="0"/>
          </w:rPr>
          <w:t xml:space="preserve">Proceedings of the Cambridge Antiquarian Society</w:t>
        </w:r>
      </w:hyperlink>
      <w:hyperlink r:id="rId272">
        <w:r w:rsidDel="00000000" w:rsidR="00000000" w:rsidRPr="00000000">
          <w:rPr>
            <w:color w:val="000000"/>
            <w:rtl w:val="0"/>
          </w:rPr>
          <w:t xml:space="preserve"> </w:t>
        </w:r>
      </w:hyperlink>
      <w:hyperlink r:id="rId273">
        <w:r w:rsidDel="00000000" w:rsidR="00000000" w:rsidRPr="00000000">
          <w:rPr>
            <w:b w:val="1"/>
            <w:color w:val="000000"/>
            <w:rtl w:val="0"/>
          </w:rPr>
          <w:t xml:space="preserve">86</w:t>
        </w:r>
      </w:hyperlink>
      <w:hyperlink r:id="rId274">
        <w:r w:rsidDel="00000000" w:rsidR="00000000" w:rsidRPr="00000000">
          <w:rPr>
            <w:color w:val="000000"/>
            <w:rtl w:val="0"/>
          </w:rPr>
          <w:t xml:space="preserve">, 57–90 (1997).</w:t>
        </w:r>
      </w:hyperlink>
      <w:r w:rsidDel="00000000" w:rsidR="00000000" w:rsidRPr="00000000">
        <w:rPr>
          <w:rtl w:val="0"/>
        </w:rPr>
      </w:r>
    </w:p>
    <w:p w:rsidR="00000000" w:rsidDel="00000000" w:rsidP="00000000" w:rsidRDefault="00000000" w:rsidRPr="00000000" w14:paraId="000008E3">
      <w:pPr>
        <w:widowControl w:val="0"/>
        <w:pBdr>
          <w:top w:space="0" w:sz="0" w:val="nil"/>
          <w:left w:space="0" w:sz="0" w:val="nil"/>
          <w:bottom w:space="0" w:sz="0" w:val="nil"/>
          <w:right w:space="0" w:sz="0" w:val="nil"/>
          <w:between w:space="0" w:sz="0" w:val="nil"/>
        </w:pBdr>
        <w:spacing w:after="0" w:line="480" w:lineRule="auto"/>
        <w:ind w:left="440" w:hanging="440"/>
        <w:rPr>
          <w:color w:val="000000"/>
        </w:rPr>
      </w:pPr>
      <w:r w:rsidDel="00000000" w:rsidR="00000000" w:rsidRPr="00000000">
        <w:rPr>
          <w:color w:val="000000"/>
          <w:rtl w:val="0"/>
        </w:rPr>
        <w:t xml:space="preserve">14.</w:t>
        <w:tab/>
      </w:r>
      <w:hyperlink r:id="rId275">
        <w:r w:rsidDel="00000000" w:rsidR="00000000" w:rsidRPr="00000000">
          <w:rPr>
            <w:color w:val="000000"/>
            <w:rtl w:val="0"/>
          </w:rPr>
          <w:t xml:space="preserve">Mortimer, R., Sayer, D. &amp; Wiseman, R. Anglo-Saxon Oakington: A central place on the edge of the Cambridgeshire Fen. in </w:t>
        </w:r>
      </w:hyperlink>
      <w:hyperlink r:id="rId276">
        <w:r w:rsidDel="00000000" w:rsidR="00000000" w:rsidRPr="00000000">
          <w:rPr>
            <w:i w:val="1"/>
            <w:color w:val="000000"/>
            <w:rtl w:val="0"/>
          </w:rPr>
          <w:t xml:space="preserve">Life on the Edge: Social, Religious and Political Frontiers in Early Medieval Europe</w:t>
        </w:r>
      </w:hyperlink>
      <w:hyperlink r:id="rId277">
        <w:r w:rsidDel="00000000" w:rsidR="00000000" w:rsidRPr="00000000">
          <w:rPr>
            <w:color w:val="000000"/>
            <w:rtl w:val="0"/>
          </w:rPr>
          <w:t xml:space="preserve"> (eds. Semple, S., Orsini, C. &amp; Mui, S.) vol. 6 305–3016 (Verlag Uwe Krebs, 2017).</w:t>
        </w:r>
      </w:hyperlink>
      <w:r w:rsidDel="00000000" w:rsidR="00000000" w:rsidRPr="00000000">
        <w:rPr>
          <w:rtl w:val="0"/>
        </w:rPr>
      </w:r>
    </w:p>
    <w:p w:rsidR="00000000" w:rsidDel="00000000" w:rsidP="00000000" w:rsidRDefault="00000000" w:rsidRPr="00000000" w14:paraId="000008E4">
      <w:pPr>
        <w:widowControl w:val="0"/>
        <w:pBdr>
          <w:top w:space="0" w:sz="0" w:val="nil"/>
          <w:left w:space="0" w:sz="0" w:val="nil"/>
          <w:bottom w:space="0" w:sz="0" w:val="nil"/>
          <w:right w:space="0" w:sz="0" w:val="nil"/>
          <w:between w:space="0" w:sz="0" w:val="nil"/>
        </w:pBdr>
        <w:spacing w:after="0" w:line="480" w:lineRule="auto"/>
        <w:ind w:left="440" w:hanging="440"/>
        <w:rPr>
          <w:color w:val="000000"/>
        </w:rPr>
      </w:pPr>
      <w:r w:rsidDel="00000000" w:rsidR="00000000" w:rsidRPr="00000000">
        <w:rPr>
          <w:color w:val="000000"/>
          <w:rtl w:val="0"/>
        </w:rPr>
        <w:t xml:space="preserve">15.</w:t>
        <w:tab/>
      </w:r>
      <w:hyperlink r:id="rId278">
        <w:r w:rsidDel="00000000" w:rsidR="00000000" w:rsidRPr="00000000">
          <w:rPr>
            <w:color w:val="000000"/>
            <w:rtl w:val="0"/>
          </w:rPr>
          <w:t xml:space="preserve">Philp, Brian. &amp; Kent Archaeological Rescue Unit. </w:t>
        </w:r>
      </w:hyperlink>
      <w:hyperlink r:id="rId279">
        <w:r w:rsidDel="00000000" w:rsidR="00000000" w:rsidRPr="00000000">
          <w:rPr>
            <w:i w:val="1"/>
            <w:color w:val="000000"/>
            <w:rtl w:val="0"/>
          </w:rPr>
          <w:t xml:space="preserve">The Anglo-Saxon cemetery at Polhill near Sevenoaks, Kent 1964-1986</w:t>
        </w:r>
      </w:hyperlink>
      <w:hyperlink r:id="rId280">
        <w:r w:rsidDel="00000000" w:rsidR="00000000" w:rsidRPr="00000000">
          <w:rPr>
            <w:color w:val="000000"/>
            <w:rtl w:val="0"/>
          </w:rPr>
          <w:t xml:space="preserve">. (Kent Archaeological Rescue Unit, 2002).</w:t>
        </w:r>
      </w:hyperlink>
      <w:r w:rsidDel="00000000" w:rsidR="00000000" w:rsidRPr="00000000">
        <w:rPr>
          <w:rtl w:val="0"/>
        </w:rPr>
      </w:r>
    </w:p>
    <w:p w:rsidR="00000000" w:rsidDel="00000000" w:rsidP="00000000" w:rsidRDefault="00000000" w:rsidRPr="00000000" w14:paraId="000008E5">
      <w:pPr>
        <w:widowControl w:val="0"/>
        <w:pBdr>
          <w:top w:space="0" w:sz="0" w:val="nil"/>
          <w:left w:space="0" w:sz="0" w:val="nil"/>
          <w:bottom w:space="0" w:sz="0" w:val="nil"/>
          <w:right w:space="0" w:sz="0" w:val="nil"/>
          <w:between w:space="0" w:sz="0" w:val="nil"/>
        </w:pBdr>
        <w:spacing w:after="0" w:line="480" w:lineRule="auto"/>
        <w:ind w:left="440" w:hanging="440"/>
        <w:rPr>
          <w:color w:val="000000"/>
        </w:rPr>
      </w:pPr>
      <w:r w:rsidDel="00000000" w:rsidR="00000000" w:rsidRPr="00000000">
        <w:rPr>
          <w:color w:val="000000"/>
          <w:rtl w:val="0"/>
        </w:rPr>
        <w:t xml:space="preserve">16.</w:t>
        <w:tab/>
      </w:r>
      <w:hyperlink r:id="rId281">
        <w:r w:rsidDel="00000000" w:rsidR="00000000" w:rsidRPr="00000000">
          <w:rPr>
            <w:color w:val="000000"/>
            <w:rtl w:val="0"/>
          </w:rPr>
          <w:t xml:space="preserve">Bell, M. Excavations at Bishopstone. </w:t>
        </w:r>
      </w:hyperlink>
      <w:hyperlink r:id="rId282">
        <w:r w:rsidDel="00000000" w:rsidR="00000000" w:rsidRPr="00000000">
          <w:rPr>
            <w:i w:val="1"/>
            <w:color w:val="000000"/>
            <w:rtl w:val="0"/>
          </w:rPr>
          <w:t xml:space="preserve">Sussex Archaeological Collections</w:t>
        </w:r>
      </w:hyperlink>
      <w:hyperlink r:id="rId283">
        <w:r w:rsidDel="00000000" w:rsidR="00000000" w:rsidRPr="00000000">
          <w:rPr>
            <w:color w:val="000000"/>
            <w:rtl w:val="0"/>
          </w:rPr>
          <w:t xml:space="preserve"> </w:t>
        </w:r>
      </w:hyperlink>
      <w:hyperlink r:id="rId284">
        <w:r w:rsidDel="00000000" w:rsidR="00000000" w:rsidRPr="00000000">
          <w:rPr>
            <w:b w:val="1"/>
            <w:color w:val="000000"/>
            <w:rtl w:val="0"/>
          </w:rPr>
          <w:t xml:space="preserve">115</w:t>
        </w:r>
      </w:hyperlink>
      <w:hyperlink r:id="rId285">
        <w:r w:rsidDel="00000000" w:rsidR="00000000" w:rsidRPr="00000000">
          <w:rPr>
            <w:color w:val="000000"/>
            <w:rtl w:val="0"/>
          </w:rPr>
          <w:t xml:space="preserve">, (1977).</w:t>
        </w:r>
      </w:hyperlink>
      <w:r w:rsidDel="00000000" w:rsidR="00000000" w:rsidRPr="00000000">
        <w:rPr>
          <w:rtl w:val="0"/>
        </w:rPr>
      </w:r>
    </w:p>
    <w:p w:rsidR="00000000" w:rsidDel="00000000" w:rsidP="00000000" w:rsidRDefault="00000000" w:rsidRPr="00000000" w14:paraId="000008E6">
      <w:pPr>
        <w:widowControl w:val="0"/>
        <w:pBdr>
          <w:top w:space="0" w:sz="0" w:val="nil"/>
          <w:left w:space="0" w:sz="0" w:val="nil"/>
          <w:bottom w:space="0" w:sz="0" w:val="nil"/>
          <w:right w:space="0" w:sz="0" w:val="nil"/>
          <w:between w:space="0" w:sz="0" w:val="nil"/>
        </w:pBdr>
        <w:spacing w:after="0" w:line="480" w:lineRule="auto"/>
        <w:ind w:left="440" w:hanging="440"/>
        <w:rPr>
          <w:color w:val="000000"/>
        </w:rPr>
      </w:pPr>
      <w:r w:rsidDel="00000000" w:rsidR="00000000" w:rsidRPr="00000000">
        <w:rPr>
          <w:color w:val="000000"/>
          <w:rtl w:val="0"/>
        </w:rPr>
        <w:t xml:space="preserve">17.</w:t>
        <w:tab/>
      </w:r>
      <w:hyperlink r:id="rId286">
        <w:r w:rsidDel="00000000" w:rsidR="00000000" w:rsidRPr="00000000">
          <w:rPr>
            <w:color w:val="000000"/>
            <w:rtl w:val="0"/>
          </w:rPr>
          <w:t xml:space="preserve">Baldry, R. </w:t>
        </w:r>
      </w:hyperlink>
      <w:hyperlink r:id="rId287">
        <w:r w:rsidDel="00000000" w:rsidR="00000000" w:rsidRPr="00000000">
          <w:rPr>
            <w:i w:val="1"/>
            <w:color w:val="000000"/>
            <w:rtl w:val="0"/>
          </w:rPr>
          <w:t xml:space="preserve">et al.</w:t>
        </w:r>
      </w:hyperlink>
      <w:hyperlink r:id="rId288">
        <w:r w:rsidDel="00000000" w:rsidR="00000000" w:rsidRPr="00000000">
          <w:rPr>
            <w:color w:val="000000"/>
            <w:rtl w:val="0"/>
          </w:rPr>
          <w:t xml:space="preserve"> The People of Anglo-Saxon Sedgeford. in </w:t>
        </w:r>
      </w:hyperlink>
      <w:hyperlink r:id="rId289">
        <w:r w:rsidDel="00000000" w:rsidR="00000000" w:rsidRPr="00000000">
          <w:rPr>
            <w:i w:val="1"/>
            <w:color w:val="000000"/>
            <w:rtl w:val="0"/>
          </w:rPr>
          <w:t xml:space="preserve">.The Sedgeford Historical and Archaeological Research Project (SHARP) Team. Digging Sedgeford: A people’s archaeology</w:t>
        </w:r>
      </w:hyperlink>
      <w:hyperlink r:id="rId290">
        <w:r w:rsidDel="00000000" w:rsidR="00000000" w:rsidRPr="00000000">
          <w:rPr>
            <w:color w:val="000000"/>
            <w:rtl w:val="0"/>
          </w:rPr>
          <w:t xml:space="preserve"> (eds. Faulkner, N., Rossin, G. &amp; Robinson, K.) 137–166 (Poppyland Publishing, 2014).</w:t>
        </w:r>
      </w:hyperlink>
      <w:r w:rsidDel="00000000" w:rsidR="00000000" w:rsidRPr="00000000">
        <w:rPr>
          <w:rtl w:val="0"/>
        </w:rPr>
      </w:r>
    </w:p>
    <w:p w:rsidR="00000000" w:rsidDel="00000000" w:rsidP="00000000" w:rsidRDefault="00000000" w:rsidRPr="00000000" w14:paraId="000008E7">
      <w:pPr>
        <w:widowControl w:val="0"/>
        <w:pBdr>
          <w:top w:space="0" w:sz="0" w:val="nil"/>
          <w:left w:space="0" w:sz="0" w:val="nil"/>
          <w:bottom w:space="0" w:sz="0" w:val="nil"/>
          <w:right w:space="0" w:sz="0" w:val="nil"/>
          <w:between w:space="0" w:sz="0" w:val="nil"/>
        </w:pBdr>
        <w:spacing w:after="0" w:line="480" w:lineRule="auto"/>
        <w:ind w:left="440" w:hanging="440"/>
        <w:rPr>
          <w:color w:val="000000"/>
        </w:rPr>
      </w:pPr>
      <w:r w:rsidDel="00000000" w:rsidR="00000000" w:rsidRPr="00000000">
        <w:rPr>
          <w:color w:val="000000"/>
          <w:rtl w:val="0"/>
        </w:rPr>
        <w:t xml:space="preserve">18.</w:t>
        <w:tab/>
      </w:r>
      <w:hyperlink r:id="rId291">
        <w:r w:rsidDel="00000000" w:rsidR="00000000" w:rsidRPr="00000000">
          <w:rPr>
            <w:color w:val="000000"/>
            <w:rtl w:val="0"/>
          </w:rPr>
          <w:t xml:space="preserve">Kruz, A. Radiocarbon Dating and Bayesian Modelling of the Post-Roman Cemetery. in </w:t>
        </w:r>
      </w:hyperlink>
      <w:hyperlink r:id="rId292">
        <w:r w:rsidDel="00000000" w:rsidR="00000000" w:rsidRPr="00000000">
          <w:rPr>
            <w:i w:val="1"/>
            <w:color w:val="000000"/>
            <w:rtl w:val="0"/>
          </w:rPr>
          <w:t xml:space="preserve">Multi-Period Occupation at Football Field, Worth Matravers, Dorset 2006-2011</w:t>
        </w:r>
      </w:hyperlink>
      <w:hyperlink r:id="rId293">
        <w:r w:rsidDel="00000000" w:rsidR="00000000" w:rsidRPr="00000000">
          <w:rPr>
            <w:color w:val="000000"/>
            <w:rtl w:val="0"/>
          </w:rPr>
          <w:t xml:space="preserve"> (ed. Ladle, L.) vol. 643 (2018).</w:t>
        </w:r>
      </w:hyperlink>
      <w:r w:rsidDel="00000000" w:rsidR="00000000" w:rsidRPr="00000000">
        <w:rPr>
          <w:rtl w:val="0"/>
        </w:rPr>
      </w:r>
    </w:p>
    <w:p w:rsidR="00000000" w:rsidDel="00000000" w:rsidP="00000000" w:rsidRDefault="00000000" w:rsidRPr="00000000" w14:paraId="000008E8">
      <w:pPr>
        <w:widowControl w:val="0"/>
        <w:pBdr>
          <w:top w:space="0" w:sz="0" w:val="nil"/>
          <w:left w:space="0" w:sz="0" w:val="nil"/>
          <w:bottom w:space="0" w:sz="0" w:val="nil"/>
          <w:right w:space="0" w:sz="0" w:val="nil"/>
          <w:between w:space="0" w:sz="0" w:val="nil"/>
        </w:pBdr>
        <w:spacing w:after="0" w:line="480" w:lineRule="auto"/>
        <w:ind w:left="440" w:hanging="440"/>
        <w:rPr>
          <w:color w:val="000000"/>
        </w:rPr>
      </w:pPr>
      <w:r w:rsidDel="00000000" w:rsidR="00000000" w:rsidRPr="00000000">
        <w:rPr>
          <w:color w:val="000000"/>
          <w:rtl w:val="0"/>
        </w:rPr>
        <w:t xml:space="preserve">19.</w:t>
        <w:tab/>
      </w:r>
      <w:hyperlink r:id="rId294">
        <w:r w:rsidDel="00000000" w:rsidR="00000000" w:rsidRPr="00000000">
          <w:rPr>
            <w:color w:val="000000"/>
            <w:rtl w:val="0"/>
          </w:rPr>
          <w:t xml:space="preserve">Metcalf, D. M. Some further reflections on the volume of the German coinage in the Salian Period (1024-1125). in </w:t>
        </w:r>
      </w:hyperlink>
      <w:hyperlink r:id="rId295">
        <w:r w:rsidDel="00000000" w:rsidR="00000000" w:rsidRPr="00000000">
          <w:rPr>
            <w:i w:val="1"/>
            <w:color w:val="000000"/>
            <w:rtl w:val="0"/>
          </w:rPr>
          <w:t xml:space="preserve">Fernhandel und Geldwirschaft. Beiträge zum deutschen Münzwesen in sächsischer Zeit. Ergebnisse des Dannenber-Kolloquiums 1990</w:t>
        </w:r>
      </w:hyperlink>
      <w:hyperlink r:id="rId296">
        <w:r w:rsidDel="00000000" w:rsidR="00000000" w:rsidRPr="00000000">
          <w:rPr>
            <w:color w:val="000000"/>
            <w:rtl w:val="0"/>
          </w:rPr>
          <w:t xml:space="preserve"> (ed. Kluge, B.) (Thorbecke, 1993).</w:t>
        </w:r>
      </w:hyperlink>
      <w:r w:rsidDel="00000000" w:rsidR="00000000" w:rsidRPr="00000000">
        <w:rPr>
          <w:rtl w:val="0"/>
        </w:rPr>
      </w:r>
    </w:p>
    <w:p w:rsidR="00000000" w:rsidDel="00000000" w:rsidP="00000000" w:rsidRDefault="00000000" w:rsidRPr="00000000" w14:paraId="000008E9">
      <w:pPr>
        <w:widowControl w:val="0"/>
        <w:pBdr>
          <w:top w:space="0" w:sz="0" w:val="nil"/>
          <w:left w:space="0" w:sz="0" w:val="nil"/>
          <w:bottom w:space="0" w:sz="0" w:val="nil"/>
          <w:right w:space="0" w:sz="0" w:val="nil"/>
          <w:between w:space="0" w:sz="0" w:val="nil"/>
        </w:pBdr>
        <w:spacing w:after="0" w:line="480" w:lineRule="auto"/>
        <w:ind w:left="440" w:hanging="440"/>
        <w:rPr>
          <w:color w:val="000000"/>
        </w:rPr>
      </w:pPr>
      <w:r w:rsidDel="00000000" w:rsidR="00000000" w:rsidRPr="00000000">
        <w:rPr>
          <w:color w:val="000000"/>
          <w:rtl w:val="0"/>
        </w:rPr>
        <w:t xml:space="preserve">20.</w:t>
        <w:tab/>
      </w:r>
      <w:hyperlink r:id="rId297">
        <w:r w:rsidDel="00000000" w:rsidR="00000000" w:rsidRPr="00000000">
          <w:rPr>
            <w:color w:val="000000"/>
            <w:rtl w:val="0"/>
          </w:rPr>
          <w:t xml:space="preserve">Tuin, B. P. Historie. in </w:t>
        </w:r>
      </w:hyperlink>
      <w:hyperlink r:id="rId298">
        <w:r w:rsidDel="00000000" w:rsidR="00000000" w:rsidRPr="00000000">
          <w:rPr>
            <w:i w:val="1"/>
            <w:color w:val="000000"/>
            <w:rtl w:val="0"/>
          </w:rPr>
          <w:t xml:space="preserve">Opgravingen aan de Grote Markt Oostzijde, gemeente Groningen Archeologisch onderzoek-deel 1: Algemeen</w:t>
        </w:r>
      </w:hyperlink>
      <w:hyperlink r:id="rId299">
        <w:r w:rsidDel="00000000" w:rsidR="00000000" w:rsidRPr="00000000">
          <w:rPr>
            <w:color w:val="000000"/>
            <w:rtl w:val="0"/>
          </w:rPr>
          <w:t xml:space="preserve"> (ed. Huis in ’t Veld, J. Y.) vols 3300-1 (Raap-Rapport).</w:t>
        </w:r>
      </w:hyperlink>
      <w:r w:rsidDel="00000000" w:rsidR="00000000" w:rsidRPr="00000000">
        <w:rPr>
          <w:rtl w:val="0"/>
        </w:rPr>
      </w:r>
    </w:p>
    <w:p w:rsidR="00000000" w:rsidDel="00000000" w:rsidP="00000000" w:rsidRDefault="00000000" w:rsidRPr="00000000" w14:paraId="000008EA">
      <w:pPr>
        <w:widowControl w:val="0"/>
        <w:pBdr>
          <w:top w:space="0" w:sz="0" w:val="nil"/>
          <w:left w:space="0" w:sz="0" w:val="nil"/>
          <w:bottom w:space="0" w:sz="0" w:val="nil"/>
          <w:right w:space="0" w:sz="0" w:val="nil"/>
          <w:between w:space="0" w:sz="0" w:val="nil"/>
        </w:pBdr>
        <w:spacing w:after="0" w:line="480" w:lineRule="auto"/>
        <w:ind w:left="440" w:hanging="440"/>
        <w:rPr>
          <w:color w:val="000000"/>
        </w:rPr>
      </w:pPr>
      <w:r w:rsidDel="00000000" w:rsidR="00000000" w:rsidRPr="00000000">
        <w:rPr>
          <w:color w:val="000000"/>
          <w:rtl w:val="0"/>
        </w:rPr>
        <w:t xml:space="preserve">21.</w:t>
        <w:tab/>
      </w:r>
      <w:hyperlink r:id="rId300">
        <w:r w:rsidDel="00000000" w:rsidR="00000000" w:rsidRPr="00000000">
          <w:rPr>
            <w:color w:val="000000"/>
            <w:rtl w:val="0"/>
          </w:rPr>
          <w:t xml:space="preserve">Tuin, B. P. Geschiedenis van het Martini-kerhof als begraafplaats. in </w:t>
        </w:r>
      </w:hyperlink>
      <w:hyperlink r:id="rId301">
        <w:r w:rsidDel="00000000" w:rsidR="00000000" w:rsidRPr="00000000">
          <w:rPr>
            <w:i w:val="1"/>
            <w:color w:val="000000"/>
            <w:rtl w:val="0"/>
          </w:rPr>
          <w:t xml:space="preserve">Opgravingen aan de Grote Markt Oostzijde, gemeente Groningen Archeologisch onderzoek-deel 4: Martinikerkhof</w:t>
        </w:r>
      </w:hyperlink>
      <w:hyperlink r:id="rId302">
        <w:r w:rsidDel="00000000" w:rsidR="00000000" w:rsidRPr="00000000">
          <w:rPr>
            <w:color w:val="000000"/>
            <w:rtl w:val="0"/>
          </w:rPr>
          <w:t xml:space="preserve"> (ed. Tuin, B. P.) vols 3300-4.</w:t>
        </w:r>
      </w:hyperlink>
      <w:r w:rsidDel="00000000" w:rsidR="00000000" w:rsidRPr="00000000">
        <w:rPr>
          <w:rtl w:val="0"/>
        </w:rPr>
      </w:r>
    </w:p>
    <w:p w:rsidR="00000000" w:rsidDel="00000000" w:rsidP="00000000" w:rsidRDefault="00000000" w:rsidRPr="00000000" w14:paraId="000008EB">
      <w:pPr>
        <w:widowControl w:val="0"/>
        <w:pBdr>
          <w:top w:space="0" w:sz="0" w:val="nil"/>
          <w:left w:space="0" w:sz="0" w:val="nil"/>
          <w:bottom w:space="0" w:sz="0" w:val="nil"/>
          <w:right w:space="0" w:sz="0" w:val="nil"/>
          <w:between w:space="0" w:sz="0" w:val="nil"/>
        </w:pBdr>
        <w:spacing w:after="0" w:line="480" w:lineRule="auto"/>
        <w:ind w:left="440" w:hanging="440"/>
        <w:rPr>
          <w:color w:val="000000"/>
        </w:rPr>
      </w:pPr>
      <w:r w:rsidDel="00000000" w:rsidR="00000000" w:rsidRPr="00000000">
        <w:rPr>
          <w:color w:val="000000"/>
          <w:rtl w:val="0"/>
        </w:rPr>
        <w:t xml:space="preserve">22.</w:t>
        <w:tab/>
      </w:r>
      <w:hyperlink r:id="rId303">
        <w:r w:rsidDel="00000000" w:rsidR="00000000" w:rsidRPr="00000000">
          <w:rPr>
            <w:color w:val="000000"/>
            <w:rtl w:val="0"/>
          </w:rPr>
          <w:t xml:space="preserve">Baetsen. Fysisch-antropologisch onderzoek. in </w:t>
        </w:r>
      </w:hyperlink>
      <w:hyperlink r:id="rId304">
        <w:r w:rsidDel="00000000" w:rsidR="00000000" w:rsidRPr="00000000">
          <w:rPr>
            <w:i w:val="1"/>
            <w:color w:val="000000"/>
            <w:rtl w:val="0"/>
          </w:rPr>
          <w:t xml:space="preserve">Opgravingen aan de Grote Markt Oostzijde, gemeente Groningen Archeologisch onderzoek-deel 4: Martinikerkhof</w:t>
        </w:r>
      </w:hyperlink>
      <w:hyperlink r:id="rId305">
        <w:r w:rsidDel="00000000" w:rsidR="00000000" w:rsidRPr="00000000">
          <w:rPr>
            <w:color w:val="000000"/>
            <w:rtl w:val="0"/>
          </w:rPr>
          <w:t xml:space="preserve"> (ed. Tuin, B. P.) vols 3300-4 (2018).</w:t>
        </w:r>
      </w:hyperlink>
      <w:r w:rsidDel="00000000" w:rsidR="00000000" w:rsidRPr="00000000">
        <w:rPr>
          <w:rtl w:val="0"/>
        </w:rPr>
      </w:r>
    </w:p>
    <w:p w:rsidR="00000000" w:rsidDel="00000000" w:rsidP="00000000" w:rsidRDefault="00000000" w:rsidRPr="00000000" w14:paraId="000008EC">
      <w:pPr>
        <w:widowControl w:val="0"/>
        <w:pBdr>
          <w:top w:space="0" w:sz="0" w:val="nil"/>
          <w:left w:space="0" w:sz="0" w:val="nil"/>
          <w:bottom w:space="0" w:sz="0" w:val="nil"/>
          <w:right w:space="0" w:sz="0" w:val="nil"/>
          <w:between w:space="0" w:sz="0" w:val="nil"/>
        </w:pBdr>
        <w:spacing w:after="0" w:line="480" w:lineRule="auto"/>
        <w:ind w:left="440" w:hanging="440"/>
        <w:rPr>
          <w:color w:val="000000"/>
        </w:rPr>
      </w:pPr>
      <w:r w:rsidDel="00000000" w:rsidR="00000000" w:rsidRPr="00000000">
        <w:rPr>
          <w:color w:val="000000"/>
          <w:rtl w:val="0"/>
        </w:rPr>
        <w:t xml:space="preserve">23.</w:t>
        <w:tab/>
      </w:r>
      <w:hyperlink r:id="rId306">
        <w:r w:rsidDel="00000000" w:rsidR="00000000" w:rsidRPr="00000000">
          <w:rPr>
            <w:color w:val="000000"/>
            <w:rtl w:val="0"/>
          </w:rPr>
          <w:t xml:space="preserve">Kootker, L. M. Isotopenonderzoek menselijke resten Martinikerkhof. in </w:t>
        </w:r>
      </w:hyperlink>
      <w:hyperlink r:id="rId307">
        <w:r w:rsidDel="00000000" w:rsidR="00000000" w:rsidRPr="00000000">
          <w:rPr>
            <w:i w:val="1"/>
            <w:color w:val="000000"/>
            <w:rtl w:val="0"/>
          </w:rPr>
          <w:t xml:space="preserve">Opgravingen aan de Grote Markt Oostzijde, gemeente Groningen Archeologisch onderzoek-deel 4: Martinikerkhof</w:t>
        </w:r>
      </w:hyperlink>
      <w:hyperlink r:id="rId308">
        <w:r w:rsidDel="00000000" w:rsidR="00000000" w:rsidRPr="00000000">
          <w:rPr>
            <w:color w:val="000000"/>
            <w:rtl w:val="0"/>
          </w:rPr>
          <w:t xml:space="preserve"> (ed. Tuin, B. P.) vols 3300-4 (2018).</w:t>
        </w:r>
      </w:hyperlink>
      <w:r w:rsidDel="00000000" w:rsidR="00000000" w:rsidRPr="00000000">
        <w:rPr>
          <w:rtl w:val="0"/>
        </w:rPr>
      </w:r>
    </w:p>
    <w:p w:rsidR="00000000" w:rsidDel="00000000" w:rsidP="00000000" w:rsidRDefault="00000000" w:rsidRPr="00000000" w14:paraId="000008ED">
      <w:pPr>
        <w:widowControl w:val="0"/>
        <w:pBdr>
          <w:top w:space="0" w:sz="0" w:val="nil"/>
          <w:left w:space="0" w:sz="0" w:val="nil"/>
          <w:bottom w:space="0" w:sz="0" w:val="nil"/>
          <w:right w:space="0" w:sz="0" w:val="nil"/>
          <w:between w:space="0" w:sz="0" w:val="nil"/>
        </w:pBdr>
        <w:spacing w:after="0" w:line="480" w:lineRule="auto"/>
        <w:ind w:left="440" w:hanging="440"/>
        <w:rPr>
          <w:color w:val="000000"/>
        </w:rPr>
      </w:pPr>
      <w:r w:rsidDel="00000000" w:rsidR="00000000" w:rsidRPr="00000000">
        <w:rPr>
          <w:color w:val="000000"/>
          <w:rtl w:val="0"/>
        </w:rPr>
        <w:t xml:space="preserve">24.</w:t>
        <w:tab/>
      </w:r>
      <w:hyperlink r:id="rId309">
        <w:r w:rsidDel="00000000" w:rsidR="00000000" w:rsidRPr="00000000">
          <w:rPr>
            <w:color w:val="000000"/>
            <w:rtl w:val="0"/>
          </w:rPr>
          <w:t xml:space="preserve">Hielkema, J. B. Synthese en conclusies. in </w:t>
        </w:r>
      </w:hyperlink>
      <w:hyperlink r:id="rId310">
        <w:r w:rsidDel="00000000" w:rsidR="00000000" w:rsidRPr="00000000">
          <w:rPr>
            <w:i w:val="1"/>
            <w:color w:val="000000"/>
            <w:rtl w:val="0"/>
          </w:rPr>
          <w:t xml:space="preserve">‘Dames van Midlum’. Opgraving terprestant Midlum-zuid; N31 Traverse te Harlingen, gemeente Harlingen; archeologisch onderzoek: een opgraving</w:t>
        </w:r>
      </w:hyperlink>
      <w:hyperlink r:id="rId311">
        <w:r w:rsidDel="00000000" w:rsidR="00000000" w:rsidRPr="00000000">
          <w:rPr>
            <w:color w:val="000000"/>
            <w:rtl w:val="0"/>
          </w:rPr>
          <w:t xml:space="preserve"> (ed. Hielkema, J. B.) vol. 3299 (2017).</w:t>
        </w:r>
      </w:hyperlink>
      <w:r w:rsidDel="00000000" w:rsidR="00000000" w:rsidRPr="00000000">
        <w:rPr>
          <w:rtl w:val="0"/>
        </w:rPr>
      </w:r>
    </w:p>
    <w:p w:rsidR="00000000" w:rsidDel="00000000" w:rsidP="00000000" w:rsidRDefault="00000000" w:rsidRPr="00000000" w14:paraId="000008EE">
      <w:pPr>
        <w:widowControl w:val="0"/>
        <w:pBdr>
          <w:top w:space="0" w:sz="0" w:val="nil"/>
          <w:left w:space="0" w:sz="0" w:val="nil"/>
          <w:bottom w:space="0" w:sz="0" w:val="nil"/>
          <w:right w:space="0" w:sz="0" w:val="nil"/>
          <w:between w:space="0" w:sz="0" w:val="nil"/>
        </w:pBdr>
        <w:spacing w:after="0" w:line="480" w:lineRule="auto"/>
        <w:ind w:left="440" w:hanging="440"/>
        <w:rPr>
          <w:color w:val="000000"/>
        </w:rPr>
      </w:pPr>
      <w:r w:rsidDel="00000000" w:rsidR="00000000" w:rsidRPr="00000000">
        <w:rPr>
          <w:color w:val="000000"/>
          <w:rtl w:val="0"/>
        </w:rPr>
        <w:t xml:space="preserve">25.</w:t>
        <w:tab/>
      </w:r>
      <w:hyperlink r:id="rId312">
        <w:r w:rsidDel="00000000" w:rsidR="00000000" w:rsidRPr="00000000">
          <w:rPr>
            <w:color w:val="000000"/>
            <w:rtl w:val="0"/>
          </w:rPr>
          <w:t xml:space="preserve">Baetsen, S. Menselijk Botmateriaal. in </w:t>
        </w:r>
      </w:hyperlink>
      <w:hyperlink r:id="rId313">
        <w:r w:rsidDel="00000000" w:rsidR="00000000" w:rsidRPr="00000000">
          <w:rPr>
            <w:i w:val="1"/>
            <w:color w:val="000000"/>
            <w:rtl w:val="0"/>
          </w:rPr>
          <w:t xml:space="preserve">‘Dames van Midlum’. Opgraving terprestant Midlum-zuid; N31 Traverse te Harlingen, gemeente Harlingen; archeologisch onderzoek: een opgraving</w:t>
        </w:r>
      </w:hyperlink>
      <w:hyperlink r:id="rId314">
        <w:r w:rsidDel="00000000" w:rsidR="00000000" w:rsidRPr="00000000">
          <w:rPr>
            <w:color w:val="000000"/>
            <w:rtl w:val="0"/>
          </w:rPr>
          <w:t xml:space="preserve"> (ed. Hielkema, J. B.) vol. 3299 (2017).</w:t>
        </w:r>
      </w:hyperlink>
      <w:r w:rsidDel="00000000" w:rsidR="00000000" w:rsidRPr="00000000">
        <w:rPr>
          <w:rtl w:val="0"/>
        </w:rPr>
      </w:r>
    </w:p>
    <w:p w:rsidR="00000000" w:rsidDel="00000000" w:rsidP="00000000" w:rsidRDefault="00000000" w:rsidRPr="00000000" w14:paraId="000008EF">
      <w:pPr>
        <w:widowControl w:val="0"/>
        <w:pBdr>
          <w:top w:space="0" w:sz="0" w:val="nil"/>
          <w:left w:space="0" w:sz="0" w:val="nil"/>
          <w:bottom w:space="0" w:sz="0" w:val="nil"/>
          <w:right w:space="0" w:sz="0" w:val="nil"/>
          <w:between w:space="0" w:sz="0" w:val="nil"/>
        </w:pBdr>
        <w:spacing w:after="0" w:line="480" w:lineRule="auto"/>
        <w:ind w:left="440" w:hanging="440"/>
        <w:rPr>
          <w:color w:val="000000"/>
        </w:rPr>
      </w:pPr>
      <w:r w:rsidDel="00000000" w:rsidR="00000000" w:rsidRPr="00000000">
        <w:rPr>
          <w:color w:val="000000"/>
          <w:rtl w:val="0"/>
        </w:rPr>
        <w:t xml:space="preserve">26.</w:t>
        <w:tab/>
      </w:r>
      <w:hyperlink r:id="rId315">
        <w:r w:rsidDel="00000000" w:rsidR="00000000" w:rsidRPr="00000000">
          <w:rPr>
            <w:color w:val="000000"/>
            <w:rtl w:val="0"/>
          </w:rPr>
          <w:t xml:space="preserve">Hielkema, J. B. Grondsporen en structuren. in </w:t>
        </w:r>
      </w:hyperlink>
      <w:hyperlink r:id="rId316">
        <w:r w:rsidDel="00000000" w:rsidR="00000000" w:rsidRPr="00000000">
          <w:rPr>
            <w:i w:val="1"/>
            <w:color w:val="000000"/>
            <w:rtl w:val="0"/>
          </w:rPr>
          <w:t xml:space="preserve">‘Dames van Midlum’. Opgraving terprestant Midlum-zuid; N31 Traverse te Harlingen, gemeente Harlingen; archeologisch onderzoek: een opgraving</w:t>
        </w:r>
      </w:hyperlink>
      <w:hyperlink r:id="rId317">
        <w:r w:rsidDel="00000000" w:rsidR="00000000" w:rsidRPr="00000000">
          <w:rPr>
            <w:color w:val="000000"/>
            <w:rtl w:val="0"/>
          </w:rPr>
          <w:t xml:space="preserve"> (ed. Hielkema, J. B.) vol. 3299 (2017).</w:t>
        </w:r>
      </w:hyperlink>
      <w:r w:rsidDel="00000000" w:rsidR="00000000" w:rsidRPr="00000000">
        <w:rPr>
          <w:rtl w:val="0"/>
        </w:rPr>
      </w:r>
    </w:p>
    <w:p w:rsidR="00000000" w:rsidDel="00000000" w:rsidP="00000000" w:rsidRDefault="00000000" w:rsidRPr="00000000" w14:paraId="000008F0">
      <w:pPr>
        <w:widowControl w:val="0"/>
        <w:pBdr>
          <w:top w:space="0" w:sz="0" w:val="nil"/>
          <w:left w:space="0" w:sz="0" w:val="nil"/>
          <w:bottom w:space="0" w:sz="0" w:val="nil"/>
          <w:right w:space="0" w:sz="0" w:val="nil"/>
          <w:between w:space="0" w:sz="0" w:val="nil"/>
        </w:pBdr>
        <w:spacing w:after="0" w:line="480" w:lineRule="auto"/>
        <w:ind w:left="440" w:hanging="440"/>
        <w:rPr>
          <w:color w:val="000000"/>
        </w:rPr>
      </w:pPr>
      <w:r w:rsidDel="00000000" w:rsidR="00000000" w:rsidRPr="00000000">
        <w:rPr>
          <w:color w:val="000000"/>
          <w:rtl w:val="0"/>
        </w:rPr>
        <w:t xml:space="preserve">27.</w:t>
        <w:tab/>
      </w:r>
      <w:hyperlink r:id="rId318">
        <w:r w:rsidDel="00000000" w:rsidR="00000000" w:rsidRPr="00000000">
          <w:rPr>
            <w:color w:val="000000"/>
            <w:rtl w:val="0"/>
          </w:rPr>
          <w:t xml:space="preserve">Kootker, L. M. Isotopenonderzoek naar de herkomst van zes individuen uit Harlingen. in </w:t>
        </w:r>
      </w:hyperlink>
      <w:hyperlink r:id="rId319">
        <w:r w:rsidDel="00000000" w:rsidR="00000000" w:rsidRPr="00000000">
          <w:rPr>
            <w:i w:val="1"/>
            <w:color w:val="000000"/>
            <w:rtl w:val="0"/>
          </w:rPr>
          <w:t xml:space="preserve">‘Dames van Midlum’. Opgraving terprestant Midlum-zuid; N31 Traverse te Harlingen, gemeente Harlingen; archeologisch onderzoek: een opgraving</w:t>
        </w:r>
      </w:hyperlink>
      <w:hyperlink r:id="rId320">
        <w:r w:rsidDel="00000000" w:rsidR="00000000" w:rsidRPr="00000000">
          <w:rPr>
            <w:color w:val="000000"/>
            <w:rtl w:val="0"/>
          </w:rPr>
          <w:t xml:space="preserve"> (ed. Hielkema, J. B.) vol. 3299 (2017).</w:t>
        </w:r>
      </w:hyperlink>
      <w:r w:rsidDel="00000000" w:rsidR="00000000" w:rsidRPr="00000000">
        <w:rPr>
          <w:rtl w:val="0"/>
        </w:rPr>
      </w:r>
    </w:p>
    <w:p w:rsidR="00000000" w:rsidDel="00000000" w:rsidP="00000000" w:rsidRDefault="00000000" w:rsidRPr="00000000" w14:paraId="000008F1">
      <w:pPr>
        <w:widowControl w:val="0"/>
        <w:pBdr>
          <w:top w:space="0" w:sz="0" w:val="nil"/>
          <w:left w:space="0" w:sz="0" w:val="nil"/>
          <w:bottom w:space="0" w:sz="0" w:val="nil"/>
          <w:right w:space="0" w:sz="0" w:val="nil"/>
          <w:between w:space="0" w:sz="0" w:val="nil"/>
        </w:pBdr>
        <w:spacing w:after="0" w:line="480" w:lineRule="auto"/>
        <w:ind w:left="440" w:hanging="440"/>
        <w:rPr>
          <w:color w:val="000000"/>
        </w:rPr>
      </w:pPr>
      <w:r w:rsidDel="00000000" w:rsidR="00000000" w:rsidRPr="00000000">
        <w:rPr>
          <w:color w:val="000000"/>
          <w:rtl w:val="0"/>
        </w:rPr>
        <w:t xml:space="preserve">28.</w:t>
        <w:tab/>
      </w:r>
      <w:hyperlink r:id="rId321">
        <w:r w:rsidDel="00000000" w:rsidR="00000000" w:rsidRPr="00000000">
          <w:rPr>
            <w:color w:val="000000"/>
            <w:rtl w:val="0"/>
          </w:rPr>
          <w:t xml:space="preserve">Schmid, P. Das frühmittelalterliche Gräberfeld von Dunum, Kreis Wittmund (Ostfriesland). </w:t>
        </w:r>
      </w:hyperlink>
      <w:hyperlink r:id="rId322">
        <w:r w:rsidDel="00000000" w:rsidR="00000000" w:rsidRPr="00000000">
          <w:rPr>
            <w:i w:val="1"/>
            <w:color w:val="000000"/>
            <w:rtl w:val="0"/>
          </w:rPr>
          <w:t xml:space="preserve">Nachrichten aus Niedersachsens Urgeschichte</w:t>
        </w:r>
      </w:hyperlink>
      <w:hyperlink r:id="rId323">
        <w:r w:rsidDel="00000000" w:rsidR="00000000" w:rsidRPr="00000000">
          <w:rPr>
            <w:color w:val="000000"/>
            <w:rtl w:val="0"/>
          </w:rPr>
          <w:t xml:space="preserve"> </w:t>
        </w:r>
      </w:hyperlink>
      <w:hyperlink r:id="rId324">
        <w:r w:rsidDel="00000000" w:rsidR="00000000" w:rsidRPr="00000000">
          <w:rPr>
            <w:b w:val="1"/>
            <w:color w:val="000000"/>
            <w:rtl w:val="0"/>
          </w:rPr>
          <w:t xml:space="preserve">36</w:t>
        </w:r>
      </w:hyperlink>
      <w:hyperlink r:id="rId325">
        <w:r w:rsidDel="00000000" w:rsidR="00000000" w:rsidRPr="00000000">
          <w:rPr>
            <w:color w:val="000000"/>
            <w:rtl w:val="0"/>
          </w:rPr>
          <w:t xml:space="preserve">, 39–74 (1967).</w:t>
        </w:r>
      </w:hyperlink>
      <w:r w:rsidDel="00000000" w:rsidR="00000000" w:rsidRPr="00000000">
        <w:rPr>
          <w:rtl w:val="0"/>
        </w:rPr>
      </w:r>
    </w:p>
    <w:p w:rsidR="00000000" w:rsidDel="00000000" w:rsidP="00000000" w:rsidRDefault="00000000" w:rsidRPr="00000000" w14:paraId="000008F2">
      <w:pPr>
        <w:widowControl w:val="0"/>
        <w:pBdr>
          <w:top w:space="0" w:sz="0" w:val="nil"/>
          <w:left w:space="0" w:sz="0" w:val="nil"/>
          <w:bottom w:space="0" w:sz="0" w:val="nil"/>
          <w:right w:space="0" w:sz="0" w:val="nil"/>
          <w:between w:space="0" w:sz="0" w:val="nil"/>
        </w:pBdr>
        <w:spacing w:after="0" w:line="480" w:lineRule="auto"/>
        <w:ind w:left="440" w:hanging="440"/>
        <w:rPr>
          <w:color w:val="000000"/>
        </w:rPr>
      </w:pPr>
      <w:r w:rsidDel="00000000" w:rsidR="00000000" w:rsidRPr="00000000">
        <w:rPr>
          <w:color w:val="000000"/>
          <w:rtl w:val="0"/>
        </w:rPr>
        <w:t xml:space="preserve">29.</w:t>
        <w:tab/>
      </w:r>
      <w:hyperlink r:id="rId326">
        <w:r w:rsidDel="00000000" w:rsidR="00000000" w:rsidRPr="00000000">
          <w:rPr>
            <w:color w:val="000000"/>
            <w:rtl w:val="0"/>
          </w:rPr>
          <w:t xml:space="preserve">Schmid, P. Zum heidnischen und frühchristlichen Bestattungsbrauch auf dem frühmittelalterlichen Gräberfeld von Dunum / Ostfriesland. </w:t>
        </w:r>
      </w:hyperlink>
      <w:hyperlink r:id="rId327">
        <w:r w:rsidDel="00000000" w:rsidR="00000000" w:rsidRPr="00000000">
          <w:rPr>
            <w:i w:val="1"/>
            <w:color w:val="000000"/>
            <w:rtl w:val="0"/>
          </w:rPr>
          <w:t xml:space="preserve">Frühmittelalterliche Studien</w:t>
        </w:r>
      </w:hyperlink>
      <w:hyperlink r:id="rId328">
        <w:r w:rsidDel="00000000" w:rsidR="00000000" w:rsidRPr="00000000">
          <w:rPr>
            <w:color w:val="000000"/>
            <w:rtl w:val="0"/>
          </w:rPr>
          <w:t xml:space="preserve"> </w:t>
        </w:r>
      </w:hyperlink>
      <w:hyperlink r:id="rId329">
        <w:r w:rsidDel="00000000" w:rsidR="00000000" w:rsidRPr="00000000">
          <w:rPr>
            <w:b w:val="1"/>
            <w:color w:val="000000"/>
            <w:rtl w:val="0"/>
          </w:rPr>
          <w:t xml:space="preserve">3</w:t>
        </w:r>
      </w:hyperlink>
      <w:hyperlink r:id="rId330">
        <w:r w:rsidDel="00000000" w:rsidR="00000000" w:rsidRPr="00000000">
          <w:rPr>
            <w:color w:val="000000"/>
            <w:rtl w:val="0"/>
          </w:rPr>
          <w:t xml:space="preserve">, 257–275 (1969).</w:t>
        </w:r>
      </w:hyperlink>
      <w:r w:rsidDel="00000000" w:rsidR="00000000" w:rsidRPr="00000000">
        <w:rPr>
          <w:rtl w:val="0"/>
        </w:rPr>
      </w:r>
    </w:p>
    <w:p w:rsidR="00000000" w:rsidDel="00000000" w:rsidP="00000000" w:rsidRDefault="00000000" w:rsidRPr="00000000" w14:paraId="000008F3">
      <w:pPr>
        <w:widowControl w:val="0"/>
        <w:pBdr>
          <w:top w:space="0" w:sz="0" w:val="nil"/>
          <w:left w:space="0" w:sz="0" w:val="nil"/>
          <w:bottom w:space="0" w:sz="0" w:val="nil"/>
          <w:right w:space="0" w:sz="0" w:val="nil"/>
          <w:between w:space="0" w:sz="0" w:val="nil"/>
        </w:pBdr>
        <w:spacing w:after="0" w:line="480" w:lineRule="auto"/>
        <w:ind w:left="440" w:hanging="440"/>
        <w:rPr>
          <w:color w:val="000000"/>
        </w:rPr>
      </w:pPr>
      <w:r w:rsidDel="00000000" w:rsidR="00000000" w:rsidRPr="00000000">
        <w:rPr>
          <w:color w:val="000000"/>
          <w:rtl w:val="0"/>
        </w:rPr>
        <w:t xml:space="preserve">30.</w:t>
        <w:tab/>
      </w:r>
      <w:hyperlink r:id="rId331">
        <w:r w:rsidDel="00000000" w:rsidR="00000000" w:rsidRPr="00000000">
          <w:rPr>
            <w:color w:val="000000"/>
            <w:rtl w:val="0"/>
          </w:rPr>
          <w:t xml:space="preserve">Schmid, P. Die Keramik aus dem frühmittelalterlichen Gräberfeld von Dunum, Kreis Wittmund. </w:t>
        </w:r>
      </w:hyperlink>
      <w:hyperlink r:id="rId332">
        <w:r w:rsidDel="00000000" w:rsidR="00000000" w:rsidRPr="00000000">
          <w:rPr>
            <w:i w:val="1"/>
            <w:color w:val="000000"/>
            <w:rtl w:val="0"/>
          </w:rPr>
          <w:t xml:space="preserve">Probleme der Küstenforschung im südlichen Nordseegebiet</w:t>
        </w:r>
      </w:hyperlink>
      <w:hyperlink r:id="rId333">
        <w:r w:rsidDel="00000000" w:rsidR="00000000" w:rsidRPr="00000000">
          <w:rPr>
            <w:color w:val="000000"/>
            <w:rtl w:val="0"/>
          </w:rPr>
          <w:t xml:space="preserve"> </w:t>
        </w:r>
      </w:hyperlink>
      <w:hyperlink r:id="rId334">
        <w:r w:rsidDel="00000000" w:rsidR="00000000" w:rsidRPr="00000000">
          <w:rPr>
            <w:b w:val="1"/>
            <w:color w:val="000000"/>
            <w:rtl w:val="0"/>
          </w:rPr>
          <w:t xml:space="preserve">9</w:t>
        </w:r>
      </w:hyperlink>
      <w:hyperlink r:id="rId335">
        <w:r w:rsidDel="00000000" w:rsidR="00000000" w:rsidRPr="00000000">
          <w:rPr>
            <w:color w:val="000000"/>
            <w:rtl w:val="0"/>
          </w:rPr>
          <w:t xml:space="preserve">, 59–76 (1970).</w:t>
        </w:r>
      </w:hyperlink>
      <w:r w:rsidDel="00000000" w:rsidR="00000000" w:rsidRPr="00000000">
        <w:rPr>
          <w:rtl w:val="0"/>
        </w:rPr>
      </w:r>
    </w:p>
    <w:p w:rsidR="00000000" w:rsidDel="00000000" w:rsidP="00000000" w:rsidRDefault="00000000" w:rsidRPr="00000000" w14:paraId="000008F4">
      <w:pPr>
        <w:widowControl w:val="0"/>
        <w:pBdr>
          <w:top w:space="0" w:sz="0" w:val="nil"/>
          <w:left w:space="0" w:sz="0" w:val="nil"/>
          <w:bottom w:space="0" w:sz="0" w:val="nil"/>
          <w:right w:space="0" w:sz="0" w:val="nil"/>
          <w:between w:space="0" w:sz="0" w:val="nil"/>
        </w:pBdr>
        <w:spacing w:after="0" w:line="480" w:lineRule="auto"/>
        <w:ind w:left="440" w:hanging="440"/>
        <w:rPr>
          <w:color w:val="000000"/>
        </w:rPr>
      </w:pPr>
      <w:r w:rsidDel="00000000" w:rsidR="00000000" w:rsidRPr="00000000">
        <w:rPr>
          <w:color w:val="000000"/>
          <w:rtl w:val="0"/>
        </w:rPr>
        <w:t xml:space="preserve">31.</w:t>
        <w:tab/>
      </w:r>
      <w:hyperlink r:id="rId336">
        <w:r w:rsidDel="00000000" w:rsidR="00000000" w:rsidRPr="00000000">
          <w:rPr>
            <w:color w:val="000000"/>
            <w:rtl w:val="0"/>
          </w:rPr>
          <w:t xml:space="preserve">Schmid, P. Das frühmittelalterliche Gräberfeld von Dunum, Kreis Wittmund (Ostfriesland) (Grabung 1967-1968). </w:t>
        </w:r>
      </w:hyperlink>
      <w:hyperlink r:id="rId337">
        <w:r w:rsidDel="00000000" w:rsidR="00000000" w:rsidRPr="00000000">
          <w:rPr>
            <w:i w:val="1"/>
            <w:color w:val="000000"/>
            <w:rtl w:val="0"/>
          </w:rPr>
          <w:t xml:space="preserve">Neue Ausgrabungen und Forschungen in Niedersachsen</w:t>
        </w:r>
      </w:hyperlink>
      <w:hyperlink r:id="rId338">
        <w:r w:rsidDel="00000000" w:rsidR="00000000" w:rsidRPr="00000000">
          <w:rPr>
            <w:color w:val="000000"/>
            <w:rtl w:val="0"/>
          </w:rPr>
          <w:t xml:space="preserve"> </w:t>
        </w:r>
      </w:hyperlink>
      <w:hyperlink r:id="rId339">
        <w:r w:rsidDel="00000000" w:rsidR="00000000" w:rsidRPr="00000000">
          <w:rPr>
            <w:b w:val="1"/>
            <w:color w:val="000000"/>
            <w:rtl w:val="0"/>
          </w:rPr>
          <w:t xml:space="preserve">5</w:t>
        </w:r>
      </w:hyperlink>
      <w:hyperlink r:id="rId340">
        <w:r w:rsidDel="00000000" w:rsidR="00000000" w:rsidRPr="00000000">
          <w:rPr>
            <w:color w:val="000000"/>
            <w:rtl w:val="0"/>
          </w:rPr>
          <w:t xml:space="preserve">, 40–62 (1970).</w:t>
        </w:r>
      </w:hyperlink>
      <w:r w:rsidDel="00000000" w:rsidR="00000000" w:rsidRPr="00000000">
        <w:rPr>
          <w:rtl w:val="0"/>
        </w:rPr>
      </w:r>
    </w:p>
    <w:p w:rsidR="00000000" w:rsidDel="00000000" w:rsidP="00000000" w:rsidRDefault="00000000" w:rsidRPr="00000000" w14:paraId="000008F5">
      <w:pPr>
        <w:widowControl w:val="0"/>
        <w:pBdr>
          <w:top w:space="0" w:sz="0" w:val="nil"/>
          <w:left w:space="0" w:sz="0" w:val="nil"/>
          <w:bottom w:space="0" w:sz="0" w:val="nil"/>
          <w:right w:space="0" w:sz="0" w:val="nil"/>
          <w:between w:space="0" w:sz="0" w:val="nil"/>
        </w:pBdr>
        <w:spacing w:after="0" w:line="480" w:lineRule="auto"/>
        <w:ind w:left="440" w:hanging="440"/>
        <w:rPr>
          <w:color w:val="000000"/>
        </w:rPr>
      </w:pPr>
      <w:r w:rsidDel="00000000" w:rsidR="00000000" w:rsidRPr="00000000">
        <w:rPr>
          <w:color w:val="000000"/>
          <w:rtl w:val="0"/>
        </w:rPr>
        <w:t xml:space="preserve">32.</w:t>
        <w:tab/>
      </w:r>
      <w:hyperlink r:id="rId341">
        <w:r w:rsidDel="00000000" w:rsidR="00000000" w:rsidRPr="00000000">
          <w:rPr>
            <w:color w:val="000000"/>
            <w:rtl w:val="0"/>
          </w:rPr>
          <w:t xml:space="preserve">Schmid, P. Zur Datierung und Gliederung der Grabanlagen von Dunum. </w:t>
        </w:r>
      </w:hyperlink>
      <w:hyperlink r:id="rId342">
        <w:r w:rsidDel="00000000" w:rsidR="00000000" w:rsidRPr="00000000">
          <w:rPr>
            <w:i w:val="1"/>
            <w:color w:val="000000"/>
            <w:rtl w:val="0"/>
          </w:rPr>
          <w:t xml:space="preserve">Neue Ausgrabungen und Forschungen in Niedersachsen</w:t>
        </w:r>
      </w:hyperlink>
      <w:hyperlink r:id="rId343">
        <w:r w:rsidDel="00000000" w:rsidR="00000000" w:rsidRPr="00000000">
          <w:rPr>
            <w:color w:val="000000"/>
            <w:rtl w:val="0"/>
          </w:rPr>
          <w:t xml:space="preserve"> </w:t>
        </w:r>
      </w:hyperlink>
      <w:hyperlink r:id="rId344">
        <w:r w:rsidDel="00000000" w:rsidR="00000000" w:rsidRPr="00000000">
          <w:rPr>
            <w:b w:val="1"/>
            <w:color w:val="000000"/>
            <w:rtl w:val="0"/>
          </w:rPr>
          <w:t xml:space="preserve">7</w:t>
        </w:r>
      </w:hyperlink>
      <w:hyperlink r:id="rId345">
        <w:r w:rsidDel="00000000" w:rsidR="00000000" w:rsidRPr="00000000">
          <w:rPr>
            <w:color w:val="000000"/>
            <w:rtl w:val="0"/>
          </w:rPr>
          <w:t xml:space="preserve">, 211–240 (1972).</w:t>
        </w:r>
      </w:hyperlink>
      <w:r w:rsidDel="00000000" w:rsidR="00000000" w:rsidRPr="00000000">
        <w:rPr>
          <w:rtl w:val="0"/>
        </w:rPr>
      </w:r>
    </w:p>
    <w:p w:rsidR="00000000" w:rsidDel="00000000" w:rsidP="00000000" w:rsidRDefault="00000000" w:rsidRPr="00000000" w14:paraId="000008F6">
      <w:pPr>
        <w:widowControl w:val="0"/>
        <w:pBdr>
          <w:top w:space="0" w:sz="0" w:val="nil"/>
          <w:left w:space="0" w:sz="0" w:val="nil"/>
          <w:bottom w:space="0" w:sz="0" w:val="nil"/>
          <w:right w:space="0" w:sz="0" w:val="nil"/>
          <w:between w:space="0" w:sz="0" w:val="nil"/>
        </w:pBdr>
        <w:spacing w:after="0" w:line="480" w:lineRule="auto"/>
        <w:ind w:left="440" w:hanging="440"/>
        <w:rPr>
          <w:color w:val="000000"/>
        </w:rPr>
      </w:pPr>
      <w:r w:rsidDel="00000000" w:rsidR="00000000" w:rsidRPr="00000000">
        <w:rPr>
          <w:color w:val="000000"/>
          <w:rtl w:val="0"/>
        </w:rPr>
        <w:t xml:space="preserve">33.</w:t>
        <w:tab/>
      </w:r>
      <w:hyperlink r:id="rId346">
        <w:r w:rsidDel="00000000" w:rsidR="00000000" w:rsidRPr="00000000">
          <w:rPr>
            <w:color w:val="000000"/>
            <w:rtl w:val="0"/>
          </w:rPr>
          <w:t xml:space="preserve">Schmid, P. Friesische Gräberfelder und das Verhältnis ihrer Funde zur Sachkultur im Karolingerreich und in Skandinavien. in </w:t>
        </w:r>
      </w:hyperlink>
      <w:hyperlink r:id="rId347">
        <w:r w:rsidDel="00000000" w:rsidR="00000000" w:rsidRPr="00000000">
          <w:rPr>
            <w:i w:val="1"/>
            <w:color w:val="000000"/>
            <w:rtl w:val="0"/>
          </w:rPr>
          <w:t xml:space="preserve">Archäologische und naturwissenschaftliche Untersuchungen an Siedlungen im deutschen Küstengebiet vom 5. Jahrhundert v. Chr. bis zum 11. Jahrhundert n. Chr.</w:t>
        </w:r>
      </w:hyperlink>
      <w:hyperlink r:id="rId348">
        <w:r w:rsidDel="00000000" w:rsidR="00000000" w:rsidRPr="00000000">
          <w:rPr>
            <w:color w:val="000000"/>
            <w:rtl w:val="0"/>
          </w:rPr>
          <w:t xml:space="preserve"> (eds. Kossack, G., Behre, K. E. &amp; Schmid, P.) vol. 1 361–377 (1984).</w:t>
        </w:r>
      </w:hyperlink>
      <w:r w:rsidDel="00000000" w:rsidR="00000000" w:rsidRPr="00000000">
        <w:rPr>
          <w:rtl w:val="0"/>
        </w:rPr>
      </w:r>
    </w:p>
    <w:p w:rsidR="00000000" w:rsidDel="00000000" w:rsidP="00000000" w:rsidRDefault="00000000" w:rsidRPr="00000000" w14:paraId="000008F7">
      <w:pPr>
        <w:widowControl w:val="0"/>
        <w:pBdr>
          <w:top w:space="0" w:sz="0" w:val="nil"/>
          <w:left w:space="0" w:sz="0" w:val="nil"/>
          <w:bottom w:space="0" w:sz="0" w:val="nil"/>
          <w:right w:space="0" w:sz="0" w:val="nil"/>
          <w:between w:space="0" w:sz="0" w:val="nil"/>
        </w:pBdr>
        <w:spacing w:after="0" w:line="480" w:lineRule="auto"/>
        <w:ind w:left="440" w:hanging="440"/>
        <w:rPr>
          <w:color w:val="000000"/>
        </w:rPr>
      </w:pPr>
      <w:r w:rsidDel="00000000" w:rsidR="00000000" w:rsidRPr="00000000">
        <w:rPr>
          <w:color w:val="000000"/>
          <w:rtl w:val="0"/>
        </w:rPr>
        <w:t xml:space="preserve">34.</w:t>
        <w:tab/>
      </w:r>
      <w:hyperlink r:id="rId349">
        <w:r w:rsidDel="00000000" w:rsidR="00000000" w:rsidRPr="00000000">
          <w:rPr>
            <w:color w:val="000000"/>
            <w:rtl w:val="0"/>
          </w:rPr>
          <w:t xml:space="preserve">Fischer, A., Peek, C. &amp; Siegmüller, A. Feinstrategraphische Untersuchungen an Eisenobjekten des frühmittelalterlichen Gräberfelds von Dunum, Ldkr. Wittmund (Ostfriesland) – Zur Funktion und Deutung organischer Funde und Befunde. </w:t>
        </w:r>
      </w:hyperlink>
      <w:hyperlink r:id="rId350">
        <w:r w:rsidDel="00000000" w:rsidR="00000000" w:rsidRPr="00000000">
          <w:rPr>
            <w:i w:val="1"/>
            <w:color w:val="000000"/>
            <w:rtl w:val="0"/>
          </w:rPr>
          <w:t xml:space="preserve">Siedlungs- und Küstenforschung im südlichen Nordseegebiet</w:t>
        </w:r>
      </w:hyperlink>
      <w:hyperlink r:id="rId351">
        <w:r w:rsidDel="00000000" w:rsidR="00000000" w:rsidRPr="00000000">
          <w:rPr>
            <w:color w:val="000000"/>
            <w:rtl w:val="0"/>
          </w:rPr>
          <w:t xml:space="preserve"> </w:t>
        </w:r>
      </w:hyperlink>
      <w:hyperlink r:id="rId352">
        <w:r w:rsidDel="00000000" w:rsidR="00000000" w:rsidRPr="00000000">
          <w:rPr>
            <w:b w:val="1"/>
            <w:color w:val="000000"/>
            <w:rtl w:val="0"/>
          </w:rPr>
          <w:t xml:space="preserve">35</w:t>
        </w:r>
      </w:hyperlink>
      <w:hyperlink r:id="rId353">
        <w:r w:rsidDel="00000000" w:rsidR="00000000" w:rsidRPr="00000000">
          <w:rPr>
            <w:color w:val="000000"/>
            <w:rtl w:val="0"/>
          </w:rPr>
          <w:t xml:space="preserve">, 317–351 (2012).</w:t>
        </w:r>
      </w:hyperlink>
      <w:r w:rsidDel="00000000" w:rsidR="00000000" w:rsidRPr="00000000">
        <w:rPr>
          <w:rtl w:val="0"/>
        </w:rPr>
      </w:r>
    </w:p>
    <w:p w:rsidR="00000000" w:rsidDel="00000000" w:rsidP="00000000" w:rsidRDefault="00000000" w:rsidRPr="00000000" w14:paraId="000008F8">
      <w:pPr>
        <w:widowControl w:val="0"/>
        <w:pBdr>
          <w:top w:space="0" w:sz="0" w:val="nil"/>
          <w:left w:space="0" w:sz="0" w:val="nil"/>
          <w:bottom w:space="0" w:sz="0" w:val="nil"/>
          <w:right w:space="0" w:sz="0" w:val="nil"/>
          <w:between w:space="0" w:sz="0" w:val="nil"/>
        </w:pBdr>
        <w:spacing w:after="0" w:line="480" w:lineRule="auto"/>
        <w:ind w:left="440" w:hanging="440"/>
        <w:rPr>
          <w:color w:val="000000"/>
        </w:rPr>
      </w:pPr>
      <w:r w:rsidDel="00000000" w:rsidR="00000000" w:rsidRPr="00000000">
        <w:rPr>
          <w:color w:val="000000"/>
          <w:rtl w:val="0"/>
        </w:rPr>
        <w:t xml:space="preserve">35.</w:t>
        <w:tab/>
      </w:r>
      <w:hyperlink r:id="rId354">
        <w:r w:rsidDel="00000000" w:rsidR="00000000" w:rsidRPr="00000000">
          <w:rPr>
            <w:color w:val="000000"/>
            <w:rtl w:val="0"/>
          </w:rPr>
          <w:t xml:space="preserve">Siegmüller, A. Leichentücher und Federstreuungen. Das frühmittelalterliche Gräberfeld von Dunum, Ostfriesland, als Spiegel politisch-religiöser Wandlungen des 7.-10. Jahrhunderts im Küstenraum. in </w:t>
        </w:r>
      </w:hyperlink>
      <w:hyperlink r:id="rId355">
        <w:r w:rsidDel="00000000" w:rsidR="00000000" w:rsidRPr="00000000">
          <w:rPr>
            <w:i w:val="1"/>
            <w:color w:val="000000"/>
            <w:rtl w:val="0"/>
          </w:rPr>
          <w:t xml:space="preserve">Transformations in North-Western Europe (AD 300-1000), Proceedings of the 60th International Sachsen-Symposion 12.-23. September 2009 Maastricht.</w:t>
        </w:r>
      </w:hyperlink>
      <w:hyperlink r:id="rId356">
        <w:r w:rsidDel="00000000" w:rsidR="00000000" w:rsidRPr="00000000">
          <w:rPr>
            <w:color w:val="000000"/>
            <w:rtl w:val="0"/>
          </w:rPr>
          <w:t xml:space="preserve"> (ed. Panhuysen, T. A. S. M.) vol. 3 239–250 (2011).</w:t>
        </w:r>
      </w:hyperlink>
      <w:r w:rsidDel="00000000" w:rsidR="00000000" w:rsidRPr="00000000">
        <w:rPr>
          <w:rtl w:val="0"/>
        </w:rPr>
      </w:r>
    </w:p>
    <w:p w:rsidR="00000000" w:rsidDel="00000000" w:rsidP="00000000" w:rsidRDefault="00000000" w:rsidRPr="00000000" w14:paraId="000008F9">
      <w:pPr>
        <w:widowControl w:val="0"/>
        <w:pBdr>
          <w:top w:space="0" w:sz="0" w:val="nil"/>
          <w:left w:space="0" w:sz="0" w:val="nil"/>
          <w:bottom w:space="0" w:sz="0" w:val="nil"/>
          <w:right w:space="0" w:sz="0" w:val="nil"/>
          <w:between w:space="0" w:sz="0" w:val="nil"/>
        </w:pBdr>
        <w:spacing w:after="0" w:line="480" w:lineRule="auto"/>
        <w:ind w:left="440" w:hanging="440"/>
        <w:rPr>
          <w:color w:val="000000"/>
        </w:rPr>
      </w:pPr>
      <w:r w:rsidDel="00000000" w:rsidR="00000000" w:rsidRPr="00000000">
        <w:rPr>
          <w:color w:val="000000"/>
          <w:rtl w:val="0"/>
        </w:rPr>
        <w:t xml:space="preserve">36.</w:t>
        <w:tab/>
      </w:r>
      <w:hyperlink r:id="rId357">
        <w:r w:rsidDel="00000000" w:rsidR="00000000" w:rsidRPr="00000000">
          <w:rPr>
            <w:color w:val="000000"/>
            <w:rtl w:val="0"/>
          </w:rPr>
          <w:t xml:space="preserve">Siegmüller, A. &amp; Peel, C. Kleinod und Gebrauchsgegenstand – Nadelröhrchen als Bestandteil des karolingischen Gürtelgehänges. </w:t>
        </w:r>
      </w:hyperlink>
      <w:hyperlink r:id="rId358">
        <w:r w:rsidDel="00000000" w:rsidR="00000000" w:rsidRPr="00000000">
          <w:rPr>
            <w:i w:val="1"/>
            <w:color w:val="000000"/>
            <w:rtl w:val="0"/>
          </w:rPr>
          <w:t xml:space="preserve">Archäologisches Korrespondenzblatt</w:t>
        </w:r>
      </w:hyperlink>
      <w:hyperlink r:id="rId359">
        <w:r w:rsidDel="00000000" w:rsidR="00000000" w:rsidRPr="00000000">
          <w:rPr>
            <w:color w:val="000000"/>
            <w:rtl w:val="0"/>
          </w:rPr>
          <w:t xml:space="preserve"> </w:t>
        </w:r>
      </w:hyperlink>
      <w:hyperlink r:id="rId360">
        <w:r w:rsidDel="00000000" w:rsidR="00000000" w:rsidRPr="00000000">
          <w:rPr>
            <w:b w:val="1"/>
            <w:color w:val="000000"/>
            <w:rtl w:val="0"/>
          </w:rPr>
          <w:t xml:space="preserve">36</w:t>
        </w:r>
      </w:hyperlink>
      <w:hyperlink r:id="rId361">
        <w:r w:rsidDel="00000000" w:rsidR="00000000" w:rsidRPr="00000000">
          <w:rPr>
            <w:color w:val="000000"/>
            <w:rtl w:val="0"/>
          </w:rPr>
          <w:t xml:space="preserve">, 445–453 (2006).</w:t>
        </w:r>
      </w:hyperlink>
      <w:r w:rsidDel="00000000" w:rsidR="00000000" w:rsidRPr="00000000">
        <w:rPr>
          <w:rtl w:val="0"/>
        </w:rPr>
      </w:r>
    </w:p>
    <w:p w:rsidR="00000000" w:rsidDel="00000000" w:rsidP="00000000" w:rsidRDefault="00000000" w:rsidRPr="00000000" w14:paraId="000008FA">
      <w:pPr>
        <w:widowControl w:val="0"/>
        <w:pBdr>
          <w:top w:space="0" w:sz="0" w:val="nil"/>
          <w:left w:space="0" w:sz="0" w:val="nil"/>
          <w:bottom w:space="0" w:sz="0" w:val="nil"/>
          <w:right w:space="0" w:sz="0" w:val="nil"/>
          <w:between w:space="0" w:sz="0" w:val="nil"/>
        </w:pBdr>
        <w:spacing w:after="0" w:line="480" w:lineRule="auto"/>
        <w:ind w:left="440" w:hanging="440"/>
        <w:rPr>
          <w:color w:val="000000"/>
        </w:rPr>
      </w:pPr>
      <w:r w:rsidDel="00000000" w:rsidR="00000000" w:rsidRPr="00000000">
        <w:rPr>
          <w:color w:val="000000"/>
          <w:rtl w:val="0"/>
        </w:rPr>
        <w:t xml:space="preserve">37.</w:t>
        <w:tab/>
      </w:r>
      <w:hyperlink r:id="rId362">
        <w:r w:rsidDel="00000000" w:rsidR="00000000" w:rsidRPr="00000000">
          <w:rPr>
            <w:color w:val="000000"/>
            <w:rtl w:val="0"/>
          </w:rPr>
          <w:t xml:space="preserve">Siegmüller, A. &amp; Peek, C. Das Bootsgrab aus dem frühmittelalterlichen Gräberfeld von Dunum, Ldkr. Wittmund. </w:t>
        </w:r>
      </w:hyperlink>
      <w:hyperlink r:id="rId363">
        <w:r w:rsidDel="00000000" w:rsidR="00000000" w:rsidRPr="00000000">
          <w:rPr>
            <w:i w:val="1"/>
            <w:color w:val="000000"/>
            <w:rtl w:val="0"/>
          </w:rPr>
          <w:t xml:space="preserve">Nachrichten des Marschenrates</w:t>
        </w:r>
      </w:hyperlink>
      <w:hyperlink r:id="rId364">
        <w:r w:rsidDel="00000000" w:rsidR="00000000" w:rsidRPr="00000000">
          <w:rPr>
            <w:color w:val="000000"/>
            <w:rtl w:val="0"/>
          </w:rPr>
          <w:t xml:space="preserve"> </w:t>
        </w:r>
      </w:hyperlink>
      <w:hyperlink r:id="rId365">
        <w:r w:rsidDel="00000000" w:rsidR="00000000" w:rsidRPr="00000000">
          <w:rPr>
            <w:b w:val="1"/>
            <w:color w:val="000000"/>
            <w:rtl w:val="0"/>
          </w:rPr>
          <w:t xml:space="preserve">52</w:t>
        </w:r>
      </w:hyperlink>
      <w:hyperlink r:id="rId366">
        <w:r w:rsidDel="00000000" w:rsidR="00000000" w:rsidRPr="00000000">
          <w:rPr>
            <w:color w:val="000000"/>
            <w:rtl w:val="0"/>
          </w:rPr>
          <w:t xml:space="preserve">, 46–48 (2015).</w:t>
        </w:r>
      </w:hyperlink>
      <w:r w:rsidDel="00000000" w:rsidR="00000000" w:rsidRPr="00000000">
        <w:rPr>
          <w:rtl w:val="0"/>
        </w:rPr>
      </w:r>
    </w:p>
    <w:p w:rsidR="00000000" w:rsidDel="00000000" w:rsidP="00000000" w:rsidRDefault="00000000" w:rsidRPr="00000000" w14:paraId="000008FB">
      <w:pPr>
        <w:widowControl w:val="0"/>
        <w:pBdr>
          <w:top w:space="0" w:sz="0" w:val="nil"/>
          <w:left w:space="0" w:sz="0" w:val="nil"/>
          <w:bottom w:space="0" w:sz="0" w:val="nil"/>
          <w:right w:space="0" w:sz="0" w:val="nil"/>
          <w:between w:space="0" w:sz="0" w:val="nil"/>
        </w:pBdr>
        <w:spacing w:after="0" w:line="480" w:lineRule="auto"/>
        <w:ind w:left="440" w:hanging="440"/>
        <w:rPr>
          <w:color w:val="000000"/>
        </w:rPr>
      </w:pPr>
      <w:r w:rsidDel="00000000" w:rsidR="00000000" w:rsidRPr="00000000">
        <w:rPr>
          <w:color w:val="000000"/>
          <w:rtl w:val="0"/>
        </w:rPr>
        <w:t xml:space="preserve">38.</w:t>
        <w:tab/>
      </w:r>
      <w:hyperlink r:id="rId367">
        <w:r w:rsidDel="00000000" w:rsidR="00000000" w:rsidRPr="00000000">
          <w:rPr>
            <w:color w:val="000000"/>
            <w:rtl w:val="0"/>
          </w:rPr>
          <w:t xml:space="preserve">Theune, C. Die Perlen von Dunum – Neue Forschungen zur Chonologie des karolingerzeitlichen Gräberfeldes von Dunum, Ldkr. Wittmund. </w:t>
        </w:r>
      </w:hyperlink>
      <w:hyperlink r:id="rId368">
        <w:r w:rsidDel="00000000" w:rsidR="00000000" w:rsidRPr="00000000">
          <w:rPr>
            <w:i w:val="1"/>
            <w:color w:val="000000"/>
            <w:rtl w:val="0"/>
          </w:rPr>
          <w:t xml:space="preserve">Probleme der Küstenforschung im südlichen Nordseegebiet</w:t>
        </w:r>
      </w:hyperlink>
      <w:hyperlink r:id="rId369">
        <w:r w:rsidDel="00000000" w:rsidR="00000000" w:rsidRPr="00000000">
          <w:rPr>
            <w:color w:val="000000"/>
            <w:rtl w:val="0"/>
          </w:rPr>
          <w:t xml:space="preserve"> </w:t>
        </w:r>
      </w:hyperlink>
      <w:hyperlink r:id="rId370">
        <w:r w:rsidDel="00000000" w:rsidR="00000000" w:rsidRPr="00000000">
          <w:rPr>
            <w:b w:val="1"/>
            <w:color w:val="000000"/>
            <w:rtl w:val="0"/>
          </w:rPr>
          <w:t xml:space="preserve">32</w:t>
        </w:r>
      </w:hyperlink>
      <w:hyperlink r:id="rId371">
        <w:r w:rsidDel="00000000" w:rsidR="00000000" w:rsidRPr="00000000">
          <w:rPr>
            <w:color w:val="000000"/>
            <w:rtl w:val="0"/>
          </w:rPr>
          <w:t xml:space="preserve">, 243–285 (2008).</w:t>
        </w:r>
      </w:hyperlink>
      <w:r w:rsidDel="00000000" w:rsidR="00000000" w:rsidRPr="00000000">
        <w:rPr>
          <w:rtl w:val="0"/>
        </w:rPr>
      </w:r>
    </w:p>
    <w:p w:rsidR="00000000" w:rsidDel="00000000" w:rsidP="00000000" w:rsidRDefault="00000000" w:rsidRPr="00000000" w14:paraId="000008FC">
      <w:pPr>
        <w:widowControl w:val="0"/>
        <w:pBdr>
          <w:top w:space="0" w:sz="0" w:val="nil"/>
          <w:left w:space="0" w:sz="0" w:val="nil"/>
          <w:bottom w:space="0" w:sz="0" w:val="nil"/>
          <w:right w:space="0" w:sz="0" w:val="nil"/>
          <w:between w:space="0" w:sz="0" w:val="nil"/>
        </w:pBdr>
        <w:spacing w:after="0" w:line="480" w:lineRule="auto"/>
        <w:ind w:left="440" w:hanging="440"/>
        <w:rPr>
          <w:color w:val="000000"/>
        </w:rPr>
      </w:pPr>
      <w:r w:rsidDel="00000000" w:rsidR="00000000" w:rsidRPr="00000000">
        <w:rPr>
          <w:color w:val="000000"/>
          <w:rtl w:val="0"/>
        </w:rPr>
        <w:t xml:space="preserve">39.</w:t>
        <w:tab/>
      </w:r>
      <w:hyperlink r:id="rId372">
        <w:r w:rsidDel="00000000" w:rsidR="00000000" w:rsidRPr="00000000">
          <w:rPr>
            <w:color w:val="000000"/>
            <w:rtl w:val="0"/>
          </w:rPr>
          <w:t xml:space="preserve">Tidow, K. &amp; Schmid, P. Frühmittelalterliche Textilfunde aus der Wurt Hessens (Stadt Wilhelmshaven) und dem Gräberfeld von Dunum (Kreis Friesland) und ihre archäologische Bedeutung. </w:t>
        </w:r>
      </w:hyperlink>
      <w:hyperlink r:id="rId373">
        <w:r w:rsidDel="00000000" w:rsidR="00000000" w:rsidRPr="00000000">
          <w:rPr>
            <w:i w:val="1"/>
            <w:color w:val="000000"/>
            <w:rtl w:val="0"/>
          </w:rPr>
          <w:t xml:space="preserve">Probleme der Küstenforschung im südlichen Nordseegebiet</w:t>
        </w:r>
      </w:hyperlink>
      <w:hyperlink r:id="rId374">
        <w:r w:rsidDel="00000000" w:rsidR="00000000" w:rsidRPr="00000000">
          <w:rPr>
            <w:color w:val="000000"/>
            <w:rtl w:val="0"/>
          </w:rPr>
          <w:t xml:space="preserve"> </w:t>
        </w:r>
      </w:hyperlink>
      <w:hyperlink r:id="rId375">
        <w:r w:rsidDel="00000000" w:rsidR="00000000" w:rsidRPr="00000000">
          <w:rPr>
            <w:b w:val="1"/>
            <w:color w:val="000000"/>
            <w:rtl w:val="0"/>
          </w:rPr>
          <w:t xml:space="preserve">13</w:t>
        </w:r>
      </w:hyperlink>
      <w:hyperlink r:id="rId376">
        <w:r w:rsidDel="00000000" w:rsidR="00000000" w:rsidRPr="00000000">
          <w:rPr>
            <w:color w:val="000000"/>
            <w:rtl w:val="0"/>
          </w:rPr>
          <w:t xml:space="preserve">, 123–153 (1979).</w:t>
        </w:r>
      </w:hyperlink>
      <w:r w:rsidDel="00000000" w:rsidR="00000000" w:rsidRPr="00000000">
        <w:rPr>
          <w:rtl w:val="0"/>
        </w:rPr>
      </w:r>
    </w:p>
    <w:p w:rsidR="00000000" w:rsidDel="00000000" w:rsidP="00000000" w:rsidRDefault="00000000" w:rsidRPr="00000000" w14:paraId="000008FD">
      <w:pPr>
        <w:widowControl w:val="0"/>
        <w:pBdr>
          <w:top w:space="0" w:sz="0" w:val="nil"/>
          <w:left w:space="0" w:sz="0" w:val="nil"/>
          <w:bottom w:space="0" w:sz="0" w:val="nil"/>
          <w:right w:space="0" w:sz="0" w:val="nil"/>
          <w:between w:space="0" w:sz="0" w:val="nil"/>
        </w:pBdr>
        <w:spacing w:after="0" w:line="480" w:lineRule="auto"/>
        <w:ind w:left="440" w:hanging="440"/>
        <w:rPr>
          <w:color w:val="000000"/>
        </w:rPr>
      </w:pPr>
      <w:r w:rsidDel="00000000" w:rsidR="00000000" w:rsidRPr="00000000">
        <w:rPr>
          <w:color w:val="000000"/>
          <w:rtl w:val="0"/>
        </w:rPr>
        <w:t xml:space="preserve">40.</w:t>
        <w:tab/>
      </w:r>
      <w:hyperlink r:id="rId377">
        <w:r w:rsidDel="00000000" w:rsidR="00000000" w:rsidRPr="00000000">
          <w:rPr>
            <w:color w:val="000000"/>
            <w:rtl w:val="0"/>
          </w:rPr>
          <w:t xml:space="preserve">Grefen-Peters, S., Peek, C. &amp; Siegmüller, A. Neue Ergebnisse der anthropologischen und archäologischen Forschungen am Gräberfeld von Dunum (Landkreis Wittmund). in </w:t>
        </w:r>
      </w:hyperlink>
      <w:hyperlink r:id="rId378">
        <w:r w:rsidDel="00000000" w:rsidR="00000000" w:rsidRPr="00000000">
          <w:rPr>
            <w:i w:val="1"/>
            <w:color w:val="000000"/>
            <w:rtl w:val="0"/>
          </w:rPr>
          <w:t xml:space="preserve">Ostfriesland I Niedersachsenweit. Festschrift für Rolf Bärenfänger.</w:t>
        </w:r>
      </w:hyperlink>
      <w:hyperlink r:id="rId379">
        <w:r w:rsidDel="00000000" w:rsidR="00000000" w:rsidRPr="00000000">
          <w:rPr>
            <w:color w:val="000000"/>
            <w:rtl w:val="0"/>
          </w:rPr>
          <w:t xml:space="preserve"> (ed. Kegler, J.) vol. 87 121–126 (2020).</w:t>
        </w:r>
      </w:hyperlink>
      <w:r w:rsidDel="00000000" w:rsidR="00000000" w:rsidRPr="00000000">
        <w:rPr>
          <w:rtl w:val="0"/>
        </w:rPr>
      </w:r>
    </w:p>
    <w:p w:rsidR="00000000" w:rsidDel="00000000" w:rsidP="00000000" w:rsidRDefault="00000000" w:rsidRPr="00000000" w14:paraId="000008FE">
      <w:pPr>
        <w:widowControl w:val="0"/>
        <w:pBdr>
          <w:top w:space="0" w:sz="0" w:val="nil"/>
          <w:left w:space="0" w:sz="0" w:val="nil"/>
          <w:bottom w:space="0" w:sz="0" w:val="nil"/>
          <w:right w:space="0" w:sz="0" w:val="nil"/>
          <w:between w:space="0" w:sz="0" w:val="nil"/>
        </w:pBdr>
        <w:spacing w:after="0" w:line="480" w:lineRule="auto"/>
        <w:ind w:left="440" w:hanging="440"/>
        <w:rPr>
          <w:color w:val="000000"/>
        </w:rPr>
      </w:pPr>
      <w:r w:rsidDel="00000000" w:rsidR="00000000" w:rsidRPr="00000000">
        <w:rPr>
          <w:color w:val="000000"/>
          <w:rtl w:val="0"/>
        </w:rPr>
        <w:t xml:space="preserve">41.</w:t>
        <w:tab/>
      </w:r>
      <w:hyperlink r:id="rId380">
        <w:r w:rsidDel="00000000" w:rsidR="00000000" w:rsidRPr="00000000">
          <w:rPr>
            <w:color w:val="000000"/>
            <w:rtl w:val="0"/>
          </w:rPr>
          <w:t xml:space="preserve">Wahl, J. Beobachtung zur Verbrennung menschlicher Leichname. </w:t>
        </w:r>
      </w:hyperlink>
      <w:hyperlink r:id="rId381">
        <w:r w:rsidDel="00000000" w:rsidR="00000000" w:rsidRPr="00000000">
          <w:rPr>
            <w:i w:val="1"/>
            <w:color w:val="000000"/>
            <w:rtl w:val="0"/>
          </w:rPr>
          <w:t xml:space="preserve">Archäologisches Korrespondenzblatt</w:t>
        </w:r>
      </w:hyperlink>
      <w:hyperlink r:id="rId382">
        <w:r w:rsidDel="00000000" w:rsidR="00000000" w:rsidRPr="00000000">
          <w:rPr>
            <w:color w:val="000000"/>
            <w:rtl w:val="0"/>
          </w:rPr>
          <w:t xml:space="preserve"> </w:t>
        </w:r>
      </w:hyperlink>
      <w:hyperlink r:id="rId383">
        <w:r w:rsidDel="00000000" w:rsidR="00000000" w:rsidRPr="00000000">
          <w:rPr>
            <w:b w:val="1"/>
            <w:color w:val="000000"/>
            <w:rtl w:val="0"/>
          </w:rPr>
          <w:t xml:space="preserve">11</w:t>
        </w:r>
      </w:hyperlink>
      <w:hyperlink r:id="rId384">
        <w:r w:rsidDel="00000000" w:rsidR="00000000" w:rsidRPr="00000000">
          <w:rPr>
            <w:color w:val="000000"/>
            <w:rtl w:val="0"/>
          </w:rPr>
          <w:t xml:space="preserve">, 271–279 (1981).</w:t>
        </w:r>
      </w:hyperlink>
      <w:r w:rsidDel="00000000" w:rsidR="00000000" w:rsidRPr="00000000">
        <w:rPr>
          <w:rtl w:val="0"/>
        </w:rPr>
      </w:r>
    </w:p>
    <w:p w:rsidR="00000000" w:rsidDel="00000000" w:rsidP="00000000" w:rsidRDefault="00000000" w:rsidRPr="00000000" w14:paraId="000008FF">
      <w:pPr>
        <w:widowControl w:val="0"/>
        <w:pBdr>
          <w:top w:space="0" w:sz="0" w:val="nil"/>
          <w:left w:space="0" w:sz="0" w:val="nil"/>
          <w:bottom w:space="0" w:sz="0" w:val="nil"/>
          <w:right w:space="0" w:sz="0" w:val="nil"/>
          <w:between w:space="0" w:sz="0" w:val="nil"/>
        </w:pBdr>
        <w:spacing w:after="0" w:line="480" w:lineRule="auto"/>
        <w:ind w:left="440" w:hanging="440"/>
        <w:rPr>
          <w:color w:val="000000"/>
        </w:rPr>
      </w:pPr>
      <w:r w:rsidDel="00000000" w:rsidR="00000000" w:rsidRPr="00000000">
        <w:rPr>
          <w:color w:val="000000"/>
          <w:rtl w:val="0"/>
        </w:rPr>
        <w:t xml:space="preserve">42.</w:t>
        <w:tab/>
      </w:r>
      <w:hyperlink r:id="rId385">
        <w:r w:rsidDel="00000000" w:rsidR="00000000" w:rsidRPr="00000000">
          <w:rPr>
            <w:color w:val="000000"/>
            <w:rtl w:val="0"/>
          </w:rPr>
          <w:t xml:space="preserve">Grefen-Peters, S. Die anthropologische Untersuchung ausgewählter Leichenbrände aus dem frühmittelalterlichen Gräberfeld von Dunum, Ldkr. Wittmund. </w:t>
        </w:r>
      </w:hyperlink>
      <w:hyperlink r:id="rId386">
        <w:r w:rsidDel="00000000" w:rsidR="00000000" w:rsidRPr="00000000">
          <w:rPr>
            <w:i w:val="1"/>
            <w:color w:val="000000"/>
            <w:rtl w:val="0"/>
          </w:rPr>
          <w:t xml:space="preserve">Siedlungs- und Küstenforschung im südlichen Nordseegebiet</w:t>
        </w:r>
      </w:hyperlink>
      <w:hyperlink r:id="rId387">
        <w:r w:rsidDel="00000000" w:rsidR="00000000" w:rsidRPr="00000000">
          <w:rPr>
            <w:color w:val="000000"/>
            <w:rtl w:val="0"/>
          </w:rPr>
          <w:t xml:space="preserve"> </w:t>
        </w:r>
      </w:hyperlink>
      <w:hyperlink r:id="rId388">
        <w:r w:rsidDel="00000000" w:rsidR="00000000" w:rsidRPr="00000000">
          <w:rPr>
            <w:b w:val="1"/>
            <w:color w:val="000000"/>
            <w:rtl w:val="0"/>
          </w:rPr>
          <w:t xml:space="preserve">39</w:t>
        </w:r>
      </w:hyperlink>
      <w:hyperlink r:id="rId389">
        <w:r w:rsidDel="00000000" w:rsidR="00000000" w:rsidRPr="00000000">
          <w:rPr>
            <w:color w:val="000000"/>
            <w:rtl w:val="0"/>
          </w:rPr>
          <w:t xml:space="preserve">, 273–285 (2016).</w:t>
        </w:r>
      </w:hyperlink>
      <w:r w:rsidDel="00000000" w:rsidR="00000000" w:rsidRPr="00000000">
        <w:rPr>
          <w:rtl w:val="0"/>
        </w:rPr>
      </w:r>
    </w:p>
    <w:p w:rsidR="00000000" w:rsidDel="00000000" w:rsidP="00000000" w:rsidRDefault="00000000" w:rsidRPr="00000000" w14:paraId="00000900">
      <w:pPr>
        <w:widowControl w:val="0"/>
        <w:pBdr>
          <w:top w:space="0" w:sz="0" w:val="nil"/>
          <w:left w:space="0" w:sz="0" w:val="nil"/>
          <w:bottom w:space="0" w:sz="0" w:val="nil"/>
          <w:right w:space="0" w:sz="0" w:val="nil"/>
          <w:between w:space="0" w:sz="0" w:val="nil"/>
        </w:pBdr>
        <w:spacing w:after="0" w:line="480" w:lineRule="auto"/>
        <w:ind w:left="440" w:hanging="440"/>
        <w:rPr>
          <w:color w:val="000000"/>
        </w:rPr>
      </w:pPr>
      <w:r w:rsidDel="00000000" w:rsidR="00000000" w:rsidRPr="00000000">
        <w:rPr>
          <w:color w:val="000000"/>
          <w:rtl w:val="0"/>
        </w:rPr>
        <w:t xml:space="preserve">43.</w:t>
        <w:tab/>
      </w:r>
      <w:hyperlink r:id="rId390">
        <w:r w:rsidDel="00000000" w:rsidR="00000000" w:rsidRPr="00000000">
          <w:rPr>
            <w:color w:val="000000"/>
            <w:rtl w:val="0"/>
          </w:rPr>
          <w:t xml:space="preserve">Grefen-Peters, S. &amp; Hüser, A. Nicht Klunker, sondern Clinker. Kleine Tropfen geben Aufschluss über Leichenverbrennung. </w:t>
        </w:r>
      </w:hyperlink>
      <w:hyperlink r:id="rId391">
        <w:r w:rsidDel="00000000" w:rsidR="00000000" w:rsidRPr="00000000">
          <w:rPr>
            <w:i w:val="1"/>
            <w:color w:val="000000"/>
            <w:rtl w:val="0"/>
          </w:rPr>
          <w:t xml:space="preserve">Archäologie in Niedersachsen</w:t>
        </w:r>
      </w:hyperlink>
      <w:hyperlink r:id="rId392">
        <w:r w:rsidDel="00000000" w:rsidR="00000000" w:rsidRPr="00000000">
          <w:rPr>
            <w:color w:val="000000"/>
            <w:rtl w:val="0"/>
          </w:rPr>
          <w:t xml:space="preserve"> </w:t>
        </w:r>
      </w:hyperlink>
      <w:hyperlink r:id="rId393">
        <w:r w:rsidDel="00000000" w:rsidR="00000000" w:rsidRPr="00000000">
          <w:rPr>
            <w:b w:val="1"/>
            <w:color w:val="000000"/>
            <w:rtl w:val="0"/>
          </w:rPr>
          <w:t xml:space="preserve">20</w:t>
        </w:r>
      </w:hyperlink>
      <w:hyperlink r:id="rId394">
        <w:r w:rsidDel="00000000" w:rsidR="00000000" w:rsidRPr="00000000">
          <w:rPr>
            <w:color w:val="000000"/>
            <w:rtl w:val="0"/>
          </w:rPr>
          <w:t xml:space="preserve">, 101–104 (2017).</w:t>
        </w:r>
      </w:hyperlink>
      <w:r w:rsidDel="00000000" w:rsidR="00000000" w:rsidRPr="00000000">
        <w:rPr>
          <w:rtl w:val="0"/>
        </w:rPr>
      </w:r>
    </w:p>
    <w:p w:rsidR="00000000" w:rsidDel="00000000" w:rsidP="00000000" w:rsidRDefault="00000000" w:rsidRPr="00000000" w14:paraId="00000901">
      <w:pPr>
        <w:widowControl w:val="0"/>
        <w:pBdr>
          <w:top w:space="0" w:sz="0" w:val="nil"/>
          <w:left w:space="0" w:sz="0" w:val="nil"/>
          <w:bottom w:space="0" w:sz="0" w:val="nil"/>
          <w:right w:space="0" w:sz="0" w:val="nil"/>
          <w:between w:space="0" w:sz="0" w:val="nil"/>
        </w:pBdr>
        <w:spacing w:after="0" w:line="480" w:lineRule="auto"/>
        <w:ind w:left="440" w:hanging="440"/>
        <w:rPr>
          <w:color w:val="000000"/>
        </w:rPr>
      </w:pPr>
      <w:r w:rsidDel="00000000" w:rsidR="00000000" w:rsidRPr="00000000">
        <w:rPr>
          <w:color w:val="000000"/>
          <w:rtl w:val="0"/>
        </w:rPr>
        <w:t xml:space="preserve">44.</w:t>
        <w:tab/>
      </w:r>
      <w:hyperlink r:id="rId395">
        <w:r w:rsidDel="00000000" w:rsidR="00000000" w:rsidRPr="00000000">
          <w:rPr>
            <w:color w:val="000000"/>
            <w:rtl w:val="0"/>
          </w:rPr>
          <w:t xml:space="preserve">Bartelt, U. &amp; Brückner, M. Hiddestorf FStNr. 7. </w:t>
        </w:r>
      </w:hyperlink>
      <w:hyperlink r:id="rId396">
        <w:r w:rsidDel="00000000" w:rsidR="00000000" w:rsidRPr="00000000">
          <w:rPr>
            <w:i w:val="1"/>
            <w:color w:val="000000"/>
            <w:rtl w:val="0"/>
          </w:rPr>
          <w:t xml:space="preserve">Fundchronik Niedersachsen 2012. Nachrichten aus Niedersachsens Urgeschichte Beiheft</w:t>
        </w:r>
      </w:hyperlink>
      <w:hyperlink r:id="rId397">
        <w:r w:rsidDel="00000000" w:rsidR="00000000" w:rsidRPr="00000000">
          <w:rPr>
            <w:color w:val="000000"/>
            <w:rtl w:val="0"/>
          </w:rPr>
          <w:t xml:space="preserve"> </w:t>
        </w:r>
      </w:hyperlink>
      <w:hyperlink r:id="rId398">
        <w:r w:rsidDel="00000000" w:rsidR="00000000" w:rsidRPr="00000000">
          <w:rPr>
            <w:b w:val="1"/>
            <w:color w:val="000000"/>
            <w:rtl w:val="0"/>
          </w:rPr>
          <w:t xml:space="preserve">17</w:t>
        </w:r>
      </w:hyperlink>
      <w:hyperlink r:id="rId399">
        <w:r w:rsidDel="00000000" w:rsidR="00000000" w:rsidRPr="00000000">
          <w:rPr>
            <w:color w:val="000000"/>
            <w:rtl w:val="0"/>
          </w:rPr>
          <w:t xml:space="preserve">, 60–61 (2014).</w:t>
        </w:r>
      </w:hyperlink>
      <w:r w:rsidDel="00000000" w:rsidR="00000000" w:rsidRPr="00000000">
        <w:rPr>
          <w:rtl w:val="0"/>
        </w:rPr>
      </w:r>
    </w:p>
    <w:p w:rsidR="00000000" w:rsidDel="00000000" w:rsidP="00000000" w:rsidRDefault="00000000" w:rsidRPr="00000000" w14:paraId="00000902">
      <w:pPr>
        <w:widowControl w:val="0"/>
        <w:pBdr>
          <w:top w:space="0" w:sz="0" w:val="nil"/>
          <w:left w:space="0" w:sz="0" w:val="nil"/>
          <w:bottom w:space="0" w:sz="0" w:val="nil"/>
          <w:right w:space="0" w:sz="0" w:val="nil"/>
          <w:between w:space="0" w:sz="0" w:val="nil"/>
        </w:pBdr>
        <w:spacing w:after="0" w:line="480" w:lineRule="auto"/>
        <w:ind w:left="440" w:hanging="440"/>
        <w:rPr>
          <w:color w:val="000000"/>
        </w:rPr>
      </w:pPr>
      <w:r w:rsidDel="00000000" w:rsidR="00000000" w:rsidRPr="00000000">
        <w:rPr>
          <w:color w:val="000000"/>
          <w:rtl w:val="0"/>
        </w:rPr>
        <w:t xml:space="preserve">45.</w:t>
        <w:tab/>
      </w:r>
      <w:hyperlink r:id="rId400">
        <w:r w:rsidDel="00000000" w:rsidR="00000000" w:rsidRPr="00000000">
          <w:rPr>
            <w:color w:val="000000"/>
            <w:rtl w:val="0"/>
          </w:rPr>
          <w:t xml:space="preserve">Winger, D., Gerling, C., Bartelt, U. &amp; Ludowici, B. Zwischen Beckum und Alach – das Prunkgrab mit Pferdebestattung von Hemmingen-Hiddestorf am Hellweg. in </w:t>
        </w:r>
      </w:hyperlink>
      <w:hyperlink r:id="rId401">
        <w:r w:rsidDel="00000000" w:rsidR="00000000" w:rsidRPr="00000000">
          <w:rPr>
            <w:i w:val="1"/>
            <w:color w:val="000000"/>
            <w:rtl w:val="0"/>
          </w:rPr>
          <w:t xml:space="preserve">Tiere und Tierdarstellungen in der Archäologie. Beiträge zum Kolloquium in Gedenken an Torsten Capelle, 30.–31. Oktober 2015 in Herne.</w:t>
        </w:r>
      </w:hyperlink>
      <w:hyperlink r:id="rId402">
        <w:r w:rsidDel="00000000" w:rsidR="00000000" w:rsidRPr="00000000">
          <w:rPr>
            <w:color w:val="000000"/>
            <w:rtl w:val="0"/>
          </w:rPr>
          <w:t xml:space="preserve"> (eds. Brieske, V., Dickers, A. &amp; Rind, M.) vol. 22 213–232 (2017).</w:t>
        </w:r>
      </w:hyperlink>
      <w:r w:rsidDel="00000000" w:rsidR="00000000" w:rsidRPr="00000000">
        <w:rPr>
          <w:rtl w:val="0"/>
        </w:rPr>
      </w:r>
    </w:p>
    <w:p w:rsidR="00000000" w:rsidDel="00000000" w:rsidP="00000000" w:rsidRDefault="00000000" w:rsidRPr="00000000" w14:paraId="00000903">
      <w:pPr>
        <w:widowControl w:val="0"/>
        <w:pBdr>
          <w:top w:space="0" w:sz="0" w:val="nil"/>
          <w:left w:space="0" w:sz="0" w:val="nil"/>
          <w:bottom w:space="0" w:sz="0" w:val="nil"/>
          <w:right w:space="0" w:sz="0" w:val="nil"/>
          <w:between w:space="0" w:sz="0" w:val="nil"/>
        </w:pBdr>
        <w:spacing w:after="0" w:line="480" w:lineRule="auto"/>
        <w:ind w:left="440" w:hanging="440"/>
        <w:rPr>
          <w:color w:val="000000"/>
        </w:rPr>
      </w:pPr>
      <w:r w:rsidDel="00000000" w:rsidR="00000000" w:rsidRPr="00000000">
        <w:rPr>
          <w:color w:val="000000"/>
          <w:rtl w:val="0"/>
        </w:rPr>
        <w:t xml:space="preserve">46.</w:t>
        <w:tab/>
      </w:r>
      <w:hyperlink r:id="rId403">
        <w:r w:rsidDel="00000000" w:rsidR="00000000" w:rsidRPr="00000000">
          <w:rPr>
            <w:color w:val="000000"/>
            <w:rtl w:val="0"/>
          </w:rPr>
          <w:t xml:space="preserve">Winger, D. Gemeinsam in den Tod. Der Krieger von Hiddestorf und seine Begleiter. in </w:t>
        </w:r>
      </w:hyperlink>
      <w:hyperlink r:id="rId404">
        <w:r w:rsidDel="00000000" w:rsidR="00000000" w:rsidRPr="00000000">
          <w:rPr>
            <w:i w:val="1"/>
            <w:color w:val="000000"/>
            <w:rtl w:val="0"/>
          </w:rPr>
          <w:t xml:space="preserve">Saxones. Eine neue Geschichte der alten Sachsen. Begleitband zur Niedersächsischen Landesaustellung 2019. Landesmuseum Hannover 5.4.-18.8. 2019, Braunschweigisches Landesmuseum 22.9.2019 - 2.2.2020</w:t>
        </w:r>
      </w:hyperlink>
      <w:hyperlink r:id="rId405">
        <w:r w:rsidDel="00000000" w:rsidR="00000000" w:rsidRPr="00000000">
          <w:rPr>
            <w:color w:val="000000"/>
            <w:rtl w:val="0"/>
          </w:rPr>
          <w:t xml:space="preserve"> (ed. Ludowici, B.) vol. 7 203–207 (2019).</w:t>
        </w:r>
      </w:hyperlink>
      <w:r w:rsidDel="00000000" w:rsidR="00000000" w:rsidRPr="00000000">
        <w:rPr>
          <w:rtl w:val="0"/>
        </w:rPr>
      </w:r>
    </w:p>
    <w:p w:rsidR="00000000" w:rsidDel="00000000" w:rsidP="00000000" w:rsidRDefault="00000000" w:rsidRPr="00000000" w14:paraId="00000904">
      <w:pPr>
        <w:widowControl w:val="0"/>
        <w:pBdr>
          <w:top w:space="0" w:sz="0" w:val="nil"/>
          <w:left w:space="0" w:sz="0" w:val="nil"/>
          <w:bottom w:space="0" w:sz="0" w:val="nil"/>
          <w:right w:space="0" w:sz="0" w:val="nil"/>
          <w:between w:space="0" w:sz="0" w:val="nil"/>
        </w:pBdr>
        <w:spacing w:after="0" w:line="480" w:lineRule="auto"/>
        <w:ind w:left="440" w:hanging="440"/>
        <w:rPr>
          <w:color w:val="000000"/>
        </w:rPr>
      </w:pPr>
      <w:r w:rsidDel="00000000" w:rsidR="00000000" w:rsidRPr="00000000">
        <w:rPr>
          <w:color w:val="000000"/>
          <w:rtl w:val="0"/>
        </w:rPr>
        <w:t xml:space="preserve">47.</w:t>
        <w:tab/>
      </w:r>
      <w:hyperlink r:id="rId406">
        <w:r w:rsidDel="00000000" w:rsidR="00000000" w:rsidRPr="00000000">
          <w:rPr>
            <w:color w:val="000000"/>
            <w:rtl w:val="0"/>
          </w:rPr>
          <w:t xml:space="preserve">Ludowici, B. &amp; Winger, D. Fernbeziehung und Selbstzuordnung im Bestattungsbefund: Ein neues Prunkgrab der merowingerzeitlichen Elite am Hellweg von Hemmingen-Hiddestorf, Region Hannover. in </w:t>
        </w:r>
      </w:hyperlink>
      <w:hyperlink r:id="rId407">
        <w:r w:rsidDel="00000000" w:rsidR="00000000" w:rsidRPr="00000000">
          <w:rPr>
            <w:i w:val="1"/>
            <w:color w:val="000000"/>
            <w:rtl w:val="0"/>
          </w:rPr>
          <w:t xml:space="preserve">Interacting Barbarians. Contacts, Exchange and Migrations in the First Millennium AD</w:t>
        </w:r>
      </w:hyperlink>
      <w:hyperlink r:id="rId408">
        <w:r w:rsidDel="00000000" w:rsidR="00000000" w:rsidRPr="00000000">
          <w:rPr>
            <w:color w:val="000000"/>
            <w:rtl w:val="0"/>
          </w:rPr>
          <w:t xml:space="preserve"> (eds. Cieslinski, B. &amp; Kontny, B.) vol. 9 (2019).</w:t>
        </w:r>
      </w:hyperlink>
      <w:r w:rsidDel="00000000" w:rsidR="00000000" w:rsidRPr="00000000">
        <w:rPr>
          <w:rtl w:val="0"/>
        </w:rPr>
      </w:r>
    </w:p>
    <w:p w:rsidR="00000000" w:rsidDel="00000000" w:rsidP="00000000" w:rsidRDefault="00000000" w:rsidRPr="00000000" w14:paraId="00000905">
      <w:pPr>
        <w:widowControl w:val="0"/>
        <w:pBdr>
          <w:top w:space="0" w:sz="0" w:val="nil"/>
          <w:left w:space="0" w:sz="0" w:val="nil"/>
          <w:bottom w:space="0" w:sz="0" w:val="nil"/>
          <w:right w:space="0" w:sz="0" w:val="nil"/>
          <w:between w:space="0" w:sz="0" w:val="nil"/>
        </w:pBdr>
        <w:spacing w:after="0" w:line="480" w:lineRule="auto"/>
        <w:ind w:left="440" w:hanging="440"/>
        <w:rPr>
          <w:color w:val="000000"/>
        </w:rPr>
      </w:pPr>
      <w:r w:rsidDel="00000000" w:rsidR="00000000" w:rsidRPr="00000000">
        <w:rPr>
          <w:color w:val="000000"/>
          <w:rtl w:val="0"/>
        </w:rPr>
        <w:t xml:space="preserve">48.</w:t>
        <w:tab/>
      </w:r>
      <w:hyperlink r:id="rId409">
        <w:r w:rsidDel="00000000" w:rsidR="00000000" w:rsidRPr="00000000">
          <w:rPr>
            <w:color w:val="000000"/>
            <w:rtl w:val="0"/>
          </w:rPr>
          <w:t xml:space="preserve">Vogel, V. </w:t>
        </w:r>
      </w:hyperlink>
      <w:hyperlink r:id="rId410">
        <w:r w:rsidDel="00000000" w:rsidR="00000000" w:rsidRPr="00000000">
          <w:rPr>
            <w:i w:val="1"/>
            <w:color w:val="000000"/>
            <w:rtl w:val="0"/>
          </w:rPr>
          <w:t xml:space="preserve">Kirche und Gräberfeld des 11. - 13 Jahrhunderts unter dem Rathausmarkt von Schleswig</w:t>
        </w:r>
      </w:hyperlink>
      <w:hyperlink r:id="rId411">
        <w:r w:rsidDel="00000000" w:rsidR="00000000" w:rsidRPr="00000000">
          <w:rPr>
            <w:color w:val="000000"/>
            <w:rtl w:val="0"/>
          </w:rPr>
          <w:t xml:space="preserve">. (Wachholtz, 1997).</w:t>
        </w:r>
      </w:hyperlink>
      <w:r w:rsidDel="00000000" w:rsidR="00000000" w:rsidRPr="00000000">
        <w:rPr>
          <w:rtl w:val="0"/>
        </w:rPr>
      </w:r>
    </w:p>
    <w:p w:rsidR="00000000" w:rsidDel="00000000" w:rsidP="00000000" w:rsidRDefault="00000000" w:rsidRPr="00000000" w14:paraId="00000906">
      <w:pPr>
        <w:widowControl w:val="0"/>
        <w:pBdr>
          <w:top w:space="0" w:sz="0" w:val="nil"/>
          <w:left w:space="0" w:sz="0" w:val="nil"/>
          <w:bottom w:space="0" w:sz="0" w:val="nil"/>
          <w:right w:space="0" w:sz="0" w:val="nil"/>
          <w:between w:space="0" w:sz="0" w:val="nil"/>
        </w:pBdr>
        <w:spacing w:after="0" w:line="480" w:lineRule="auto"/>
        <w:ind w:left="440" w:hanging="440"/>
        <w:rPr>
          <w:color w:val="000000"/>
        </w:rPr>
      </w:pPr>
      <w:r w:rsidDel="00000000" w:rsidR="00000000" w:rsidRPr="00000000">
        <w:rPr>
          <w:color w:val="000000"/>
          <w:rtl w:val="0"/>
        </w:rPr>
        <w:t xml:space="preserve">49.</w:t>
        <w:tab/>
      </w:r>
      <w:hyperlink r:id="rId412">
        <w:r w:rsidDel="00000000" w:rsidR="00000000" w:rsidRPr="00000000">
          <w:rPr>
            <w:color w:val="000000"/>
            <w:rtl w:val="0"/>
          </w:rPr>
          <w:t xml:space="preserve">Boldsen, J. L., Rasmussen, K. L., Riis, T., Dittmar, M. &amp; Weise, S. Schleswig: Medieval leprosy on the boundary between Germany and Denmark. </w:t>
        </w:r>
      </w:hyperlink>
      <w:hyperlink r:id="rId413">
        <w:r w:rsidDel="00000000" w:rsidR="00000000" w:rsidRPr="00000000">
          <w:rPr>
            <w:i w:val="1"/>
            <w:color w:val="000000"/>
            <w:rtl w:val="0"/>
          </w:rPr>
          <w:t xml:space="preserve">Anthropol. Anz.</w:t>
        </w:r>
      </w:hyperlink>
      <w:hyperlink r:id="rId414">
        <w:r w:rsidDel="00000000" w:rsidR="00000000" w:rsidRPr="00000000">
          <w:rPr>
            <w:color w:val="000000"/>
            <w:rtl w:val="0"/>
          </w:rPr>
          <w:t xml:space="preserve"> </w:t>
        </w:r>
      </w:hyperlink>
      <w:hyperlink r:id="rId415">
        <w:r w:rsidDel="00000000" w:rsidR="00000000" w:rsidRPr="00000000">
          <w:rPr>
            <w:b w:val="1"/>
            <w:color w:val="000000"/>
            <w:rtl w:val="0"/>
          </w:rPr>
          <w:t xml:space="preserve">70</w:t>
        </w:r>
      </w:hyperlink>
      <w:hyperlink r:id="rId416">
        <w:r w:rsidDel="00000000" w:rsidR="00000000" w:rsidRPr="00000000">
          <w:rPr>
            <w:color w:val="000000"/>
            <w:rtl w:val="0"/>
          </w:rPr>
          <w:t xml:space="preserve">, 273–287 (2013).</w:t>
        </w:r>
      </w:hyperlink>
      <w:r w:rsidDel="00000000" w:rsidR="00000000" w:rsidRPr="00000000">
        <w:rPr>
          <w:rtl w:val="0"/>
        </w:rPr>
      </w:r>
    </w:p>
    <w:p w:rsidR="00000000" w:rsidDel="00000000" w:rsidP="00000000" w:rsidRDefault="00000000" w:rsidRPr="00000000" w14:paraId="00000907">
      <w:pPr>
        <w:widowControl w:val="0"/>
        <w:pBdr>
          <w:top w:space="0" w:sz="0" w:val="nil"/>
          <w:left w:space="0" w:sz="0" w:val="nil"/>
          <w:bottom w:space="0" w:sz="0" w:val="nil"/>
          <w:right w:space="0" w:sz="0" w:val="nil"/>
          <w:between w:space="0" w:sz="0" w:val="nil"/>
        </w:pBdr>
        <w:spacing w:after="0" w:line="480" w:lineRule="auto"/>
        <w:ind w:left="440" w:hanging="440"/>
        <w:rPr>
          <w:color w:val="000000"/>
        </w:rPr>
      </w:pPr>
      <w:r w:rsidDel="00000000" w:rsidR="00000000" w:rsidRPr="00000000">
        <w:rPr>
          <w:color w:val="000000"/>
          <w:rtl w:val="0"/>
        </w:rPr>
        <w:t xml:space="preserve">50.</w:t>
        <w:tab/>
      </w:r>
      <w:hyperlink r:id="rId417">
        <w:r w:rsidDel="00000000" w:rsidR="00000000" w:rsidRPr="00000000">
          <w:rPr>
            <w:color w:val="000000"/>
            <w:rtl w:val="0"/>
          </w:rPr>
          <w:t xml:space="preserve">Müller, U., Rösch, F. &amp; Schimmer, M. Von Haithabu nach Schleswig. Aktuelle Forschungen zur Gründung einer Metropole zwischen Wikinger- und Hansezeit. </w:t>
        </w:r>
      </w:hyperlink>
      <w:hyperlink r:id="rId418">
        <w:r w:rsidDel="00000000" w:rsidR="00000000" w:rsidRPr="00000000">
          <w:rPr>
            <w:i w:val="1"/>
            <w:color w:val="000000"/>
            <w:rtl w:val="0"/>
          </w:rPr>
          <w:t xml:space="preserve">mitt-dgamn</w:t>
        </w:r>
      </w:hyperlink>
      <w:hyperlink r:id="rId419">
        <w:r w:rsidDel="00000000" w:rsidR="00000000" w:rsidRPr="00000000">
          <w:rPr>
            <w:color w:val="000000"/>
            <w:rtl w:val="0"/>
          </w:rPr>
          <w:t xml:space="preserve"> </w:t>
        </w:r>
      </w:hyperlink>
      <w:hyperlink r:id="rId420">
        <w:r w:rsidDel="00000000" w:rsidR="00000000" w:rsidRPr="00000000">
          <w:rPr>
            <w:b w:val="1"/>
            <w:color w:val="000000"/>
            <w:rtl w:val="0"/>
          </w:rPr>
          <w:t xml:space="preserve">27</w:t>
        </w:r>
      </w:hyperlink>
      <w:hyperlink r:id="rId421">
        <w:r w:rsidDel="00000000" w:rsidR="00000000" w:rsidRPr="00000000">
          <w:rPr>
            <w:color w:val="000000"/>
            <w:rtl w:val="0"/>
          </w:rPr>
          <w:t xml:space="preserve">, 26–36 (2014).</w:t>
        </w:r>
      </w:hyperlink>
      <w:r w:rsidDel="00000000" w:rsidR="00000000" w:rsidRPr="00000000">
        <w:rPr>
          <w:rtl w:val="0"/>
        </w:rPr>
      </w:r>
    </w:p>
    <w:p w:rsidR="00000000" w:rsidDel="00000000" w:rsidP="00000000" w:rsidRDefault="00000000" w:rsidRPr="00000000" w14:paraId="00000908">
      <w:pPr>
        <w:widowControl w:val="0"/>
        <w:pBdr>
          <w:top w:space="0" w:sz="0" w:val="nil"/>
          <w:left w:space="0" w:sz="0" w:val="nil"/>
          <w:bottom w:space="0" w:sz="0" w:val="nil"/>
          <w:right w:space="0" w:sz="0" w:val="nil"/>
          <w:between w:space="0" w:sz="0" w:val="nil"/>
        </w:pBdr>
        <w:spacing w:after="0" w:line="480" w:lineRule="auto"/>
        <w:ind w:left="440" w:hanging="440"/>
        <w:rPr>
          <w:color w:val="000000"/>
        </w:rPr>
      </w:pPr>
      <w:r w:rsidDel="00000000" w:rsidR="00000000" w:rsidRPr="00000000">
        <w:rPr>
          <w:color w:val="000000"/>
          <w:rtl w:val="0"/>
        </w:rPr>
        <w:t xml:space="preserve">51.</w:t>
        <w:tab/>
      </w:r>
      <w:hyperlink r:id="rId422">
        <w:r w:rsidDel="00000000" w:rsidR="00000000" w:rsidRPr="00000000">
          <w:rPr>
            <w:color w:val="000000"/>
            <w:rtl w:val="0"/>
          </w:rPr>
          <w:t xml:space="preserve">Carnap-Bornheim, C. von. Die Schleiregion – eine archäologische Landschaft zwischen Nord- und Ostsee. in </w:t>
        </w:r>
      </w:hyperlink>
      <w:hyperlink r:id="rId423">
        <w:r w:rsidDel="00000000" w:rsidR="00000000" w:rsidRPr="00000000">
          <w:rPr>
            <w:i w:val="1"/>
            <w:color w:val="000000"/>
            <w:rtl w:val="0"/>
          </w:rPr>
          <w:t xml:space="preserve">Die Schleiregion: Land – Wasser – Geschichte</w:t>
        </w:r>
      </w:hyperlink>
      <w:hyperlink r:id="rId424">
        <w:r w:rsidDel="00000000" w:rsidR="00000000" w:rsidRPr="00000000">
          <w:rPr>
            <w:color w:val="000000"/>
            <w:rtl w:val="0"/>
          </w:rPr>
          <w:t xml:space="preserve"> (eds. Carnap-Bornheim, C. von &amp; Abegg-Wigg, A.) 14–17 (Theiss, 2007).</w:t>
        </w:r>
      </w:hyperlink>
      <w:r w:rsidDel="00000000" w:rsidR="00000000" w:rsidRPr="00000000">
        <w:rPr>
          <w:rtl w:val="0"/>
        </w:rPr>
      </w:r>
    </w:p>
    <w:p w:rsidR="00000000" w:rsidDel="00000000" w:rsidP="00000000" w:rsidRDefault="00000000" w:rsidRPr="00000000" w14:paraId="00000909">
      <w:pPr>
        <w:widowControl w:val="0"/>
        <w:pBdr>
          <w:top w:space="0" w:sz="0" w:val="nil"/>
          <w:left w:space="0" w:sz="0" w:val="nil"/>
          <w:bottom w:space="0" w:sz="0" w:val="nil"/>
          <w:right w:space="0" w:sz="0" w:val="nil"/>
          <w:between w:space="0" w:sz="0" w:val="nil"/>
        </w:pBdr>
        <w:spacing w:after="0" w:line="480" w:lineRule="auto"/>
        <w:ind w:left="440" w:hanging="440"/>
        <w:rPr>
          <w:color w:val="000000"/>
        </w:rPr>
      </w:pPr>
      <w:r w:rsidDel="00000000" w:rsidR="00000000" w:rsidRPr="00000000">
        <w:rPr>
          <w:color w:val="000000"/>
          <w:rtl w:val="0"/>
        </w:rPr>
        <w:t xml:space="preserve">52.</w:t>
        <w:tab/>
      </w:r>
      <w:hyperlink r:id="rId425">
        <w:r w:rsidDel="00000000" w:rsidR="00000000" w:rsidRPr="00000000">
          <w:rPr>
            <w:color w:val="000000"/>
            <w:rtl w:val="0"/>
          </w:rPr>
          <w:t xml:space="preserve">Maixner, B. </w:t>
        </w:r>
      </w:hyperlink>
      <w:hyperlink r:id="rId426">
        <w:r w:rsidDel="00000000" w:rsidR="00000000" w:rsidRPr="00000000">
          <w:rPr>
            <w:i w:val="1"/>
            <w:color w:val="000000"/>
            <w:rtl w:val="0"/>
          </w:rPr>
          <w:t xml:space="preserve">Haithabu Fernhandelszentrum zwischen den Welten. Begleitband zur Ausstellung im Wikinger-Museum Haithabu</w:t>
        </w:r>
      </w:hyperlink>
      <w:hyperlink r:id="rId427">
        <w:r w:rsidDel="00000000" w:rsidR="00000000" w:rsidRPr="00000000">
          <w:rPr>
            <w:color w:val="000000"/>
            <w:rtl w:val="0"/>
          </w:rPr>
          <w:t xml:space="preserve">. (Archäologisches Landesmuseum Schleswig, 2010).</w:t>
        </w:r>
      </w:hyperlink>
      <w:r w:rsidDel="00000000" w:rsidR="00000000" w:rsidRPr="00000000">
        <w:rPr>
          <w:rtl w:val="0"/>
        </w:rPr>
      </w:r>
    </w:p>
    <w:p w:rsidR="00000000" w:rsidDel="00000000" w:rsidP="00000000" w:rsidRDefault="00000000" w:rsidRPr="00000000" w14:paraId="0000090A">
      <w:pPr>
        <w:widowControl w:val="0"/>
        <w:pBdr>
          <w:top w:space="0" w:sz="0" w:val="nil"/>
          <w:left w:space="0" w:sz="0" w:val="nil"/>
          <w:bottom w:space="0" w:sz="0" w:val="nil"/>
          <w:right w:space="0" w:sz="0" w:val="nil"/>
          <w:between w:space="0" w:sz="0" w:val="nil"/>
        </w:pBdr>
        <w:spacing w:after="0" w:line="480" w:lineRule="auto"/>
        <w:ind w:left="440" w:hanging="440"/>
        <w:rPr>
          <w:color w:val="000000"/>
        </w:rPr>
      </w:pPr>
      <w:r w:rsidDel="00000000" w:rsidR="00000000" w:rsidRPr="00000000">
        <w:rPr>
          <w:color w:val="000000"/>
          <w:rtl w:val="0"/>
        </w:rPr>
        <w:t xml:space="preserve">53.</w:t>
        <w:tab/>
      </w:r>
      <w:hyperlink r:id="rId428">
        <w:r w:rsidDel="00000000" w:rsidR="00000000" w:rsidRPr="00000000">
          <w:rPr>
            <w:color w:val="000000"/>
            <w:rtl w:val="0"/>
          </w:rPr>
          <w:t xml:space="preserve">Jonsson, K. Burial Rods and Charcoal Graves: New Light on Old Burial Practices. in </w:t>
        </w:r>
      </w:hyperlink>
      <w:hyperlink r:id="rId429">
        <w:r w:rsidDel="00000000" w:rsidR="00000000" w:rsidRPr="00000000">
          <w:rPr>
            <w:i w:val="1"/>
            <w:color w:val="000000"/>
            <w:rtl w:val="0"/>
          </w:rPr>
          <w:t xml:space="preserve">Viking and Medieval Scandinavia</w:t>
        </w:r>
      </w:hyperlink>
      <w:hyperlink r:id="rId430">
        <w:r w:rsidDel="00000000" w:rsidR="00000000" w:rsidRPr="00000000">
          <w:rPr>
            <w:color w:val="000000"/>
            <w:rtl w:val="0"/>
          </w:rPr>
          <w:t xml:space="preserve"> (eds. Quinn, J., Brink, S. &amp; Hines, J.) vol. 3 43–73 (2007).</w:t>
        </w:r>
      </w:hyperlink>
      <w:r w:rsidDel="00000000" w:rsidR="00000000" w:rsidRPr="00000000">
        <w:rPr>
          <w:rtl w:val="0"/>
        </w:rPr>
      </w:r>
    </w:p>
    <w:p w:rsidR="00000000" w:rsidDel="00000000" w:rsidP="00000000" w:rsidRDefault="00000000" w:rsidRPr="00000000" w14:paraId="0000090B">
      <w:pPr>
        <w:widowControl w:val="0"/>
        <w:pBdr>
          <w:top w:space="0" w:sz="0" w:val="nil"/>
          <w:left w:space="0" w:sz="0" w:val="nil"/>
          <w:bottom w:space="0" w:sz="0" w:val="nil"/>
          <w:right w:space="0" w:sz="0" w:val="nil"/>
          <w:between w:space="0" w:sz="0" w:val="nil"/>
        </w:pBdr>
        <w:spacing w:after="0" w:line="480" w:lineRule="auto"/>
        <w:ind w:left="440" w:hanging="440"/>
        <w:rPr>
          <w:color w:val="000000"/>
        </w:rPr>
      </w:pPr>
      <w:r w:rsidDel="00000000" w:rsidR="00000000" w:rsidRPr="00000000">
        <w:rPr>
          <w:color w:val="000000"/>
          <w:rtl w:val="0"/>
        </w:rPr>
        <w:t xml:space="preserve">54.</w:t>
        <w:tab/>
      </w:r>
      <w:hyperlink r:id="rId431">
        <w:r w:rsidDel="00000000" w:rsidR="00000000" w:rsidRPr="00000000">
          <w:rPr>
            <w:color w:val="000000"/>
            <w:rtl w:val="0"/>
          </w:rPr>
          <w:t xml:space="preserve">Genetic Analysis of Psoriasis Consortium &amp; the Wellcome Trust Case Control Consortium 2 </w:t>
        </w:r>
      </w:hyperlink>
      <w:hyperlink r:id="rId432">
        <w:r w:rsidDel="00000000" w:rsidR="00000000" w:rsidRPr="00000000">
          <w:rPr>
            <w:i w:val="1"/>
            <w:color w:val="000000"/>
            <w:rtl w:val="0"/>
          </w:rPr>
          <w:t xml:space="preserve">et al.</w:t>
        </w:r>
      </w:hyperlink>
      <w:hyperlink r:id="rId433">
        <w:r w:rsidDel="00000000" w:rsidR="00000000" w:rsidRPr="00000000">
          <w:rPr>
            <w:color w:val="000000"/>
            <w:rtl w:val="0"/>
          </w:rPr>
          <w:t xml:space="preserve"> A genome-wide association study identifies new psoriasis susceptibility loci and an interaction between HLA-C and ERAP1. </w:t>
        </w:r>
      </w:hyperlink>
      <w:hyperlink r:id="rId434">
        <w:r w:rsidDel="00000000" w:rsidR="00000000" w:rsidRPr="00000000">
          <w:rPr>
            <w:i w:val="1"/>
            <w:color w:val="000000"/>
            <w:rtl w:val="0"/>
          </w:rPr>
          <w:t xml:space="preserve">Nat. Genet.</w:t>
        </w:r>
      </w:hyperlink>
      <w:hyperlink r:id="rId435">
        <w:r w:rsidDel="00000000" w:rsidR="00000000" w:rsidRPr="00000000">
          <w:rPr>
            <w:color w:val="000000"/>
            <w:rtl w:val="0"/>
          </w:rPr>
          <w:t xml:space="preserve"> </w:t>
        </w:r>
      </w:hyperlink>
      <w:hyperlink r:id="rId436">
        <w:r w:rsidDel="00000000" w:rsidR="00000000" w:rsidRPr="00000000">
          <w:rPr>
            <w:b w:val="1"/>
            <w:color w:val="000000"/>
            <w:rtl w:val="0"/>
          </w:rPr>
          <w:t xml:space="preserve">42</w:t>
        </w:r>
      </w:hyperlink>
      <w:hyperlink r:id="rId437">
        <w:r w:rsidDel="00000000" w:rsidR="00000000" w:rsidRPr="00000000">
          <w:rPr>
            <w:color w:val="000000"/>
            <w:rtl w:val="0"/>
          </w:rPr>
          <w:t xml:space="preserve">, 985–990 (2010).</w:t>
        </w:r>
      </w:hyperlink>
      <w:r w:rsidDel="00000000" w:rsidR="00000000" w:rsidRPr="00000000">
        <w:rPr>
          <w:rtl w:val="0"/>
        </w:rPr>
      </w:r>
    </w:p>
    <w:p w:rsidR="00000000" w:rsidDel="00000000" w:rsidP="00000000" w:rsidRDefault="00000000" w:rsidRPr="00000000" w14:paraId="0000090C">
      <w:pPr>
        <w:widowControl w:val="0"/>
        <w:pBdr>
          <w:top w:space="0" w:sz="0" w:val="nil"/>
          <w:left w:space="0" w:sz="0" w:val="nil"/>
          <w:bottom w:space="0" w:sz="0" w:val="nil"/>
          <w:right w:space="0" w:sz="0" w:val="nil"/>
          <w:between w:space="0" w:sz="0" w:val="nil"/>
        </w:pBdr>
        <w:spacing w:after="0" w:line="480" w:lineRule="auto"/>
        <w:ind w:left="440" w:hanging="440"/>
        <w:rPr>
          <w:color w:val="000000"/>
        </w:rPr>
      </w:pPr>
      <w:r w:rsidDel="00000000" w:rsidR="00000000" w:rsidRPr="00000000">
        <w:rPr>
          <w:color w:val="000000"/>
          <w:rtl w:val="0"/>
        </w:rPr>
        <w:t xml:space="preserve">55.</w:t>
        <w:tab/>
      </w:r>
      <w:hyperlink r:id="rId438">
        <w:r w:rsidDel="00000000" w:rsidR="00000000" w:rsidRPr="00000000">
          <w:rPr>
            <w:color w:val="000000"/>
            <w:rtl w:val="0"/>
          </w:rPr>
          <w:t xml:space="preserve">International Multiple Sclerosis Genetics Consortium </w:t>
        </w:r>
      </w:hyperlink>
      <w:hyperlink r:id="rId439">
        <w:r w:rsidDel="00000000" w:rsidR="00000000" w:rsidRPr="00000000">
          <w:rPr>
            <w:i w:val="1"/>
            <w:color w:val="000000"/>
            <w:rtl w:val="0"/>
          </w:rPr>
          <w:t xml:space="preserve">et al.</w:t>
        </w:r>
      </w:hyperlink>
      <w:hyperlink r:id="rId440">
        <w:r w:rsidDel="00000000" w:rsidR="00000000" w:rsidRPr="00000000">
          <w:rPr>
            <w:color w:val="000000"/>
            <w:rtl w:val="0"/>
          </w:rPr>
          <w:t xml:space="preserve"> Genetic risk and a primary role for cell-mediated immune mechanisms in multiple sclerosis. </w:t>
        </w:r>
      </w:hyperlink>
      <w:hyperlink r:id="rId441">
        <w:r w:rsidDel="00000000" w:rsidR="00000000" w:rsidRPr="00000000">
          <w:rPr>
            <w:i w:val="1"/>
            <w:color w:val="000000"/>
            <w:rtl w:val="0"/>
          </w:rPr>
          <w:t xml:space="preserve">Nature</w:t>
        </w:r>
      </w:hyperlink>
      <w:hyperlink r:id="rId442">
        <w:r w:rsidDel="00000000" w:rsidR="00000000" w:rsidRPr="00000000">
          <w:rPr>
            <w:color w:val="000000"/>
            <w:rtl w:val="0"/>
          </w:rPr>
          <w:t xml:space="preserve"> </w:t>
        </w:r>
      </w:hyperlink>
      <w:hyperlink r:id="rId443">
        <w:r w:rsidDel="00000000" w:rsidR="00000000" w:rsidRPr="00000000">
          <w:rPr>
            <w:b w:val="1"/>
            <w:color w:val="000000"/>
            <w:rtl w:val="0"/>
          </w:rPr>
          <w:t xml:space="preserve">476</w:t>
        </w:r>
      </w:hyperlink>
      <w:hyperlink r:id="rId444">
        <w:r w:rsidDel="00000000" w:rsidR="00000000" w:rsidRPr="00000000">
          <w:rPr>
            <w:color w:val="000000"/>
            <w:rtl w:val="0"/>
          </w:rPr>
          <w:t xml:space="preserve">, 214–219 (2011).</w:t>
        </w:r>
      </w:hyperlink>
      <w:r w:rsidDel="00000000" w:rsidR="00000000" w:rsidRPr="00000000">
        <w:rPr>
          <w:rtl w:val="0"/>
        </w:rPr>
      </w:r>
    </w:p>
    <w:p w:rsidR="00000000" w:rsidDel="00000000" w:rsidP="00000000" w:rsidRDefault="00000000" w:rsidRPr="00000000" w14:paraId="0000090D">
      <w:pPr>
        <w:widowControl w:val="0"/>
        <w:pBdr>
          <w:top w:space="0" w:sz="0" w:val="nil"/>
          <w:left w:space="0" w:sz="0" w:val="nil"/>
          <w:bottom w:space="0" w:sz="0" w:val="nil"/>
          <w:right w:space="0" w:sz="0" w:val="nil"/>
          <w:between w:space="0" w:sz="0" w:val="nil"/>
        </w:pBdr>
        <w:spacing w:after="0" w:line="480" w:lineRule="auto"/>
        <w:ind w:left="440" w:hanging="440"/>
        <w:rPr>
          <w:color w:val="000000"/>
        </w:rPr>
      </w:pPr>
      <w:r w:rsidDel="00000000" w:rsidR="00000000" w:rsidRPr="00000000">
        <w:rPr>
          <w:color w:val="000000"/>
          <w:rtl w:val="0"/>
        </w:rPr>
        <w:t xml:space="preserve">56.</w:t>
        <w:tab/>
      </w:r>
      <w:hyperlink r:id="rId445">
        <w:r w:rsidDel="00000000" w:rsidR="00000000" w:rsidRPr="00000000">
          <w:rPr>
            <w:color w:val="000000"/>
            <w:rtl w:val="0"/>
          </w:rPr>
          <w:t xml:space="preserve">Leslie, S. </w:t>
        </w:r>
      </w:hyperlink>
      <w:hyperlink r:id="rId446">
        <w:r w:rsidDel="00000000" w:rsidR="00000000" w:rsidRPr="00000000">
          <w:rPr>
            <w:i w:val="1"/>
            <w:color w:val="000000"/>
            <w:rtl w:val="0"/>
          </w:rPr>
          <w:t xml:space="preserve">et al.</w:t>
        </w:r>
      </w:hyperlink>
      <w:hyperlink r:id="rId447">
        <w:r w:rsidDel="00000000" w:rsidR="00000000" w:rsidRPr="00000000">
          <w:rPr>
            <w:color w:val="000000"/>
            <w:rtl w:val="0"/>
          </w:rPr>
          <w:t xml:space="preserve"> The fine-scale genetic structure of the British population. </w:t>
        </w:r>
      </w:hyperlink>
      <w:hyperlink r:id="rId448">
        <w:r w:rsidDel="00000000" w:rsidR="00000000" w:rsidRPr="00000000">
          <w:rPr>
            <w:i w:val="1"/>
            <w:color w:val="000000"/>
            <w:rtl w:val="0"/>
          </w:rPr>
          <w:t xml:space="preserve">Nature</w:t>
        </w:r>
      </w:hyperlink>
      <w:hyperlink r:id="rId449">
        <w:r w:rsidDel="00000000" w:rsidR="00000000" w:rsidRPr="00000000">
          <w:rPr>
            <w:color w:val="000000"/>
            <w:rtl w:val="0"/>
          </w:rPr>
          <w:t xml:space="preserve"> </w:t>
        </w:r>
      </w:hyperlink>
      <w:hyperlink r:id="rId450">
        <w:r w:rsidDel="00000000" w:rsidR="00000000" w:rsidRPr="00000000">
          <w:rPr>
            <w:b w:val="1"/>
            <w:color w:val="000000"/>
            <w:rtl w:val="0"/>
          </w:rPr>
          <w:t xml:space="preserve">519</w:t>
        </w:r>
      </w:hyperlink>
      <w:hyperlink r:id="rId451">
        <w:r w:rsidDel="00000000" w:rsidR="00000000" w:rsidRPr="00000000">
          <w:rPr>
            <w:color w:val="000000"/>
            <w:rtl w:val="0"/>
          </w:rPr>
          <w:t xml:space="preserve">, 309–314 (2015).</w:t>
        </w:r>
      </w:hyperlink>
      <w:r w:rsidDel="00000000" w:rsidR="00000000" w:rsidRPr="00000000">
        <w:rPr>
          <w:rtl w:val="0"/>
        </w:rPr>
      </w:r>
    </w:p>
    <w:p w:rsidR="00000000" w:rsidDel="00000000" w:rsidP="00000000" w:rsidRDefault="00000000" w:rsidRPr="00000000" w14:paraId="0000090E">
      <w:pPr>
        <w:widowControl w:val="0"/>
        <w:pBdr>
          <w:top w:space="0" w:sz="0" w:val="nil"/>
          <w:left w:space="0" w:sz="0" w:val="nil"/>
          <w:bottom w:space="0" w:sz="0" w:val="nil"/>
          <w:right w:space="0" w:sz="0" w:val="nil"/>
          <w:between w:space="0" w:sz="0" w:val="nil"/>
        </w:pBdr>
        <w:spacing w:after="0" w:line="480" w:lineRule="auto"/>
        <w:ind w:left="440" w:hanging="440"/>
        <w:rPr>
          <w:color w:val="000000"/>
        </w:rPr>
      </w:pPr>
      <w:r w:rsidDel="00000000" w:rsidR="00000000" w:rsidRPr="00000000">
        <w:rPr>
          <w:color w:val="000000"/>
          <w:rtl w:val="0"/>
        </w:rPr>
        <w:t xml:space="preserve">57.</w:t>
        <w:tab/>
      </w:r>
      <w:hyperlink r:id="rId452">
        <w:r w:rsidDel="00000000" w:rsidR="00000000" w:rsidRPr="00000000">
          <w:rPr>
            <w:color w:val="000000"/>
            <w:rtl w:val="0"/>
          </w:rPr>
          <w:t xml:space="preserve">Price, A. L. </w:t>
        </w:r>
      </w:hyperlink>
      <w:hyperlink r:id="rId453">
        <w:r w:rsidDel="00000000" w:rsidR="00000000" w:rsidRPr="00000000">
          <w:rPr>
            <w:i w:val="1"/>
            <w:color w:val="000000"/>
            <w:rtl w:val="0"/>
          </w:rPr>
          <w:t xml:space="preserve">et al.</w:t>
        </w:r>
      </w:hyperlink>
      <w:hyperlink r:id="rId454">
        <w:r w:rsidDel="00000000" w:rsidR="00000000" w:rsidRPr="00000000">
          <w:rPr>
            <w:color w:val="000000"/>
            <w:rtl w:val="0"/>
          </w:rPr>
          <w:t xml:space="preserve"> Long-range LD can confound genome scans in admixed populations. </w:t>
        </w:r>
      </w:hyperlink>
      <w:hyperlink r:id="rId455">
        <w:r w:rsidDel="00000000" w:rsidR="00000000" w:rsidRPr="00000000">
          <w:rPr>
            <w:i w:val="1"/>
            <w:color w:val="000000"/>
            <w:rtl w:val="0"/>
          </w:rPr>
          <w:t xml:space="preserve">American journal of human genetics</w:t>
        </w:r>
      </w:hyperlink>
      <w:hyperlink r:id="rId456">
        <w:r w:rsidDel="00000000" w:rsidR="00000000" w:rsidRPr="00000000">
          <w:rPr>
            <w:color w:val="000000"/>
            <w:rtl w:val="0"/>
          </w:rPr>
          <w:t xml:space="preserve"> vol. 83 132–5; author reply 135–9 (2008).</w:t>
        </w:r>
      </w:hyperlink>
      <w:r w:rsidDel="00000000" w:rsidR="00000000" w:rsidRPr="00000000">
        <w:rPr>
          <w:rtl w:val="0"/>
        </w:rPr>
      </w:r>
    </w:p>
    <w:p w:rsidR="00000000" w:rsidDel="00000000" w:rsidP="00000000" w:rsidRDefault="00000000" w:rsidRPr="00000000" w14:paraId="0000090F">
      <w:pPr>
        <w:widowControl w:val="0"/>
        <w:pBdr>
          <w:top w:space="0" w:sz="0" w:val="nil"/>
          <w:left w:space="0" w:sz="0" w:val="nil"/>
          <w:bottom w:space="0" w:sz="0" w:val="nil"/>
          <w:right w:space="0" w:sz="0" w:val="nil"/>
          <w:between w:space="0" w:sz="0" w:val="nil"/>
        </w:pBdr>
        <w:spacing w:after="0" w:line="480" w:lineRule="auto"/>
        <w:ind w:left="440" w:hanging="440"/>
        <w:rPr>
          <w:color w:val="000000"/>
        </w:rPr>
      </w:pPr>
      <w:r w:rsidDel="00000000" w:rsidR="00000000" w:rsidRPr="00000000">
        <w:rPr>
          <w:color w:val="000000"/>
          <w:rtl w:val="0"/>
        </w:rPr>
        <w:t xml:space="preserve">58.</w:t>
        <w:tab/>
      </w:r>
      <w:hyperlink r:id="rId457">
        <w:r w:rsidDel="00000000" w:rsidR="00000000" w:rsidRPr="00000000">
          <w:rPr>
            <w:color w:val="000000"/>
            <w:rtl w:val="0"/>
          </w:rPr>
          <w:t xml:space="preserve">Salm, M. P. A. </w:t>
        </w:r>
      </w:hyperlink>
      <w:hyperlink r:id="rId458">
        <w:r w:rsidDel="00000000" w:rsidR="00000000" w:rsidRPr="00000000">
          <w:rPr>
            <w:i w:val="1"/>
            <w:color w:val="000000"/>
            <w:rtl w:val="0"/>
          </w:rPr>
          <w:t xml:space="preserve">et al.</w:t>
        </w:r>
      </w:hyperlink>
      <w:hyperlink r:id="rId459">
        <w:r w:rsidDel="00000000" w:rsidR="00000000" w:rsidRPr="00000000">
          <w:rPr>
            <w:color w:val="000000"/>
            <w:rtl w:val="0"/>
          </w:rPr>
          <w:t xml:space="preserve"> The origin, global distribution, and functional impact of the human 8p23 inversion polymorphism. </w:t>
        </w:r>
      </w:hyperlink>
      <w:hyperlink r:id="rId460">
        <w:r w:rsidDel="00000000" w:rsidR="00000000" w:rsidRPr="00000000">
          <w:rPr>
            <w:i w:val="1"/>
            <w:color w:val="000000"/>
            <w:rtl w:val="0"/>
          </w:rPr>
          <w:t xml:space="preserve">Genome Res.</w:t>
        </w:r>
      </w:hyperlink>
      <w:hyperlink r:id="rId461">
        <w:r w:rsidDel="00000000" w:rsidR="00000000" w:rsidRPr="00000000">
          <w:rPr>
            <w:color w:val="000000"/>
            <w:rtl w:val="0"/>
          </w:rPr>
          <w:t xml:space="preserve"> </w:t>
        </w:r>
      </w:hyperlink>
      <w:hyperlink r:id="rId462">
        <w:r w:rsidDel="00000000" w:rsidR="00000000" w:rsidRPr="00000000">
          <w:rPr>
            <w:b w:val="1"/>
            <w:color w:val="000000"/>
            <w:rtl w:val="0"/>
          </w:rPr>
          <w:t xml:space="preserve">22</w:t>
        </w:r>
      </w:hyperlink>
      <w:hyperlink r:id="rId463">
        <w:r w:rsidDel="00000000" w:rsidR="00000000" w:rsidRPr="00000000">
          <w:rPr>
            <w:color w:val="000000"/>
            <w:rtl w:val="0"/>
          </w:rPr>
          <w:t xml:space="preserve">, 1144–1153 (2012).</w:t>
        </w:r>
      </w:hyperlink>
      <w:r w:rsidDel="00000000" w:rsidR="00000000" w:rsidRPr="00000000">
        <w:rPr>
          <w:rtl w:val="0"/>
        </w:rPr>
      </w:r>
    </w:p>
    <w:p w:rsidR="00000000" w:rsidDel="00000000" w:rsidP="00000000" w:rsidRDefault="00000000" w:rsidRPr="00000000" w14:paraId="00000910">
      <w:pPr>
        <w:widowControl w:val="0"/>
        <w:pBdr>
          <w:top w:space="0" w:sz="0" w:val="nil"/>
          <w:left w:space="0" w:sz="0" w:val="nil"/>
          <w:bottom w:space="0" w:sz="0" w:val="nil"/>
          <w:right w:space="0" w:sz="0" w:val="nil"/>
          <w:between w:space="0" w:sz="0" w:val="nil"/>
        </w:pBdr>
        <w:spacing w:after="0" w:line="480" w:lineRule="auto"/>
        <w:ind w:left="440" w:hanging="440"/>
        <w:rPr>
          <w:color w:val="000000"/>
        </w:rPr>
      </w:pPr>
      <w:r w:rsidDel="00000000" w:rsidR="00000000" w:rsidRPr="00000000">
        <w:rPr>
          <w:color w:val="000000"/>
          <w:rtl w:val="0"/>
        </w:rPr>
        <w:t xml:space="preserve">59.</w:t>
        <w:tab/>
      </w:r>
      <w:hyperlink r:id="rId464">
        <w:r w:rsidDel="00000000" w:rsidR="00000000" w:rsidRPr="00000000">
          <w:rPr>
            <w:color w:val="000000"/>
            <w:rtl w:val="0"/>
          </w:rPr>
          <w:t xml:space="preserve">Galinsky, K. J., Loh, P.-R., Mallick, S., Patterson, N. J. &amp; Price, A. L. Population Structure of UK Biobank and Ancient Eurasians Reveals Adaptation at Genes Influencing Blood Pressure. </w:t>
        </w:r>
      </w:hyperlink>
      <w:hyperlink r:id="rId465">
        <w:r w:rsidDel="00000000" w:rsidR="00000000" w:rsidRPr="00000000">
          <w:rPr>
            <w:i w:val="1"/>
            <w:color w:val="000000"/>
            <w:rtl w:val="0"/>
          </w:rPr>
          <w:t xml:space="preserve">Am. J. Hum. Genet.</w:t>
        </w:r>
      </w:hyperlink>
      <w:hyperlink r:id="rId466">
        <w:r w:rsidDel="00000000" w:rsidR="00000000" w:rsidRPr="00000000">
          <w:rPr>
            <w:color w:val="000000"/>
            <w:rtl w:val="0"/>
          </w:rPr>
          <w:t xml:space="preserve"> </w:t>
        </w:r>
      </w:hyperlink>
      <w:hyperlink r:id="rId467">
        <w:r w:rsidDel="00000000" w:rsidR="00000000" w:rsidRPr="00000000">
          <w:rPr>
            <w:b w:val="1"/>
            <w:color w:val="000000"/>
            <w:rtl w:val="0"/>
          </w:rPr>
          <w:t xml:space="preserve">99</w:t>
        </w:r>
      </w:hyperlink>
      <w:hyperlink r:id="rId468">
        <w:r w:rsidDel="00000000" w:rsidR="00000000" w:rsidRPr="00000000">
          <w:rPr>
            <w:color w:val="000000"/>
            <w:rtl w:val="0"/>
          </w:rPr>
          <w:t xml:space="preserve">, 1130–1139 (2016).</w:t>
        </w:r>
      </w:hyperlink>
      <w:r w:rsidDel="00000000" w:rsidR="00000000" w:rsidRPr="00000000">
        <w:rPr>
          <w:rtl w:val="0"/>
        </w:rPr>
      </w:r>
    </w:p>
    <w:p w:rsidR="00000000" w:rsidDel="00000000" w:rsidP="00000000" w:rsidRDefault="00000000" w:rsidRPr="00000000" w14:paraId="00000911">
      <w:pPr>
        <w:widowControl w:val="0"/>
        <w:pBdr>
          <w:top w:space="0" w:sz="0" w:val="nil"/>
          <w:left w:space="0" w:sz="0" w:val="nil"/>
          <w:bottom w:space="0" w:sz="0" w:val="nil"/>
          <w:right w:space="0" w:sz="0" w:val="nil"/>
          <w:between w:space="0" w:sz="0" w:val="nil"/>
        </w:pBdr>
        <w:spacing w:after="0" w:line="480" w:lineRule="auto"/>
        <w:ind w:left="440" w:hanging="440"/>
        <w:rPr>
          <w:color w:val="000000"/>
        </w:rPr>
      </w:pPr>
      <w:r w:rsidDel="00000000" w:rsidR="00000000" w:rsidRPr="00000000">
        <w:rPr>
          <w:color w:val="000000"/>
          <w:rtl w:val="0"/>
        </w:rPr>
        <w:t xml:space="preserve">60.</w:t>
        <w:tab/>
      </w:r>
      <w:hyperlink r:id="rId469">
        <w:r w:rsidDel="00000000" w:rsidR="00000000" w:rsidRPr="00000000">
          <w:rPr>
            <w:color w:val="000000"/>
            <w:rtl w:val="0"/>
          </w:rPr>
          <w:t xml:space="preserve">Anderson, C. A. </w:t>
        </w:r>
      </w:hyperlink>
      <w:hyperlink r:id="rId470">
        <w:r w:rsidDel="00000000" w:rsidR="00000000" w:rsidRPr="00000000">
          <w:rPr>
            <w:i w:val="1"/>
            <w:color w:val="000000"/>
            <w:rtl w:val="0"/>
          </w:rPr>
          <w:t xml:space="preserve">et al.</w:t>
        </w:r>
      </w:hyperlink>
      <w:hyperlink r:id="rId471">
        <w:r w:rsidDel="00000000" w:rsidR="00000000" w:rsidRPr="00000000">
          <w:rPr>
            <w:color w:val="000000"/>
            <w:rtl w:val="0"/>
          </w:rPr>
          <w:t xml:space="preserve"> Data quality control in genetic case-control association studies. </w:t>
        </w:r>
      </w:hyperlink>
      <w:hyperlink r:id="rId472">
        <w:r w:rsidDel="00000000" w:rsidR="00000000" w:rsidRPr="00000000">
          <w:rPr>
            <w:i w:val="1"/>
            <w:color w:val="000000"/>
            <w:rtl w:val="0"/>
          </w:rPr>
          <w:t xml:space="preserve">Nat. Protoc.</w:t>
        </w:r>
      </w:hyperlink>
      <w:hyperlink r:id="rId473">
        <w:r w:rsidDel="00000000" w:rsidR="00000000" w:rsidRPr="00000000">
          <w:rPr>
            <w:color w:val="000000"/>
            <w:rtl w:val="0"/>
          </w:rPr>
          <w:t xml:space="preserve"> </w:t>
        </w:r>
      </w:hyperlink>
      <w:hyperlink r:id="rId474">
        <w:r w:rsidDel="00000000" w:rsidR="00000000" w:rsidRPr="00000000">
          <w:rPr>
            <w:b w:val="1"/>
            <w:color w:val="000000"/>
            <w:rtl w:val="0"/>
          </w:rPr>
          <w:t xml:space="preserve">5</w:t>
        </w:r>
      </w:hyperlink>
      <w:hyperlink r:id="rId475">
        <w:r w:rsidDel="00000000" w:rsidR="00000000" w:rsidRPr="00000000">
          <w:rPr>
            <w:color w:val="000000"/>
            <w:rtl w:val="0"/>
          </w:rPr>
          <w:t xml:space="preserve">, 1564–1573 (2010).</w:t>
        </w:r>
      </w:hyperlink>
      <w:r w:rsidDel="00000000" w:rsidR="00000000" w:rsidRPr="00000000">
        <w:rPr>
          <w:rtl w:val="0"/>
        </w:rPr>
      </w:r>
    </w:p>
    <w:p w:rsidR="00000000" w:rsidDel="00000000" w:rsidP="00000000" w:rsidRDefault="00000000" w:rsidRPr="00000000" w14:paraId="00000912">
      <w:pPr>
        <w:widowControl w:val="0"/>
        <w:pBdr>
          <w:top w:space="0" w:sz="0" w:val="nil"/>
          <w:left w:space="0" w:sz="0" w:val="nil"/>
          <w:bottom w:space="0" w:sz="0" w:val="nil"/>
          <w:right w:space="0" w:sz="0" w:val="nil"/>
          <w:between w:space="0" w:sz="0" w:val="nil"/>
        </w:pBdr>
        <w:spacing w:after="0" w:line="480" w:lineRule="auto"/>
        <w:ind w:left="440" w:hanging="440"/>
        <w:rPr>
          <w:color w:val="000000"/>
        </w:rPr>
      </w:pPr>
      <w:r w:rsidDel="00000000" w:rsidR="00000000" w:rsidRPr="00000000">
        <w:rPr>
          <w:color w:val="000000"/>
          <w:rtl w:val="0"/>
        </w:rPr>
        <w:t xml:space="preserve">61.</w:t>
        <w:tab/>
      </w:r>
      <w:hyperlink r:id="rId476">
        <w:r w:rsidDel="00000000" w:rsidR="00000000" w:rsidRPr="00000000">
          <w:rPr>
            <w:color w:val="000000"/>
            <w:rtl w:val="0"/>
          </w:rPr>
          <w:t xml:space="preserve">Purcell, S. </w:t>
        </w:r>
      </w:hyperlink>
      <w:hyperlink r:id="rId477">
        <w:r w:rsidDel="00000000" w:rsidR="00000000" w:rsidRPr="00000000">
          <w:rPr>
            <w:i w:val="1"/>
            <w:color w:val="000000"/>
            <w:rtl w:val="0"/>
          </w:rPr>
          <w:t xml:space="preserve">et al.</w:t>
        </w:r>
      </w:hyperlink>
      <w:hyperlink r:id="rId478">
        <w:r w:rsidDel="00000000" w:rsidR="00000000" w:rsidRPr="00000000">
          <w:rPr>
            <w:color w:val="000000"/>
            <w:rtl w:val="0"/>
          </w:rPr>
          <w:t xml:space="preserve"> PLINK: a tool set for whole-genome association and population-based linkage analyses. </w:t>
        </w:r>
      </w:hyperlink>
      <w:hyperlink r:id="rId479">
        <w:r w:rsidDel="00000000" w:rsidR="00000000" w:rsidRPr="00000000">
          <w:rPr>
            <w:i w:val="1"/>
            <w:color w:val="000000"/>
            <w:rtl w:val="0"/>
          </w:rPr>
          <w:t xml:space="preserve">Am. J. Hum. Genet.</w:t>
        </w:r>
      </w:hyperlink>
      <w:hyperlink r:id="rId480">
        <w:r w:rsidDel="00000000" w:rsidR="00000000" w:rsidRPr="00000000">
          <w:rPr>
            <w:color w:val="000000"/>
            <w:rtl w:val="0"/>
          </w:rPr>
          <w:t xml:space="preserve"> </w:t>
        </w:r>
      </w:hyperlink>
      <w:hyperlink r:id="rId481">
        <w:r w:rsidDel="00000000" w:rsidR="00000000" w:rsidRPr="00000000">
          <w:rPr>
            <w:b w:val="1"/>
            <w:color w:val="000000"/>
            <w:rtl w:val="0"/>
          </w:rPr>
          <w:t xml:space="preserve">81</w:t>
        </w:r>
      </w:hyperlink>
      <w:hyperlink r:id="rId482">
        <w:r w:rsidDel="00000000" w:rsidR="00000000" w:rsidRPr="00000000">
          <w:rPr>
            <w:color w:val="000000"/>
            <w:rtl w:val="0"/>
          </w:rPr>
          <w:t xml:space="preserve">, 559–575 (2007).</w:t>
        </w:r>
      </w:hyperlink>
      <w:r w:rsidDel="00000000" w:rsidR="00000000" w:rsidRPr="00000000">
        <w:rPr>
          <w:rtl w:val="0"/>
        </w:rPr>
      </w:r>
    </w:p>
    <w:p w:rsidR="00000000" w:rsidDel="00000000" w:rsidP="00000000" w:rsidRDefault="00000000" w:rsidRPr="00000000" w14:paraId="00000913">
      <w:pPr>
        <w:widowControl w:val="0"/>
        <w:pBdr>
          <w:top w:space="0" w:sz="0" w:val="nil"/>
          <w:left w:space="0" w:sz="0" w:val="nil"/>
          <w:bottom w:space="0" w:sz="0" w:val="nil"/>
          <w:right w:space="0" w:sz="0" w:val="nil"/>
          <w:between w:space="0" w:sz="0" w:val="nil"/>
        </w:pBdr>
        <w:spacing w:after="0" w:line="480" w:lineRule="auto"/>
        <w:ind w:left="440" w:hanging="440"/>
        <w:rPr>
          <w:color w:val="000000"/>
        </w:rPr>
      </w:pPr>
      <w:r w:rsidDel="00000000" w:rsidR="00000000" w:rsidRPr="00000000">
        <w:rPr>
          <w:color w:val="000000"/>
          <w:rtl w:val="0"/>
        </w:rPr>
        <w:t xml:space="preserve">62.</w:t>
        <w:tab/>
      </w:r>
      <w:hyperlink r:id="rId483">
        <w:r w:rsidDel="00000000" w:rsidR="00000000" w:rsidRPr="00000000">
          <w:rPr>
            <w:color w:val="000000"/>
            <w:rtl w:val="0"/>
          </w:rPr>
          <w:t xml:space="preserve">Behar, D. M. </w:t>
        </w:r>
      </w:hyperlink>
      <w:hyperlink r:id="rId484">
        <w:r w:rsidDel="00000000" w:rsidR="00000000" w:rsidRPr="00000000">
          <w:rPr>
            <w:i w:val="1"/>
            <w:color w:val="000000"/>
            <w:rtl w:val="0"/>
          </w:rPr>
          <w:t xml:space="preserve">et al.</w:t>
        </w:r>
      </w:hyperlink>
      <w:hyperlink r:id="rId485">
        <w:r w:rsidDel="00000000" w:rsidR="00000000" w:rsidRPr="00000000">
          <w:rPr>
            <w:color w:val="000000"/>
            <w:rtl w:val="0"/>
          </w:rPr>
          <w:t xml:space="preserve"> The genome-wide structure of the Jewish people. </w:t>
        </w:r>
      </w:hyperlink>
      <w:hyperlink r:id="rId486">
        <w:r w:rsidDel="00000000" w:rsidR="00000000" w:rsidRPr="00000000">
          <w:rPr>
            <w:i w:val="1"/>
            <w:color w:val="000000"/>
            <w:rtl w:val="0"/>
          </w:rPr>
          <w:t xml:space="preserve">Nature</w:t>
        </w:r>
      </w:hyperlink>
      <w:hyperlink r:id="rId487">
        <w:r w:rsidDel="00000000" w:rsidR="00000000" w:rsidRPr="00000000">
          <w:rPr>
            <w:color w:val="000000"/>
            <w:rtl w:val="0"/>
          </w:rPr>
          <w:t xml:space="preserve"> </w:t>
        </w:r>
      </w:hyperlink>
      <w:hyperlink r:id="rId488">
        <w:r w:rsidDel="00000000" w:rsidR="00000000" w:rsidRPr="00000000">
          <w:rPr>
            <w:b w:val="1"/>
            <w:color w:val="000000"/>
            <w:rtl w:val="0"/>
          </w:rPr>
          <w:t xml:space="preserve">466</w:t>
        </w:r>
      </w:hyperlink>
      <w:hyperlink r:id="rId489">
        <w:r w:rsidDel="00000000" w:rsidR="00000000" w:rsidRPr="00000000">
          <w:rPr>
            <w:color w:val="000000"/>
            <w:rtl w:val="0"/>
          </w:rPr>
          <w:t xml:space="preserve">, 238–242 (2010).</w:t>
        </w:r>
      </w:hyperlink>
      <w:r w:rsidDel="00000000" w:rsidR="00000000" w:rsidRPr="00000000">
        <w:rPr>
          <w:rtl w:val="0"/>
        </w:rPr>
      </w:r>
    </w:p>
    <w:p w:rsidR="00000000" w:rsidDel="00000000" w:rsidP="00000000" w:rsidRDefault="00000000" w:rsidRPr="00000000" w14:paraId="00000914">
      <w:pPr>
        <w:widowControl w:val="0"/>
        <w:pBdr>
          <w:top w:space="0" w:sz="0" w:val="nil"/>
          <w:left w:space="0" w:sz="0" w:val="nil"/>
          <w:bottom w:space="0" w:sz="0" w:val="nil"/>
          <w:right w:space="0" w:sz="0" w:val="nil"/>
          <w:between w:space="0" w:sz="0" w:val="nil"/>
        </w:pBdr>
        <w:spacing w:after="0" w:line="480" w:lineRule="auto"/>
        <w:ind w:left="440" w:hanging="440"/>
        <w:rPr>
          <w:color w:val="000000"/>
        </w:rPr>
      </w:pPr>
      <w:r w:rsidDel="00000000" w:rsidR="00000000" w:rsidRPr="00000000">
        <w:rPr>
          <w:color w:val="000000"/>
          <w:rtl w:val="0"/>
        </w:rPr>
        <w:t xml:space="preserve">63.</w:t>
        <w:tab/>
      </w:r>
      <w:hyperlink r:id="rId490">
        <w:r w:rsidDel="00000000" w:rsidR="00000000" w:rsidRPr="00000000">
          <w:rPr>
            <w:color w:val="000000"/>
            <w:rtl w:val="0"/>
          </w:rPr>
          <w:t xml:space="preserve">Yunusbayev, B. </w:t>
        </w:r>
      </w:hyperlink>
      <w:hyperlink r:id="rId491">
        <w:r w:rsidDel="00000000" w:rsidR="00000000" w:rsidRPr="00000000">
          <w:rPr>
            <w:i w:val="1"/>
            <w:color w:val="000000"/>
            <w:rtl w:val="0"/>
          </w:rPr>
          <w:t xml:space="preserve">et al.</w:t>
        </w:r>
      </w:hyperlink>
      <w:hyperlink r:id="rId492">
        <w:r w:rsidDel="00000000" w:rsidR="00000000" w:rsidRPr="00000000">
          <w:rPr>
            <w:color w:val="000000"/>
            <w:rtl w:val="0"/>
          </w:rPr>
          <w:t xml:space="preserve"> The Caucasus as an asymmetric semipermeable barrier to ancient human migrations. </w:t>
        </w:r>
      </w:hyperlink>
      <w:hyperlink r:id="rId493">
        <w:r w:rsidDel="00000000" w:rsidR="00000000" w:rsidRPr="00000000">
          <w:rPr>
            <w:i w:val="1"/>
            <w:color w:val="000000"/>
            <w:rtl w:val="0"/>
          </w:rPr>
          <w:t xml:space="preserve">Mol. Biol. Evol.</w:t>
        </w:r>
      </w:hyperlink>
      <w:hyperlink r:id="rId494">
        <w:r w:rsidDel="00000000" w:rsidR="00000000" w:rsidRPr="00000000">
          <w:rPr>
            <w:color w:val="000000"/>
            <w:rtl w:val="0"/>
          </w:rPr>
          <w:t xml:space="preserve"> </w:t>
        </w:r>
      </w:hyperlink>
      <w:hyperlink r:id="rId495">
        <w:r w:rsidDel="00000000" w:rsidR="00000000" w:rsidRPr="00000000">
          <w:rPr>
            <w:b w:val="1"/>
            <w:color w:val="000000"/>
            <w:rtl w:val="0"/>
          </w:rPr>
          <w:t xml:space="preserve">29</w:t>
        </w:r>
      </w:hyperlink>
      <w:hyperlink r:id="rId496">
        <w:r w:rsidDel="00000000" w:rsidR="00000000" w:rsidRPr="00000000">
          <w:rPr>
            <w:color w:val="000000"/>
            <w:rtl w:val="0"/>
          </w:rPr>
          <w:t xml:space="preserve">, 359–365 (2012).</w:t>
        </w:r>
      </w:hyperlink>
      <w:r w:rsidDel="00000000" w:rsidR="00000000" w:rsidRPr="00000000">
        <w:rPr>
          <w:rtl w:val="0"/>
        </w:rPr>
      </w:r>
    </w:p>
    <w:p w:rsidR="00000000" w:rsidDel="00000000" w:rsidP="00000000" w:rsidRDefault="00000000" w:rsidRPr="00000000" w14:paraId="00000915">
      <w:pPr>
        <w:widowControl w:val="0"/>
        <w:pBdr>
          <w:top w:space="0" w:sz="0" w:val="nil"/>
          <w:left w:space="0" w:sz="0" w:val="nil"/>
          <w:bottom w:space="0" w:sz="0" w:val="nil"/>
          <w:right w:space="0" w:sz="0" w:val="nil"/>
          <w:between w:space="0" w:sz="0" w:val="nil"/>
        </w:pBdr>
        <w:spacing w:after="0" w:line="480" w:lineRule="auto"/>
        <w:ind w:left="440" w:hanging="440"/>
        <w:rPr>
          <w:color w:val="000000"/>
        </w:rPr>
      </w:pPr>
      <w:r w:rsidDel="00000000" w:rsidR="00000000" w:rsidRPr="00000000">
        <w:rPr>
          <w:color w:val="000000"/>
          <w:rtl w:val="0"/>
        </w:rPr>
        <w:t xml:space="preserve">64.</w:t>
        <w:tab/>
      </w:r>
      <w:hyperlink r:id="rId497">
        <w:r w:rsidDel="00000000" w:rsidR="00000000" w:rsidRPr="00000000">
          <w:rPr>
            <w:color w:val="000000"/>
            <w:rtl w:val="0"/>
          </w:rPr>
          <w:t xml:space="preserve">Behar, D. M. </w:t>
        </w:r>
      </w:hyperlink>
      <w:hyperlink r:id="rId498">
        <w:r w:rsidDel="00000000" w:rsidR="00000000" w:rsidRPr="00000000">
          <w:rPr>
            <w:i w:val="1"/>
            <w:color w:val="000000"/>
            <w:rtl w:val="0"/>
          </w:rPr>
          <w:t xml:space="preserve">et al.</w:t>
        </w:r>
      </w:hyperlink>
      <w:hyperlink r:id="rId499">
        <w:r w:rsidDel="00000000" w:rsidR="00000000" w:rsidRPr="00000000">
          <w:rPr>
            <w:color w:val="000000"/>
            <w:rtl w:val="0"/>
          </w:rPr>
          <w:t xml:space="preserve"> No evidence from genome-wide data of a Khazar origin for the Ashkenazi Jews. </w:t>
        </w:r>
      </w:hyperlink>
      <w:hyperlink r:id="rId500">
        <w:r w:rsidDel="00000000" w:rsidR="00000000" w:rsidRPr="00000000">
          <w:rPr>
            <w:i w:val="1"/>
            <w:color w:val="000000"/>
            <w:rtl w:val="0"/>
          </w:rPr>
          <w:t xml:space="preserve">Hum. Biol.</w:t>
        </w:r>
      </w:hyperlink>
      <w:hyperlink r:id="rId501">
        <w:r w:rsidDel="00000000" w:rsidR="00000000" w:rsidRPr="00000000">
          <w:rPr>
            <w:color w:val="000000"/>
            <w:rtl w:val="0"/>
          </w:rPr>
          <w:t xml:space="preserve"> </w:t>
        </w:r>
      </w:hyperlink>
      <w:hyperlink r:id="rId502">
        <w:r w:rsidDel="00000000" w:rsidR="00000000" w:rsidRPr="00000000">
          <w:rPr>
            <w:b w:val="1"/>
            <w:color w:val="000000"/>
            <w:rtl w:val="0"/>
          </w:rPr>
          <w:t xml:space="preserve">85</w:t>
        </w:r>
      </w:hyperlink>
      <w:hyperlink r:id="rId503">
        <w:r w:rsidDel="00000000" w:rsidR="00000000" w:rsidRPr="00000000">
          <w:rPr>
            <w:color w:val="000000"/>
            <w:rtl w:val="0"/>
          </w:rPr>
          <w:t xml:space="preserve">, 859–900 (2013).</w:t>
        </w:r>
      </w:hyperlink>
      <w:r w:rsidDel="00000000" w:rsidR="00000000" w:rsidRPr="00000000">
        <w:rPr>
          <w:rtl w:val="0"/>
        </w:rPr>
      </w:r>
    </w:p>
    <w:p w:rsidR="00000000" w:rsidDel="00000000" w:rsidP="00000000" w:rsidRDefault="00000000" w:rsidRPr="00000000" w14:paraId="00000916">
      <w:pPr>
        <w:widowControl w:val="0"/>
        <w:pBdr>
          <w:top w:space="0" w:sz="0" w:val="nil"/>
          <w:left w:space="0" w:sz="0" w:val="nil"/>
          <w:bottom w:space="0" w:sz="0" w:val="nil"/>
          <w:right w:space="0" w:sz="0" w:val="nil"/>
          <w:between w:space="0" w:sz="0" w:val="nil"/>
        </w:pBdr>
        <w:spacing w:after="0" w:line="480" w:lineRule="auto"/>
        <w:ind w:left="440" w:hanging="440"/>
        <w:rPr>
          <w:color w:val="000000"/>
        </w:rPr>
      </w:pPr>
      <w:r w:rsidDel="00000000" w:rsidR="00000000" w:rsidRPr="00000000">
        <w:rPr>
          <w:color w:val="000000"/>
          <w:rtl w:val="0"/>
        </w:rPr>
        <w:t xml:space="preserve">65.</w:t>
        <w:tab/>
      </w:r>
      <w:hyperlink r:id="rId504">
        <w:r w:rsidDel="00000000" w:rsidR="00000000" w:rsidRPr="00000000">
          <w:rPr>
            <w:color w:val="000000"/>
            <w:rtl w:val="0"/>
          </w:rPr>
          <w:t xml:space="preserve">Genome of the Netherlands Consortium. Whole-genome sequence variation, population structure and demographic history of the Dutch population. </w:t>
        </w:r>
      </w:hyperlink>
      <w:hyperlink r:id="rId505">
        <w:r w:rsidDel="00000000" w:rsidR="00000000" w:rsidRPr="00000000">
          <w:rPr>
            <w:i w:val="1"/>
            <w:color w:val="000000"/>
            <w:rtl w:val="0"/>
          </w:rPr>
          <w:t xml:space="preserve">Nat. Genet.</w:t>
        </w:r>
      </w:hyperlink>
      <w:hyperlink r:id="rId506">
        <w:r w:rsidDel="00000000" w:rsidR="00000000" w:rsidRPr="00000000">
          <w:rPr>
            <w:color w:val="000000"/>
            <w:rtl w:val="0"/>
          </w:rPr>
          <w:t xml:space="preserve"> </w:t>
        </w:r>
      </w:hyperlink>
      <w:hyperlink r:id="rId507">
        <w:r w:rsidDel="00000000" w:rsidR="00000000" w:rsidRPr="00000000">
          <w:rPr>
            <w:b w:val="1"/>
            <w:color w:val="000000"/>
            <w:rtl w:val="0"/>
          </w:rPr>
          <w:t xml:space="preserve">46</w:t>
        </w:r>
      </w:hyperlink>
      <w:hyperlink r:id="rId508">
        <w:r w:rsidDel="00000000" w:rsidR="00000000" w:rsidRPr="00000000">
          <w:rPr>
            <w:color w:val="000000"/>
            <w:rtl w:val="0"/>
          </w:rPr>
          <w:t xml:space="preserve">, 818–825 (2014).</w:t>
        </w:r>
      </w:hyperlink>
      <w:r w:rsidDel="00000000" w:rsidR="00000000" w:rsidRPr="00000000">
        <w:rPr>
          <w:rtl w:val="0"/>
        </w:rPr>
      </w:r>
    </w:p>
    <w:p w:rsidR="00000000" w:rsidDel="00000000" w:rsidP="00000000" w:rsidRDefault="00000000" w:rsidRPr="00000000" w14:paraId="00000917">
      <w:pPr>
        <w:widowControl w:val="0"/>
        <w:pBdr>
          <w:top w:space="0" w:sz="0" w:val="nil"/>
          <w:left w:space="0" w:sz="0" w:val="nil"/>
          <w:bottom w:space="0" w:sz="0" w:val="nil"/>
          <w:right w:space="0" w:sz="0" w:val="nil"/>
          <w:between w:space="0" w:sz="0" w:val="nil"/>
        </w:pBdr>
        <w:spacing w:after="0" w:line="480" w:lineRule="auto"/>
        <w:ind w:left="440" w:hanging="440"/>
        <w:rPr>
          <w:color w:val="000000"/>
        </w:rPr>
      </w:pPr>
      <w:r w:rsidDel="00000000" w:rsidR="00000000" w:rsidRPr="00000000">
        <w:rPr>
          <w:color w:val="000000"/>
          <w:rtl w:val="0"/>
        </w:rPr>
        <w:t xml:space="preserve">66.</w:t>
        <w:tab/>
      </w:r>
      <w:hyperlink r:id="rId509">
        <w:r w:rsidDel="00000000" w:rsidR="00000000" w:rsidRPr="00000000">
          <w:rPr>
            <w:color w:val="000000"/>
            <w:rtl w:val="0"/>
          </w:rPr>
          <w:t xml:space="preserve">Kovacevic, L. </w:t>
        </w:r>
      </w:hyperlink>
      <w:hyperlink r:id="rId510">
        <w:r w:rsidDel="00000000" w:rsidR="00000000" w:rsidRPr="00000000">
          <w:rPr>
            <w:i w:val="1"/>
            <w:color w:val="000000"/>
            <w:rtl w:val="0"/>
          </w:rPr>
          <w:t xml:space="preserve">et al.</w:t>
        </w:r>
      </w:hyperlink>
      <w:hyperlink r:id="rId511">
        <w:r w:rsidDel="00000000" w:rsidR="00000000" w:rsidRPr="00000000">
          <w:rPr>
            <w:color w:val="000000"/>
            <w:rtl w:val="0"/>
          </w:rPr>
          <w:t xml:space="preserve"> Standing at the gateway to Europe--the genetic structure of Western balkan populations based on autosomal and haploid markers. </w:t>
        </w:r>
      </w:hyperlink>
      <w:hyperlink r:id="rId512">
        <w:r w:rsidDel="00000000" w:rsidR="00000000" w:rsidRPr="00000000">
          <w:rPr>
            <w:i w:val="1"/>
            <w:color w:val="000000"/>
            <w:rtl w:val="0"/>
          </w:rPr>
          <w:t xml:space="preserve">PLoS One</w:t>
        </w:r>
      </w:hyperlink>
      <w:hyperlink r:id="rId513">
        <w:r w:rsidDel="00000000" w:rsidR="00000000" w:rsidRPr="00000000">
          <w:rPr>
            <w:color w:val="000000"/>
            <w:rtl w:val="0"/>
          </w:rPr>
          <w:t xml:space="preserve"> </w:t>
        </w:r>
      </w:hyperlink>
      <w:hyperlink r:id="rId514">
        <w:r w:rsidDel="00000000" w:rsidR="00000000" w:rsidRPr="00000000">
          <w:rPr>
            <w:b w:val="1"/>
            <w:color w:val="000000"/>
            <w:rtl w:val="0"/>
          </w:rPr>
          <w:t xml:space="preserve">9</w:t>
        </w:r>
      </w:hyperlink>
      <w:hyperlink r:id="rId515">
        <w:r w:rsidDel="00000000" w:rsidR="00000000" w:rsidRPr="00000000">
          <w:rPr>
            <w:color w:val="000000"/>
            <w:rtl w:val="0"/>
          </w:rPr>
          <w:t xml:space="preserve">, e105090 (2014).</w:t>
        </w:r>
      </w:hyperlink>
      <w:r w:rsidDel="00000000" w:rsidR="00000000" w:rsidRPr="00000000">
        <w:rPr>
          <w:rtl w:val="0"/>
        </w:rPr>
      </w:r>
    </w:p>
    <w:p w:rsidR="00000000" w:rsidDel="00000000" w:rsidP="00000000" w:rsidRDefault="00000000" w:rsidRPr="00000000" w14:paraId="00000918">
      <w:pPr>
        <w:widowControl w:val="0"/>
        <w:pBdr>
          <w:top w:space="0" w:sz="0" w:val="nil"/>
          <w:left w:space="0" w:sz="0" w:val="nil"/>
          <w:bottom w:space="0" w:sz="0" w:val="nil"/>
          <w:right w:space="0" w:sz="0" w:val="nil"/>
          <w:between w:space="0" w:sz="0" w:val="nil"/>
        </w:pBdr>
        <w:spacing w:after="0" w:line="480" w:lineRule="auto"/>
        <w:ind w:left="440" w:hanging="440"/>
        <w:rPr>
          <w:color w:val="000000"/>
        </w:rPr>
      </w:pPr>
      <w:r w:rsidDel="00000000" w:rsidR="00000000" w:rsidRPr="00000000">
        <w:rPr>
          <w:color w:val="000000"/>
          <w:rtl w:val="0"/>
        </w:rPr>
        <w:t xml:space="preserve">67.</w:t>
        <w:tab/>
      </w:r>
      <w:hyperlink r:id="rId516">
        <w:r w:rsidDel="00000000" w:rsidR="00000000" w:rsidRPr="00000000">
          <w:rPr>
            <w:color w:val="000000"/>
            <w:rtl w:val="0"/>
          </w:rPr>
          <w:t xml:space="preserve">Kushniarevich, A. </w:t>
        </w:r>
      </w:hyperlink>
      <w:hyperlink r:id="rId517">
        <w:r w:rsidDel="00000000" w:rsidR="00000000" w:rsidRPr="00000000">
          <w:rPr>
            <w:i w:val="1"/>
            <w:color w:val="000000"/>
            <w:rtl w:val="0"/>
          </w:rPr>
          <w:t xml:space="preserve">et al.</w:t>
        </w:r>
      </w:hyperlink>
      <w:hyperlink r:id="rId518">
        <w:r w:rsidDel="00000000" w:rsidR="00000000" w:rsidRPr="00000000">
          <w:rPr>
            <w:color w:val="000000"/>
            <w:rtl w:val="0"/>
          </w:rPr>
          <w:t xml:space="preserve"> Genetic Heritage of the Balto-Slavic Speaking Populations: A Synthesis of Autosomal, Mitochondrial and Y-Chromosomal Data. </w:t>
        </w:r>
      </w:hyperlink>
      <w:hyperlink r:id="rId519">
        <w:r w:rsidDel="00000000" w:rsidR="00000000" w:rsidRPr="00000000">
          <w:rPr>
            <w:i w:val="1"/>
            <w:color w:val="000000"/>
            <w:rtl w:val="0"/>
          </w:rPr>
          <w:t xml:space="preserve">PLoS One</w:t>
        </w:r>
      </w:hyperlink>
      <w:hyperlink r:id="rId520">
        <w:r w:rsidDel="00000000" w:rsidR="00000000" w:rsidRPr="00000000">
          <w:rPr>
            <w:color w:val="000000"/>
            <w:rtl w:val="0"/>
          </w:rPr>
          <w:t xml:space="preserve"> </w:t>
        </w:r>
      </w:hyperlink>
      <w:hyperlink r:id="rId521">
        <w:r w:rsidDel="00000000" w:rsidR="00000000" w:rsidRPr="00000000">
          <w:rPr>
            <w:b w:val="1"/>
            <w:color w:val="000000"/>
            <w:rtl w:val="0"/>
          </w:rPr>
          <w:t xml:space="preserve">10</w:t>
        </w:r>
      </w:hyperlink>
      <w:hyperlink r:id="rId522">
        <w:r w:rsidDel="00000000" w:rsidR="00000000" w:rsidRPr="00000000">
          <w:rPr>
            <w:color w:val="000000"/>
            <w:rtl w:val="0"/>
          </w:rPr>
          <w:t xml:space="preserve">, e0135820 (2015).</w:t>
        </w:r>
      </w:hyperlink>
      <w:r w:rsidDel="00000000" w:rsidR="00000000" w:rsidRPr="00000000">
        <w:rPr>
          <w:rtl w:val="0"/>
        </w:rPr>
      </w:r>
    </w:p>
    <w:p w:rsidR="00000000" w:rsidDel="00000000" w:rsidP="00000000" w:rsidRDefault="00000000" w:rsidRPr="00000000" w14:paraId="00000919">
      <w:pPr>
        <w:widowControl w:val="0"/>
        <w:pBdr>
          <w:top w:space="0" w:sz="0" w:val="nil"/>
          <w:left w:space="0" w:sz="0" w:val="nil"/>
          <w:bottom w:space="0" w:sz="0" w:val="nil"/>
          <w:right w:space="0" w:sz="0" w:val="nil"/>
          <w:between w:space="0" w:sz="0" w:val="nil"/>
        </w:pBdr>
        <w:spacing w:after="0" w:line="480" w:lineRule="auto"/>
        <w:ind w:left="440" w:hanging="440"/>
        <w:rPr>
          <w:color w:val="000000"/>
        </w:rPr>
      </w:pPr>
      <w:r w:rsidDel="00000000" w:rsidR="00000000" w:rsidRPr="00000000">
        <w:rPr>
          <w:color w:val="000000"/>
          <w:rtl w:val="0"/>
        </w:rPr>
        <w:t xml:space="preserve">68.</w:t>
        <w:tab/>
      </w:r>
      <w:hyperlink r:id="rId523">
        <w:r w:rsidDel="00000000" w:rsidR="00000000" w:rsidRPr="00000000">
          <w:rPr>
            <w:color w:val="000000"/>
            <w:rtl w:val="0"/>
          </w:rPr>
          <w:t xml:space="preserve">Sudmant, P. H. </w:t>
        </w:r>
      </w:hyperlink>
      <w:hyperlink r:id="rId524">
        <w:r w:rsidDel="00000000" w:rsidR="00000000" w:rsidRPr="00000000">
          <w:rPr>
            <w:i w:val="1"/>
            <w:color w:val="000000"/>
            <w:rtl w:val="0"/>
          </w:rPr>
          <w:t xml:space="preserve">et al.</w:t>
        </w:r>
      </w:hyperlink>
      <w:hyperlink r:id="rId525">
        <w:r w:rsidDel="00000000" w:rsidR="00000000" w:rsidRPr="00000000">
          <w:rPr>
            <w:color w:val="000000"/>
            <w:rtl w:val="0"/>
          </w:rPr>
          <w:t xml:space="preserve"> An integrated map of structural variation in 2,504 human genomes. </w:t>
        </w:r>
      </w:hyperlink>
      <w:hyperlink r:id="rId526">
        <w:r w:rsidDel="00000000" w:rsidR="00000000" w:rsidRPr="00000000">
          <w:rPr>
            <w:i w:val="1"/>
            <w:color w:val="000000"/>
            <w:rtl w:val="0"/>
          </w:rPr>
          <w:t xml:space="preserve">Nature</w:t>
        </w:r>
      </w:hyperlink>
      <w:hyperlink r:id="rId527">
        <w:r w:rsidDel="00000000" w:rsidR="00000000" w:rsidRPr="00000000">
          <w:rPr>
            <w:color w:val="000000"/>
            <w:rtl w:val="0"/>
          </w:rPr>
          <w:t xml:space="preserve"> </w:t>
        </w:r>
      </w:hyperlink>
      <w:hyperlink r:id="rId528">
        <w:r w:rsidDel="00000000" w:rsidR="00000000" w:rsidRPr="00000000">
          <w:rPr>
            <w:b w:val="1"/>
            <w:color w:val="000000"/>
            <w:rtl w:val="0"/>
          </w:rPr>
          <w:t xml:space="preserve">526</w:t>
        </w:r>
      </w:hyperlink>
      <w:hyperlink r:id="rId529">
        <w:r w:rsidDel="00000000" w:rsidR="00000000" w:rsidRPr="00000000">
          <w:rPr>
            <w:color w:val="000000"/>
            <w:rtl w:val="0"/>
          </w:rPr>
          <w:t xml:space="preserve">, 75–81 (2015).</w:t>
        </w:r>
      </w:hyperlink>
      <w:r w:rsidDel="00000000" w:rsidR="00000000" w:rsidRPr="00000000">
        <w:rPr>
          <w:rtl w:val="0"/>
        </w:rPr>
      </w:r>
    </w:p>
    <w:p w:rsidR="00000000" w:rsidDel="00000000" w:rsidP="00000000" w:rsidRDefault="00000000" w:rsidRPr="00000000" w14:paraId="0000091A">
      <w:pPr>
        <w:widowControl w:val="0"/>
        <w:pBdr>
          <w:top w:space="0" w:sz="0" w:val="nil"/>
          <w:left w:space="0" w:sz="0" w:val="nil"/>
          <w:bottom w:space="0" w:sz="0" w:val="nil"/>
          <w:right w:space="0" w:sz="0" w:val="nil"/>
          <w:between w:space="0" w:sz="0" w:val="nil"/>
        </w:pBdr>
        <w:spacing w:after="0" w:line="480" w:lineRule="auto"/>
        <w:ind w:left="440" w:hanging="440"/>
        <w:rPr>
          <w:color w:val="000000"/>
        </w:rPr>
      </w:pPr>
      <w:r w:rsidDel="00000000" w:rsidR="00000000" w:rsidRPr="00000000">
        <w:rPr>
          <w:color w:val="000000"/>
          <w:rtl w:val="0"/>
        </w:rPr>
        <w:t xml:space="preserve">69.</w:t>
        <w:tab/>
      </w:r>
      <w:hyperlink r:id="rId530">
        <w:r w:rsidDel="00000000" w:rsidR="00000000" w:rsidRPr="00000000">
          <w:rPr>
            <w:color w:val="000000"/>
            <w:rtl w:val="0"/>
          </w:rPr>
          <w:t xml:space="preserve">1000 Genomes Project Consortium </w:t>
        </w:r>
      </w:hyperlink>
      <w:hyperlink r:id="rId531">
        <w:r w:rsidDel="00000000" w:rsidR="00000000" w:rsidRPr="00000000">
          <w:rPr>
            <w:i w:val="1"/>
            <w:color w:val="000000"/>
            <w:rtl w:val="0"/>
          </w:rPr>
          <w:t xml:space="preserve">et al.</w:t>
        </w:r>
      </w:hyperlink>
      <w:hyperlink r:id="rId532">
        <w:r w:rsidDel="00000000" w:rsidR="00000000" w:rsidRPr="00000000">
          <w:rPr>
            <w:color w:val="000000"/>
            <w:rtl w:val="0"/>
          </w:rPr>
          <w:t xml:space="preserve"> A global reference for human genetic variation. </w:t>
        </w:r>
      </w:hyperlink>
      <w:hyperlink r:id="rId533">
        <w:r w:rsidDel="00000000" w:rsidR="00000000" w:rsidRPr="00000000">
          <w:rPr>
            <w:i w:val="1"/>
            <w:color w:val="000000"/>
            <w:rtl w:val="0"/>
          </w:rPr>
          <w:t xml:space="preserve">Nature</w:t>
        </w:r>
      </w:hyperlink>
      <w:hyperlink r:id="rId534">
        <w:r w:rsidDel="00000000" w:rsidR="00000000" w:rsidRPr="00000000">
          <w:rPr>
            <w:color w:val="000000"/>
            <w:rtl w:val="0"/>
          </w:rPr>
          <w:t xml:space="preserve"> </w:t>
        </w:r>
      </w:hyperlink>
      <w:hyperlink r:id="rId535">
        <w:r w:rsidDel="00000000" w:rsidR="00000000" w:rsidRPr="00000000">
          <w:rPr>
            <w:b w:val="1"/>
            <w:color w:val="000000"/>
            <w:rtl w:val="0"/>
          </w:rPr>
          <w:t xml:space="preserve">526</w:t>
        </w:r>
      </w:hyperlink>
      <w:hyperlink r:id="rId536">
        <w:r w:rsidDel="00000000" w:rsidR="00000000" w:rsidRPr="00000000">
          <w:rPr>
            <w:color w:val="000000"/>
            <w:rtl w:val="0"/>
          </w:rPr>
          <w:t xml:space="preserve">, 68–74 (2015).</w:t>
        </w:r>
      </w:hyperlink>
      <w:r w:rsidDel="00000000" w:rsidR="00000000" w:rsidRPr="00000000">
        <w:rPr>
          <w:rtl w:val="0"/>
        </w:rPr>
      </w:r>
    </w:p>
    <w:p w:rsidR="00000000" w:rsidDel="00000000" w:rsidP="00000000" w:rsidRDefault="00000000" w:rsidRPr="00000000" w14:paraId="0000091B">
      <w:pPr>
        <w:widowControl w:val="0"/>
        <w:pBdr>
          <w:top w:space="0" w:sz="0" w:val="nil"/>
          <w:left w:space="0" w:sz="0" w:val="nil"/>
          <w:bottom w:space="0" w:sz="0" w:val="nil"/>
          <w:right w:space="0" w:sz="0" w:val="nil"/>
          <w:between w:space="0" w:sz="0" w:val="nil"/>
        </w:pBdr>
        <w:spacing w:after="0" w:line="480" w:lineRule="auto"/>
        <w:ind w:left="440" w:hanging="440"/>
        <w:rPr>
          <w:color w:val="000000"/>
        </w:rPr>
      </w:pPr>
      <w:r w:rsidDel="00000000" w:rsidR="00000000" w:rsidRPr="00000000">
        <w:rPr>
          <w:color w:val="000000"/>
          <w:rtl w:val="0"/>
        </w:rPr>
        <w:t xml:space="preserve">70.</w:t>
        <w:tab/>
      </w:r>
      <w:hyperlink r:id="rId537">
        <w:r w:rsidDel="00000000" w:rsidR="00000000" w:rsidRPr="00000000">
          <w:rPr>
            <w:color w:val="000000"/>
            <w:rtl w:val="0"/>
          </w:rPr>
          <w:t xml:space="preserve">Pagani, L. </w:t>
        </w:r>
      </w:hyperlink>
      <w:hyperlink r:id="rId538">
        <w:r w:rsidDel="00000000" w:rsidR="00000000" w:rsidRPr="00000000">
          <w:rPr>
            <w:i w:val="1"/>
            <w:color w:val="000000"/>
            <w:rtl w:val="0"/>
          </w:rPr>
          <w:t xml:space="preserve">et al.</w:t>
        </w:r>
      </w:hyperlink>
      <w:hyperlink r:id="rId539">
        <w:r w:rsidDel="00000000" w:rsidR="00000000" w:rsidRPr="00000000">
          <w:rPr>
            <w:color w:val="000000"/>
            <w:rtl w:val="0"/>
          </w:rPr>
          <w:t xml:space="preserve"> Genomic analyses inform on migration events during the peopling of Eurasia. </w:t>
        </w:r>
      </w:hyperlink>
      <w:hyperlink r:id="rId540">
        <w:r w:rsidDel="00000000" w:rsidR="00000000" w:rsidRPr="00000000">
          <w:rPr>
            <w:i w:val="1"/>
            <w:color w:val="000000"/>
            <w:rtl w:val="0"/>
          </w:rPr>
          <w:t xml:space="preserve">Nature</w:t>
        </w:r>
      </w:hyperlink>
      <w:hyperlink r:id="rId541">
        <w:r w:rsidDel="00000000" w:rsidR="00000000" w:rsidRPr="00000000">
          <w:rPr>
            <w:color w:val="000000"/>
            <w:rtl w:val="0"/>
          </w:rPr>
          <w:t xml:space="preserve"> </w:t>
        </w:r>
      </w:hyperlink>
      <w:hyperlink r:id="rId542">
        <w:r w:rsidDel="00000000" w:rsidR="00000000" w:rsidRPr="00000000">
          <w:rPr>
            <w:b w:val="1"/>
            <w:color w:val="000000"/>
            <w:rtl w:val="0"/>
          </w:rPr>
          <w:t xml:space="preserve">538</w:t>
        </w:r>
      </w:hyperlink>
      <w:hyperlink r:id="rId543">
        <w:r w:rsidDel="00000000" w:rsidR="00000000" w:rsidRPr="00000000">
          <w:rPr>
            <w:color w:val="000000"/>
            <w:rtl w:val="0"/>
          </w:rPr>
          <w:t xml:space="preserve">, 238–242 (2016).</w:t>
        </w:r>
      </w:hyperlink>
      <w:r w:rsidDel="00000000" w:rsidR="00000000" w:rsidRPr="00000000">
        <w:rPr>
          <w:rtl w:val="0"/>
        </w:rPr>
      </w:r>
    </w:p>
    <w:p w:rsidR="00000000" w:rsidDel="00000000" w:rsidP="00000000" w:rsidRDefault="00000000" w:rsidRPr="00000000" w14:paraId="0000091C">
      <w:pPr>
        <w:widowControl w:val="0"/>
        <w:pBdr>
          <w:top w:space="0" w:sz="0" w:val="nil"/>
          <w:left w:space="0" w:sz="0" w:val="nil"/>
          <w:bottom w:space="0" w:sz="0" w:val="nil"/>
          <w:right w:space="0" w:sz="0" w:val="nil"/>
          <w:between w:space="0" w:sz="0" w:val="nil"/>
        </w:pBdr>
        <w:spacing w:after="0" w:line="480" w:lineRule="auto"/>
        <w:ind w:left="440" w:hanging="440"/>
        <w:rPr>
          <w:color w:val="000000"/>
        </w:rPr>
      </w:pPr>
      <w:r w:rsidDel="00000000" w:rsidR="00000000" w:rsidRPr="00000000">
        <w:rPr>
          <w:color w:val="000000"/>
          <w:rtl w:val="0"/>
        </w:rPr>
        <w:t xml:space="preserve">71.</w:t>
        <w:tab/>
      </w:r>
      <w:hyperlink r:id="rId544">
        <w:r w:rsidDel="00000000" w:rsidR="00000000" w:rsidRPr="00000000">
          <w:rPr>
            <w:color w:val="000000"/>
            <w:rtl w:val="0"/>
          </w:rPr>
          <w:t xml:space="preserve">Mallick, S. </w:t>
        </w:r>
      </w:hyperlink>
      <w:hyperlink r:id="rId545">
        <w:r w:rsidDel="00000000" w:rsidR="00000000" w:rsidRPr="00000000">
          <w:rPr>
            <w:i w:val="1"/>
            <w:color w:val="000000"/>
            <w:rtl w:val="0"/>
          </w:rPr>
          <w:t xml:space="preserve">et al.</w:t>
        </w:r>
      </w:hyperlink>
      <w:hyperlink r:id="rId546">
        <w:r w:rsidDel="00000000" w:rsidR="00000000" w:rsidRPr="00000000">
          <w:rPr>
            <w:color w:val="000000"/>
            <w:rtl w:val="0"/>
          </w:rPr>
          <w:t xml:space="preserve"> The Simons Genome Diversity Project: 300 genomes from 142 diverse populations. </w:t>
        </w:r>
      </w:hyperlink>
      <w:hyperlink r:id="rId547">
        <w:r w:rsidDel="00000000" w:rsidR="00000000" w:rsidRPr="00000000">
          <w:rPr>
            <w:i w:val="1"/>
            <w:color w:val="000000"/>
            <w:rtl w:val="0"/>
          </w:rPr>
          <w:t xml:space="preserve">Nature</w:t>
        </w:r>
      </w:hyperlink>
      <w:hyperlink r:id="rId548">
        <w:r w:rsidDel="00000000" w:rsidR="00000000" w:rsidRPr="00000000">
          <w:rPr>
            <w:color w:val="000000"/>
            <w:rtl w:val="0"/>
          </w:rPr>
          <w:t xml:space="preserve"> </w:t>
        </w:r>
      </w:hyperlink>
      <w:hyperlink r:id="rId549">
        <w:r w:rsidDel="00000000" w:rsidR="00000000" w:rsidRPr="00000000">
          <w:rPr>
            <w:b w:val="1"/>
            <w:color w:val="000000"/>
            <w:rtl w:val="0"/>
          </w:rPr>
          <w:t xml:space="preserve">538</w:t>
        </w:r>
      </w:hyperlink>
      <w:hyperlink r:id="rId550">
        <w:r w:rsidDel="00000000" w:rsidR="00000000" w:rsidRPr="00000000">
          <w:rPr>
            <w:color w:val="000000"/>
            <w:rtl w:val="0"/>
          </w:rPr>
          <w:t xml:space="preserve">, 201–206 (2016).</w:t>
        </w:r>
      </w:hyperlink>
      <w:r w:rsidDel="00000000" w:rsidR="00000000" w:rsidRPr="00000000">
        <w:rPr>
          <w:rtl w:val="0"/>
        </w:rPr>
      </w:r>
    </w:p>
    <w:p w:rsidR="00000000" w:rsidDel="00000000" w:rsidP="00000000" w:rsidRDefault="00000000" w:rsidRPr="00000000" w14:paraId="0000091D">
      <w:pPr>
        <w:widowControl w:val="0"/>
        <w:pBdr>
          <w:top w:space="0" w:sz="0" w:val="nil"/>
          <w:left w:space="0" w:sz="0" w:val="nil"/>
          <w:bottom w:space="0" w:sz="0" w:val="nil"/>
          <w:right w:space="0" w:sz="0" w:val="nil"/>
          <w:between w:space="0" w:sz="0" w:val="nil"/>
        </w:pBdr>
        <w:spacing w:after="0" w:line="480" w:lineRule="auto"/>
        <w:ind w:left="440" w:hanging="440"/>
        <w:rPr>
          <w:color w:val="000000"/>
        </w:rPr>
      </w:pPr>
      <w:r w:rsidDel="00000000" w:rsidR="00000000" w:rsidRPr="00000000">
        <w:rPr>
          <w:color w:val="000000"/>
          <w:rtl w:val="0"/>
        </w:rPr>
        <w:t xml:space="preserve">72.</w:t>
        <w:tab/>
      </w:r>
      <w:hyperlink r:id="rId551">
        <w:r w:rsidDel="00000000" w:rsidR="00000000" w:rsidRPr="00000000">
          <w:rPr>
            <w:color w:val="000000"/>
            <w:rtl w:val="0"/>
          </w:rPr>
          <w:t xml:space="preserve">Tamm, E. </w:t>
        </w:r>
      </w:hyperlink>
      <w:hyperlink r:id="rId552">
        <w:r w:rsidDel="00000000" w:rsidR="00000000" w:rsidRPr="00000000">
          <w:rPr>
            <w:i w:val="1"/>
            <w:color w:val="000000"/>
            <w:rtl w:val="0"/>
          </w:rPr>
          <w:t xml:space="preserve">et al.</w:t>
        </w:r>
      </w:hyperlink>
      <w:hyperlink r:id="rId553">
        <w:r w:rsidDel="00000000" w:rsidR="00000000" w:rsidRPr="00000000">
          <w:rPr>
            <w:color w:val="000000"/>
            <w:rtl w:val="0"/>
          </w:rPr>
          <w:t xml:space="preserve"> Genome-wide analysis of Corsican population reveals a close affinity with Northern and Central Italy. </w:t>
        </w:r>
      </w:hyperlink>
      <w:hyperlink r:id="rId554">
        <w:r w:rsidDel="00000000" w:rsidR="00000000" w:rsidRPr="00000000">
          <w:rPr>
            <w:i w:val="1"/>
            <w:color w:val="000000"/>
            <w:rtl w:val="0"/>
          </w:rPr>
          <w:t xml:space="preserve">Sci. Rep.</w:t>
        </w:r>
      </w:hyperlink>
      <w:hyperlink r:id="rId555">
        <w:r w:rsidDel="00000000" w:rsidR="00000000" w:rsidRPr="00000000">
          <w:rPr>
            <w:color w:val="000000"/>
            <w:rtl w:val="0"/>
          </w:rPr>
          <w:t xml:space="preserve"> </w:t>
        </w:r>
      </w:hyperlink>
      <w:hyperlink r:id="rId556">
        <w:r w:rsidDel="00000000" w:rsidR="00000000" w:rsidRPr="00000000">
          <w:rPr>
            <w:b w:val="1"/>
            <w:color w:val="000000"/>
            <w:rtl w:val="0"/>
          </w:rPr>
          <w:t xml:space="preserve">9</w:t>
        </w:r>
      </w:hyperlink>
      <w:hyperlink r:id="rId557">
        <w:r w:rsidDel="00000000" w:rsidR="00000000" w:rsidRPr="00000000">
          <w:rPr>
            <w:color w:val="000000"/>
            <w:rtl w:val="0"/>
          </w:rPr>
          <w:t xml:space="preserve">, 13581 (2019).</w:t>
        </w:r>
      </w:hyperlink>
      <w:r w:rsidDel="00000000" w:rsidR="00000000" w:rsidRPr="00000000">
        <w:rPr>
          <w:rtl w:val="0"/>
        </w:rPr>
      </w:r>
    </w:p>
    <w:p w:rsidR="00000000" w:rsidDel="00000000" w:rsidP="00000000" w:rsidRDefault="00000000" w:rsidRPr="00000000" w14:paraId="0000091E">
      <w:pPr>
        <w:widowControl w:val="0"/>
        <w:pBdr>
          <w:top w:space="0" w:sz="0" w:val="nil"/>
          <w:left w:space="0" w:sz="0" w:val="nil"/>
          <w:bottom w:space="0" w:sz="0" w:val="nil"/>
          <w:right w:space="0" w:sz="0" w:val="nil"/>
          <w:between w:space="0" w:sz="0" w:val="nil"/>
        </w:pBdr>
        <w:spacing w:after="0" w:line="480" w:lineRule="auto"/>
        <w:ind w:left="440" w:hanging="440"/>
        <w:rPr>
          <w:color w:val="000000"/>
        </w:rPr>
      </w:pPr>
      <w:r w:rsidDel="00000000" w:rsidR="00000000" w:rsidRPr="00000000">
        <w:rPr>
          <w:color w:val="000000"/>
          <w:rtl w:val="0"/>
        </w:rPr>
        <w:t xml:space="preserve">73.</w:t>
        <w:tab/>
      </w:r>
      <w:hyperlink r:id="rId558">
        <w:r w:rsidDel="00000000" w:rsidR="00000000" w:rsidRPr="00000000">
          <w:rPr>
            <w:color w:val="000000"/>
            <w:rtl w:val="0"/>
          </w:rPr>
          <w:t xml:space="preserve">Urnikyte, A. </w:t>
        </w:r>
      </w:hyperlink>
      <w:hyperlink r:id="rId559">
        <w:r w:rsidDel="00000000" w:rsidR="00000000" w:rsidRPr="00000000">
          <w:rPr>
            <w:i w:val="1"/>
            <w:color w:val="000000"/>
            <w:rtl w:val="0"/>
          </w:rPr>
          <w:t xml:space="preserve">et al.</w:t>
        </w:r>
      </w:hyperlink>
      <w:hyperlink r:id="rId560">
        <w:r w:rsidDel="00000000" w:rsidR="00000000" w:rsidRPr="00000000">
          <w:rPr>
            <w:color w:val="000000"/>
            <w:rtl w:val="0"/>
          </w:rPr>
          <w:t xml:space="preserve"> Patterns of genetic structure and adaptive positive selection in the Lithuanian population from high-density SNP data. </w:t>
        </w:r>
      </w:hyperlink>
      <w:hyperlink r:id="rId561">
        <w:r w:rsidDel="00000000" w:rsidR="00000000" w:rsidRPr="00000000">
          <w:rPr>
            <w:i w:val="1"/>
            <w:color w:val="000000"/>
            <w:rtl w:val="0"/>
          </w:rPr>
          <w:t xml:space="preserve">Sci. Rep.</w:t>
        </w:r>
      </w:hyperlink>
      <w:hyperlink r:id="rId562">
        <w:r w:rsidDel="00000000" w:rsidR="00000000" w:rsidRPr="00000000">
          <w:rPr>
            <w:color w:val="000000"/>
            <w:rtl w:val="0"/>
          </w:rPr>
          <w:t xml:space="preserve"> </w:t>
        </w:r>
      </w:hyperlink>
      <w:hyperlink r:id="rId563">
        <w:r w:rsidDel="00000000" w:rsidR="00000000" w:rsidRPr="00000000">
          <w:rPr>
            <w:b w:val="1"/>
            <w:color w:val="000000"/>
            <w:rtl w:val="0"/>
          </w:rPr>
          <w:t xml:space="preserve">9</w:t>
        </w:r>
      </w:hyperlink>
      <w:hyperlink r:id="rId564">
        <w:r w:rsidDel="00000000" w:rsidR="00000000" w:rsidRPr="00000000">
          <w:rPr>
            <w:color w:val="000000"/>
            <w:rtl w:val="0"/>
          </w:rPr>
          <w:t xml:space="preserve">, 9163 (2019).</w:t>
        </w:r>
      </w:hyperlink>
      <w:r w:rsidDel="00000000" w:rsidR="00000000" w:rsidRPr="00000000">
        <w:rPr>
          <w:rtl w:val="0"/>
        </w:rPr>
      </w:r>
    </w:p>
    <w:p w:rsidR="00000000" w:rsidDel="00000000" w:rsidP="00000000" w:rsidRDefault="00000000" w:rsidRPr="00000000" w14:paraId="0000091F">
      <w:pPr>
        <w:widowControl w:val="0"/>
        <w:pBdr>
          <w:top w:space="0" w:sz="0" w:val="nil"/>
          <w:left w:space="0" w:sz="0" w:val="nil"/>
          <w:bottom w:space="0" w:sz="0" w:val="nil"/>
          <w:right w:space="0" w:sz="0" w:val="nil"/>
          <w:between w:space="0" w:sz="0" w:val="nil"/>
        </w:pBdr>
        <w:spacing w:after="0" w:line="480" w:lineRule="auto"/>
        <w:ind w:left="440" w:hanging="440"/>
        <w:rPr>
          <w:color w:val="000000"/>
        </w:rPr>
      </w:pPr>
      <w:r w:rsidDel="00000000" w:rsidR="00000000" w:rsidRPr="00000000">
        <w:rPr>
          <w:color w:val="000000"/>
          <w:rtl w:val="0"/>
        </w:rPr>
        <w:t xml:space="preserve">74.</w:t>
        <w:tab/>
      </w:r>
      <w:hyperlink r:id="rId565">
        <w:r w:rsidDel="00000000" w:rsidR="00000000" w:rsidRPr="00000000">
          <w:rPr>
            <w:color w:val="000000"/>
            <w:rtl w:val="0"/>
          </w:rPr>
          <w:t xml:space="preserve">Kayser, M. </w:t>
        </w:r>
      </w:hyperlink>
      <w:hyperlink r:id="rId566">
        <w:r w:rsidDel="00000000" w:rsidR="00000000" w:rsidRPr="00000000">
          <w:rPr>
            <w:i w:val="1"/>
            <w:color w:val="000000"/>
            <w:rtl w:val="0"/>
          </w:rPr>
          <w:t xml:space="preserve">et al.</w:t>
        </w:r>
      </w:hyperlink>
      <w:hyperlink r:id="rId567">
        <w:r w:rsidDel="00000000" w:rsidR="00000000" w:rsidRPr="00000000">
          <w:rPr>
            <w:color w:val="000000"/>
            <w:rtl w:val="0"/>
          </w:rPr>
          <w:t xml:space="preserve"> Significant genetic differentiation between Poland and Germany follows present-day political borders, as revealed by Y-chromosome analysis. </w:t>
        </w:r>
      </w:hyperlink>
      <w:hyperlink r:id="rId568">
        <w:r w:rsidDel="00000000" w:rsidR="00000000" w:rsidRPr="00000000">
          <w:rPr>
            <w:i w:val="1"/>
            <w:color w:val="000000"/>
            <w:rtl w:val="0"/>
          </w:rPr>
          <w:t xml:space="preserve">Hum. Genet.</w:t>
        </w:r>
      </w:hyperlink>
      <w:hyperlink r:id="rId569">
        <w:r w:rsidDel="00000000" w:rsidR="00000000" w:rsidRPr="00000000">
          <w:rPr>
            <w:color w:val="000000"/>
            <w:rtl w:val="0"/>
          </w:rPr>
          <w:t xml:space="preserve"> </w:t>
        </w:r>
      </w:hyperlink>
      <w:hyperlink r:id="rId570">
        <w:r w:rsidDel="00000000" w:rsidR="00000000" w:rsidRPr="00000000">
          <w:rPr>
            <w:b w:val="1"/>
            <w:color w:val="000000"/>
            <w:rtl w:val="0"/>
          </w:rPr>
          <w:t xml:space="preserve">117</w:t>
        </w:r>
      </w:hyperlink>
      <w:hyperlink r:id="rId571">
        <w:r w:rsidDel="00000000" w:rsidR="00000000" w:rsidRPr="00000000">
          <w:rPr>
            <w:color w:val="000000"/>
            <w:rtl w:val="0"/>
          </w:rPr>
          <w:t xml:space="preserve">, 428–443 (2005).</w:t>
        </w:r>
      </w:hyperlink>
      <w:r w:rsidDel="00000000" w:rsidR="00000000" w:rsidRPr="00000000">
        <w:rPr>
          <w:rtl w:val="0"/>
        </w:rPr>
      </w:r>
    </w:p>
    <w:p w:rsidR="00000000" w:rsidDel="00000000" w:rsidP="00000000" w:rsidRDefault="00000000" w:rsidRPr="00000000" w14:paraId="00000920">
      <w:pPr>
        <w:widowControl w:val="0"/>
        <w:pBdr>
          <w:top w:space="0" w:sz="0" w:val="nil"/>
          <w:left w:space="0" w:sz="0" w:val="nil"/>
          <w:bottom w:space="0" w:sz="0" w:val="nil"/>
          <w:right w:space="0" w:sz="0" w:val="nil"/>
          <w:between w:space="0" w:sz="0" w:val="nil"/>
        </w:pBdr>
        <w:spacing w:after="0" w:line="480" w:lineRule="auto"/>
        <w:ind w:left="440" w:hanging="440"/>
        <w:rPr>
          <w:color w:val="000000"/>
        </w:rPr>
      </w:pPr>
      <w:r w:rsidDel="00000000" w:rsidR="00000000" w:rsidRPr="00000000">
        <w:rPr>
          <w:color w:val="000000"/>
          <w:rtl w:val="0"/>
        </w:rPr>
        <w:t xml:space="preserve">75.</w:t>
        <w:tab/>
      </w:r>
      <w:hyperlink r:id="rId572">
        <w:r w:rsidDel="00000000" w:rsidR="00000000" w:rsidRPr="00000000">
          <w:rPr>
            <w:color w:val="000000"/>
            <w:rtl w:val="0"/>
          </w:rPr>
          <w:t xml:space="preserve">Rębała, K. </w:t>
        </w:r>
      </w:hyperlink>
      <w:hyperlink r:id="rId573">
        <w:r w:rsidDel="00000000" w:rsidR="00000000" w:rsidRPr="00000000">
          <w:rPr>
            <w:i w:val="1"/>
            <w:color w:val="000000"/>
            <w:rtl w:val="0"/>
          </w:rPr>
          <w:t xml:space="preserve">et al.</w:t>
        </w:r>
      </w:hyperlink>
      <w:hyperlink r:id="rId574">
        <w:r w:rsidDel="00000000" w:rsidR="00000000" w:rsidRPr="00000000">
          <w:rPr>
            <w:color w:val="000000"/>
            <w:rtl w:val="0"/>
          </w:rPr>
          <w:t xml:space="preserve"> Contemporary paternal genetic landscape of Polish and German populations: from early medieval Slavic expansion to post-World War II resettlements. </w:t>
        </w:r>
      </w:hyperlink>
      <w:hyperlink r:id="rId575">
        <w:r w:rsidDel="00000000" w:rsidR="00000000" w:rsidRPr="00000000">
          <w:rPr>
            <w:i w:val="1"/>
            <w:color w:val="000000"/>
            <w:rtl w:val="0"/>
          </w:rPr>
          <w:t xml:space="preserve">Eur. J. Hum. Genet.</w:t>
        </w:r>
      </w:hyperlink>
      <w:hyperlink r:id="rId576">
        <w:r w:rsidDel="00000000" w:rsidR="00000000" w:rsidRPr="00000000">
          <w:rPr>
            <w:color w:val="000000"/>
            <w:rtl w:val="0"/>
          </w:rPr>
          <w:t xml:space="preserve"> </w:t>
        </w:r>
      </w:hyperlink>
      <w:hyperlink r:id="rId577">
        <w:r w:rsidDel="00000000" w:rsidR="00000000" w:rsidRPr="00000000">
          <w:rPr>
            <w:b w:val="1"/>
            <w:color w:val="000000"/>
            <w:rtl w:val="0"/>
          </w:rPr>
          <w:t xml:space="preserve">21</w:t>
        </w:r>
      </w:hyperlink>
      <w:hyperlink r:id="rId578">
        <w:r w:rsidDel="00000000" w:rsidR="00000000" w:rsidRPr="00000000">
          <w:rPr>
            <w:color w:val="000000"/>
            <w:rtl w:val="0"/>
          </w:rPr>
          <w:t xml:space="preserve">, 415–422 (2012).</w:t>
        </w:r>
      </w:hyperlink>
      <w:r w:rsidDel="00000000" w:rsidR="00000000" w:rsidRPr="00000000">
        <w:rPr>
          <w:rtl w:val="0"/>
        </w:rPr>
      </w:r>
    </w:p>
    <w:p w:rsidR="00000000" w:rsidDel="00000000" w:rsidP="00000000" w:rsidRDefault="00000000" w:rsidRPr="00000000" w14:paraId="00000921">
      <w:pPr>
        <w:widowControl w:val="0"/>
        <w:pBdr>
          <w:top w:space="0" w:sz="0" w:val="nil"/>
          <w:left w:space="0" w:sz="0" w:val="nil"/>
          <w:bottom w:space="0" w:sz="0" w:val="nil"/>
          <w:right w:space="0" w:sz="0" w:val="nil"/>
          <w:between w:space="0" w:sz="0" w:val="nil"/>
        </w:pBdr>
        <w:spacing w:after="0" w:line="480" w:lineRule="auto"/>
        <w:ind w:left="440" w:hanging="440"/>
        <w:rPr>
          <w:color w:val="000000"/>
        </w:rPr>
      </w:pPr>
      <w:r w:rsidDel="00000000" w:rsidR="00000000" w:rsidRPr="00000000">
        <w:rPr>
          <w:color w:val="000000"/>
          <w:rtl w:val="0"/>
        </w:rPr>
        <w:t xml:space="preserve">76.</w:t>
        <w:tab/>
      </w:r>
      <w:hyperlink r:id="rId579">
        <w:r w:rsidDel="00000000" w:rsidR="00000000" w:rsidRPr="00000000">
          <w:rPr>
            <w:color w:val="000000"/>
            <w:rtl w:val="0"/>
          </w:rPr>
          <w:t xml:space="preserve">Rühlemann, M. C. </w:t>
        </w:r>
      </w:hyperlink>
      <w:hyperlink r:id="rId580">
        <w:r w:rsidDel="00000000" w:rsidR="00000000" w:rsidRPr="00000000">
          <w:rPr>
            <w:i w:val="1"/>
            <w:color w:val="000000"/>
            <w:rtl w:val="0"/>
          </w:rPr>
          <w:t xml:space="preserve">et al.</w:t>
        </w:r>
      </w:hyperlink>
      <w:hyperlink r:id="rId581">
        <w:r w:rsidDel="00000000" w:rsidR="00000000" w:rsidRPr="00000000">
          <w:rPr>
            <w:color w:val="000000"/>
            <w:rtl w:val="0"/>
          </w:rPr>
          <w:t xml:space="preserve"> Genome-wide association study in 8,956 German individuals identifies influence of ABO histo-blood groups on gut microbiome. </w:t>
        </w:r>
      </w:hyperlink>
      <w:hyperlink r:id="rId582">
        <w:r w:rsidDel="00000000" w:rsidR="00000000" w:rsidRPr="00000000">
          <w:rPr>
            <w:i w:val="1"/>
            <w:color w:val="000000"/>
            <w:rtl w:val="0"/>
          </w:rPr>
          <w:t xml:space="preserve">Nat. Genet.</w:t>
        </w:r>
      </w:hyperlink>
      <w:hyperlink r:id="rId583">
        <w:r w:rsidDel="00000000" w:rsidR="00000000" w:rsidRPr="00000000">
          <w:rPr>
            <w:color w:val="000000"/>
            <w:rtl w:val="0"/>
          </w:rPr>
          <w:t xml:space="preserve"> </w:t>
        </w:r>
      </w:hyperlink>
      <w:hyperlink r:id="rId584">
        <w:r w:rsidDel="00000000" w:rsidR="00000000" w:rsidRPr="00000000">
          <w:rPr>
            <w:b w:val="1"/>
            <w:color w:val="000000"/>
            <w:rtl w:val="0"/>
          </w:rPr>
          <w:t xml:space="preserve">53</w:t>
        </w:r>
      </w:hyperlink>
      <w:hyperlink r:id="rId585">
        <w:r w:rsidDel="00000000" w:rsidR="00000000" w:rsidRPr="00000000">
          <w:rPr>
            <w:color w:val="000000"/>
            <w:rtl w:val="0"/>
          </w:rPr>
          <w:t xml:space="preserve">, 147–155 (2021).</w:t>
        </w:r>
      </w:hyperlink>
      <w:r w:rsidDel="00000000" w:rsidR="00000000" w:rsidRPr="00000000">
        <w:rPr>
          <w:rtl w:val="0"/>
        </w:rPr>
      </w:r>
    </w:p>
    <w:p w:rsidR="00000000" w:rsidDel="00000000" w:rsidP="00000000" w:rsidRDefault="00000000" w:rsidRPr="00000000" w14:paraId="00000922">
      <w:pPr>
        <w:widowControl w:val="0"/>
        <w:pBdr>
          <w:top w:space="0" w:sz="0" w:val="nil"/>
          <w:left w:space="0" w:sz="0" w:val="nil"/>
          <w:bottom w:space="0" w:sz="0" w:val="nil"/>
          <w:right w:space="0" w:sz="0" w:val="nil"/>
          <w:between w:space="0" w:sz="0" w:val="nil"/>
        </w:pBdr>
        <w:spacing w:after="0" w:line="480" w:lineRule="auto"/>
        <w:ind w:left="440" w:hanging="440"/>
        <w:rPr>
          <w:color w:val="000000"/>
        </w:rPr>
      </w:pPr>
      <w:r w:rsidDel="00000000" w:rsidR="00000000" w:rsidRPr="00000000">
        <w:rPr>
          <w:color w:val="000000"/>
          <w:rtl w:val="0"/>
        </w:rPr>
        <w:t xml:space="preserve">77.</w:t>
        <w:tab/>
      </w:r>
      <w:hyperlink r:id="rId586">
        <w:r w:rsidDel="00000000" w:rsidR="00000000" w:rsidRPr="00000000">
          <w:rPr>
            <w:color w:val="000000"/>
            <w:rtl w:val="0"/>
          </w:rPr>
          <w:t xml:space="preserve">McInnes, L., Healy, J. &amp; Melville, J. UMAP: Uniform Manifold Approximation and Projection for Dimension Reduction. </w:t>
        </w:r>
      </w:hyperlink>
      <w:hyperlink r:id="rId587">
        <w:r w:rsidDel="00000000" w:rsidR="00000000" w:rsidRPr="00000000">
          <w:rPr>
            <w:i w:val="1"/>
            <w:color w:val="000000"/>
            <w:rtl w:val="0"/>
          </w:rPr>
          <w:t xml:space="preserve">arXiv [stat.ML]</w:t>
        </w:r>
      </w:hyperlink>
      <w:hyperlink r:id="rId588">
        <w:r w:rsidDel="00000000" w:rsidR="00000000" w:rsidRPr="00000000">
          <w:rPr>
            <w:color w:val="000000"/>
            <w:rtl w:val="0"/>
          </w:rPr>
          <w:t xml:space="preserve"> (2018).</w:t>
        </w:r>
      </w:hyperlink>
      <w:r w:rsidDel="00000000" w:rsidR="00000000" w:rsidRPr="00000000">
        <w:rPr>
          <w:rtl w:val="0"/>
        </w:rPr>
      </w:r>
    </w:p>
    <w:p w:rsidR="00000000" w:rsidDel="00000000" w:rsidP="00000000" w:rsidRDefault="00000000" w:rsidRPr="00000000" w14:paraId="00000923">
      <w:pPr>
        <w:widowControl w:val="0"/>
        <w:pBdr>
          <w:top w:space="0" w:sz="0" w:val="nil"/>
          <w:left w:space="0" w:sz="0" w:val="nil"/>
          <w:bottom w:space="0" w:sz="0" w:val="nil"/>
          <w:right w:space="0" w:sz="0" w:val="nil"/>
          <w:between w:space="0" w:sz="0" w:val="nil"/>
        </w:pBdr>
        <w:spacing w:after="0" w:line="480" w:lineRule="auto"/>
        <w:ind w:left="440" w:hanging="440"/>
        <w:rPr>
          <w:color w:val="000000"/>
        </w:rPr>
      </w:pPr>
      <w:r w:rsidDel="00000000" w:rsidR="00000000" w:rsidRPr="00000000">
        <w:rPr>
          <w:color w:val="000000"/>
          <w:rtl w:val="0"/>
        </w:rPr>
        <w:t xml:space="preserve">78.</w:t>
        <w:tab/>
      </w:r>
      <w:hyperlink r:id="rId589">
        <w:r w:rsidDel="00000000" w:rsidR="00000000" w:rsidRPr="00000000">
          <w:rPr>
            <w:color w:val="000000"/>
            <w:rtl w:val="0"/>
          </w:rPr>
          <w:t xml:space="preserve">Patterson, N., Price, A. L. &amp; Reich, D. Population structure and eigenanalysis. </w:t>
        </w:r>
      </w:hyperlink>
      <w:hyperlink r:id="rId590">
        <w:r w:rsidDel="00000000" w:rsidR="00000000" w:rsidRPr="00000000">
          <w:rPr>
            <w:i w:val="1"/>
            <w:color w:val="000000"/>
            <w:rtl w:val="0"/>
          </w:rPr>
          <w:t xml:space="preserve">PLoS Genet.</w:t>
        </w:r>
      </w:hyperlink>
      <w:hyperlink r:id="rId591">
        <w:r w:rsidDel="00000000" w:rsidR="00000000" w:rsidRPr="00000000">
          <w:rPr>
            <w:color w:val="000000"/>
            <w:rtl w:val="0"/>
          </w:rPr>
          <w:t xml:space="preserve"> </w:t>
        </w:r>
      </w:hyperlink>
      <w:hyperlink r:id="rId592">
        <w:r w:rsidDel="00000000" w:rsidR="00000000" w:rsidRPr="00000000">
          <w:rPr>
            <w:b w:val="1"/>
            <w:color w:val="000000"/>
            <w:rtl w:val="0"/>
          </w:rPr>
          <w:t xml:space="preserve">2</w:t>
        </w:r>
      </w:hyperlink>
      <w:hyperlink r:id="rId593">
        <w:r w:rsidDel="00000000" w:rsidR="00000000" w:rsidRPr="00000000">
          <w:rPr>
            <w:color w:val="000000"/>
            <w:rtl w:val="0"/>
          </w:rPr>
          <w:t xml:space="preserve">, e190 (2006).</w:t>
        </w:r>
      </w:hyperlink>
      <w:r w:rsidDel="00000000" w:rsidR="00000000" w:rsidRPr="00000000">
        <w:rPr>
          <w:rtl w:val="0"/>
        </w:rPr>
      </w:r>
    </w:p>
    <w:p w:rsidR="00000000" w:rsidDel="00000000" w:rsidP="00000000" w:rsidRDefault="00000000" w:rsidRPr="00000000" w14:paraId="00000924">
      <w:pPr>
        <w:widowControl w:val="0"/>
        <w:pBdr>
          <w:top w:space="0" w:sz="0" w:val="nil"/>
          <w:left w:space="0" w:sz="0" w:val="nil"/>
          <w:bottom w:space="0" w:sz="0" w:val="nil"/>
          <w:right w:space="0" w:sz="0" w:val="nil"/>
          <w:between w:space="0" w:sz="0" w:val="nil"/>
        </w:pBdr>
        <w:spacing w:after="0" w:line="480" w:lineRule="auto"/>
        <w:ind w:left="440" w:hanging="440"/>
        <w:rPr>
          <w:color w:val="000000"/>
        </w:rPr>
      </w:pPr>
      <w:r w:rsidDel="00000000" w:rsidR="00000000" w:rsidRPr="00000000">
        <w:rPr>
          <w:color w:val="000000"/>
          <w:rtl w:val="0"/>
        </w:rPr>
        <w:t xml:space="preserve">79.</w:t>
        <w:tab/>
      </w:r>
      <w:hyperlink r:id="rId594">
        <w:r w:rsidDel="00000000" w:rsidR="00000000" w:rsidRPr="00000000">
          <w:rPr>
            <w:color w:val="000000"/>
            <w:rtl w:val="0"/>
          </w:rPr>
          <w:t xml:space="preserve">Lao, O. </w:t>
        </w:r>
      </w:hyperlink>
      <w:hyperlink r:id="rId595">
        <w:r w:rsidDel="00000000" w:rsidR="00000000" w:rsidRPr="00000000">
          <w:rPr>
            <w:i w:val="1"/>
            <w:color w:val="000000"/>
            <w:rtl w:val="0"/>
          </w:rPr>
          <w:t xml:space="preserve">et al.</w:t>
        </w:r>
      </w:hyperlink>
      <w:hyperlink r:id="rId596">
        <w:r w:rsidDel="00000000" w:rsidR="00000000" w:rsidRPr="00000000">
          <w:rPr>
            <w:color w:val="000000"/>
            <w:rtl w:val="0"/>
          </w:rPr>
          <w:t xml:space="preserve"> Correlation between genetic and geographic structure in Europe. </w:t>
        </w:r>
      </w:hyperlink>
      <w:hyperlink r:id="rId597">
        <w:r w:rsidDel="00000000" w:rsidR="00000000" w:rsidRPr="00000000">
          <w:rPr>
            <w:i w:val="1"/>
            <w:color w:val="000000"/>
            <w:rtl w:val="0"/>
          </w:rPr>
          <w:t xml:space="preserve">Curr. Biol.</w:t>
        </w:r>
      </w:hyperlink>
      <w:hyperlink r:id="rId598">
        <w:r w:rsidDel="00000000" w:rsidR="00000000" w:rsidRPr="00000000">
          <w:rPr>
            <w:color w:val="000000"/>
            <w:rtl w:val="0"/>
          </w:rPr>
          <w:t xml:space="preserve"> </w:t>
        </w:r>
      </w:hyperlink>
      <w:hyperlink r:id="rId599">
        <w:r w:rsidDel="00000000" w:rsidR="00000000" w:rsidRPr="00000000">
          <w:rPr>
            <w:b w:val="1"/>
            <w:color w:val="000000"/>
            <w:rtl w:val="0"/>
          </w:rPr>
          <w:t xml:space="preserve">18</w:t>
        </w:r>
      </w:hyperlink>
      <w:hyperlink r:id="rId600">
        <w:r w:rsidDel="00000000" w:rsidR="00000000" w:rsidRPr="00000000">
          <w:rPr>
            <w:color w:val="000000"/>
            <w:rtl w:val="0"/>
          </w:rPr>
          <w:t xml:space="preserve">, 1241–1248 (2008).</w:t>
        </w:r>
      </w:hyperlink>
      <w:r w:rsidDel="00000000" w:rsidR="00000000" w:rsidRPr="00000000">
        <w:rPr>
          <w:rtl w:val="0"/>
        </w:rPr>
      </w:r>
    </w:p>
    <w:p w:rsidR="00000000" w:rsidDel="00000000" w:rsidP="00000000" w:rsidRDefault="00000000" w:rsidRPr="00000000" w14:paraId="00000925">
      <w:pPr>
        <w:widowControl w:val="0"/>
        <w:pBdr>
          <w:top w:space="0" w:sz="0" w:val="nil"/>
          <w:left w:space="0" w:sz="0" w:val="nil"/>
          <w:bottom w:space="0" w:sz="0" w:val="nil"/>
          <w:right w:space="0" w:sz="0" w:val="nil"/>
          <w:between w:space="0" w:sz="0" w:val="nil"/>
        </w:pBdr>
        <w:spacing w:after="0" w:line="480" w:lineRule="auto"/>
        <w:ind w:left="440" w:hanging="440"/>
        <w:rPr>
          <w:color w:val="000000"/>
        </w:rPr>
      </w:pPr>
      <w:r w:rsidDel="00000000" w:rsidR="00000000" w:rsidRPr="00000000">
        <w:rPr>
          <w:color w:val="000000"/>
          <w:rtl w:val="0"/>
        </w:rPr>
        <w:t xml:space="preserve">80.</w:t>
        <w:tab/>
      </w:r>
      <w:hyperlink r:id="rId601">
        <w:r w:rsidDel="00000000" w:rsidR="00000000" w:rsidRPr="00000000">
          <w:rPr>
            <w:color w:val="000000"/>
            <w:rtl w:val="0"/>
          </w:rPr>
          <w:t xml:space="preserve">Novembre, J. </w:t>
        </w:r>
      </w:hyperlink>
      <w:hyperlink r:id="rId602">
        <w:r w:rsidDel="00000000" w:rsidR="00000000" w:rsidRPr="00000000">
          <w:rPr>
            <w:i w:val="1"/>
            <w:color w:val="000000"/>
            <w:rtl w:val="0"/>
          </w:rPr>
          <w:t xml:space="preserve">et al.</w:t>
        </w:r>
      </w:hyperlink>
      <w:hyperlink r:id="rId603">
        <w:r w:rsidDel="00000000" w:rsidR="00000000" w:rsidRPr="00000000">
          <w:rPr>
            <w:color w:val="000000"/>
            <w:rtl w:val="0"/>
          </w:rPr>
          <w:t xml:space="preserve"> Genes mirror geography within Europe. </w:t>
        </w:r>
      </w:hyperlink>
      <w:hyperlink r:id="rId604">
        <w:r w:rsidDel="00000000" w:rsidR="00000000" w:rsidRPr="00000000">
          <w:rPr>
            <w:i w:val="1"/>
            <w:color w:val="000000"/>
            <w:rtl w:val="0"/>
          </w:rPr>
          <w:t xml:space="preserve">Nature</w:t>
        </w:r>
      </w:hyperlink>
      <w:hyperlink r:id="rId605">
        <w:r w:rsidDel="00000000" w:rsidR="00000000" w:rsidRPr="00000000">
          <w:rPr>
            <w:color w:val="000000"/>
            <w:rtl w:val="0"/>
          </w:rPr>
          <w:t xml:space="preserve"> </w:t>
        </w:r>
      </w:hyperlink>
      <w:hyperlink r:id="rId606">
        <w:r w:rsidDel="00000000" w:rsidR="00000000" w:rsidRPr="00000000">
          <w:rPr>
            <w:b w:val="1"/>
            <w:color w:val="000000"/>
            <w:rtl w:val="0"/>
          </w:rPr>
          <w:t xml:space="preserve">456</w:t>
        </w:r>
      </w:hyperlink>
      <w:hyperlink r:id="rId607">
        <w:r w:rsidDel="00000000" w:rsidR="00000000" w:rsidRPr="00000000">
          <w:rPr>
            <w:color w:val="000000"/>
            <w:rtl w:val="0"/>
          </w:rPr>
          <w:t xml:space="preserve">, 274–274 (2008).</w:t>
        </w:r>
      </w:hyperlink>
      <w:r w:rsidDel="00000000" w:rsidR="00000000" w:rsidRPr="00000000">
        <w:rPr>
          <w:rtl w:val="0"/>
        </w:rPr>
      </w:r>
    </w:p>
    <w:p w:rsidR="00000000" w:rsidDel="00000000" w:rsidP="00000000" w:rsidRDefault="00000000" w:rsidRPr="00000000" w14:paraId="00000926">
      <w:pPr>
        <w:widowControl w:val="0"/>
        <w:pBdr>
          <w:top w:space="0" w:sz="0" w:val="nil"/>
          <w:left w:space="0" w:sz="0" w:val="nil"/>
          <w:bottom w:space="0" w:sz="0" w:val="nil"/>
          <w:right w:space="0" w:sz="0" w:val="nil"/>
          <w:between w:space="0" w:sz="0" w:val="nil"/>
        </w:pBdr>
        <w:spacing w:after="0" w:line="480" w:lineRule="auto"/>
        <w:ind w:left="440" w:hanging="440"/>
        <w:rPr>
          <w:color w:val="000000"/>
        </w:rPr>
      </w:pPr>
      <w:r w:rsidDel="00000000" w:rsidR="00000000" w:rsidRPr="00000000">
        <w:rPr>
          <w:color w:val="000000"/>
          <w:rtl w:val="0"/>
        </w:rPr>
        <w:t xml:space="preserve">81.</w:t>
        <w:tab/>
      </w:r>
      <w:hyperlink r:id="rId608">
        <w:r w:rsidDel="00000000" w:rsidR="00000000" w:rsidRPr="00000000">
          <w:rPr>
            <w:color w:val="000000"/>
            <w:rtl w:val="0"/>
          </w:rPr>
          <w:t xml:space="preserve">Patterson, N. </w:t>
        </w:r>
      </w:hyperlink>
      <w:hyperlink r:id="rId609">
        <w:r w:rsidDel="00000000" w:rsidR="00000000" w:rsidRPr="00000000">
          <w:rPr>
            <w:i w:val="1"/>
            <w:color w:val="000000"/>
            <w:rtl w:val="0"/>
          </w:rPr>
          <w:t xml:space="preserve">et al.</w:t>
        </w:r>
      </w:hyperlink>
      <w:hyperlink r:id="rId610">
        <w:r w:rsidDel="00000000" w:rsidR="00000000" w:rsidRPr="00000000">
          <w:rPr>
            <w:color w:val="000000"/>
            <w:rtl w:val="0"/>
          </w:rPr>
          <w:t xml:space="preserve"> Large-scale migration into Britain during the Middle to Late Bronze Age. </w:t>
        </w:r>
      </w:hyperlink>
      <w:hyperlink r:id="rId611">
        <w:r w:rsidDel="00000000" w:rsidR="00000000" w:rsidRPr="00000000">
          <w:rPr>
            <w:i w:val="1"/>
            <w:color w:val="000000"/>
            <w:rtl w:val="0"/>
          </w:rPr>
          <w:t xml:space="preserve">Nature</w:t>
        </w:r>
      </w:hyperlink>
      <w:hyperlink r:id="rId612">
        <w:r w:rsidDel="00000000" w:rsidR="00000000" w:rsidRPr="00000000">
          <w:rPr>
            <w:color w:val="000000"/>
            <w:rtl w:val="0"/>
          </w:rPr>
          <w:t xml:space="preserve"> </w:t>
        </w:r>
      </w:hyperlink>
      <w:hyperlink r:id="rId613">
        <w:r w:rsidDel="00000000" w:rsidR="00000000" w:rsidRPr="00000000">
          <w:rPr>
            <w:b w:val="1"/>
            <w:color w:val="000000"/>
            <w:rtl w:val="0"/>
          </w:rPr>
          <w:t xml:space="preserve">601</w:t>
        </w:r>
      </w:hyperlink>
      <w:hyperlink r:id="rId614">
        <w:r w:rsidDel="00000000" w:rsidR="00000000" w:rsidRPr="00000000">
          <w:rPr>
            <w:color w:val="000000"/>
            <w:rtl w:val="0"/>
          </w:rPr>
          <w:t xml:space="preserve">, 588–594 (2021).</w:t>
        </w:r>
      </w:hyperlink>
      <w:r w:rsidDel="00000000" w:rsidR="00000000" w:rsidRPr="00000000">
        <w:rPr>
          <w:rtl w:val="0"/>
        </w:rPr>
      </w:r>
    </w:p>
    <w:p w:rsidR="00000000" w:rsidDel="00000000" w:rsidP="00000000" w:rsidRDefault="00000000" w:rsidRPr="00000000" w14:paraId="00000927">
      <w:pPr>
        <w:widowControl w:val="0"/>
        <w:pBdr>
          <w:top w:space="0" w:sz="0" w:val="nil"/>
          <w:left w:space="0" w:sz="0" w:val="nil"/>
          <w:bottom w:space="0" w:sz="0" w:val="nil"/>
          <w:right w:space="0" w:sz="0" w:val="nil"/>
          <w:between w:space="0" w:sz="0" w:val="nil"/>
        </w:pBdr>
        <w:spacing w:after="0" w:line="480" w:lineRule="auto"/>
        <w:ind w:left="440" w:hanging="440"/>
        <w:rPr>
          <w:color w:val="000000"/>
        </w:rPr>
      </w:pPr>
      <w:r w:rsidDel="00000000" w:rsidR="00000000" w:rsidRPr="00000000">
        <w:rPr>
          <w:color w:val="000000"/>
          <w:rtl w:val="0"/>
        </w:rPr>
        <w:t xml:space="preserve">82.</w:t>
        <w:tab/>
      </w:r>
      <w:hyperlink r:id="rId615">
        <w:r w:rsidDel="00000000" w:rsidR="00000000" w:rsidRPr="00000000">
          <w:rPr>
            <w:color w:val="000000"/>
            <w:rtl w:val="0"/>
          </w:rPr>
          <w:t xml:space="preserve">Allentoft, M. E. </w:t>
        </w:r>
      </w:hyperlink>
      <w:hyperlink r:id="rId616">
        <w:r w:rsidDel="00000000" w:rsidR="00000000" w:rsidRPr="00000000">
          <w:rPr>
            <w:i w:val="1"/>
            <w:color w:val="000000"/>
            <w:rtl w:val="0"/>
          </w:rPr>
          <w:t xml:space="preserve">et al.</w:t>
        </w:r>
      </w:hyperlink>
      <w:hyperlink r:id="rId617">
        <w:r w:rsidDel="00000000" w:rsidR="00000000" w:rsidRPr="00000000">
          <w:rPr>
            <w:color w:val="000000"/>
            <w:rtl w:val="0"/>
          </w:rPr>
          <w:t xml:space="preserve"> Population genomics of Bronze Age Eurasia. </w:t>
        </w:r>
      </w:hyperlink>
      <w:hyperlink r:id="rId618">
        <w:r w:rsidDel="00000000" w:rsidR="00000000" w:rsidRPr="00000000">
          <w:rPr>
            <w:i w:val="1"/>
            <w:color w:val="000000"/>
            <w:rtl w:val="0"/>
          </w:rPr>
          <w:t xml:space="preserve">Nature</w:t>
        </w:r>
      </w:hyperlink>
      <w:hyperlink r:id="rId619">
        <w:r w:rsidDel="00000000" w:rsidR="00000000" w:rsidRPr="00000000">
          <w:rPr>
            <w:color w:val="000000"/>
            <w:rtl w:val="0"/>
          </w:rPr>
          <w:t xml:space="preserve"> </w:t>
        </w:r>
      </w:hyperlink>
      <w:hyperlink r:id="rId620">
        <w:r w:rsidDel="00000000" w:rsidR="00000000" w:rsidRPr="00000000">
          <w:rPr>
            <w:b w:val="1"/>
            <w:color w:val="000000"/>
            <w:rtl w:val="0"/>
          </w:rPr>
          <w:t xml:space="preserve">522</w:t>
        </w:r>
      </w:hyperlink>
      <w:hyperlink r:id="rId621">
        <w:r w:rsidDel="00000000" w:rsidR="00000000" w:rsidRPr="00000000">
          <w:rPr>
            <w:color w:val="000000"/>
            <w:rtl w:val="0"/>
          </w:rPr>
          <w:t xml:space="preserve">, 167–172 (2015).</w:t>
        </w:r>
      </w:hyperlink>
      <w:r w:rsidDel="00000000" w:rsidR="00000000" w:rsidRPr="00000000">
        <w:rPr>
          <w:rtl w:val="0"/>
        </w:rPr>
      </w:r>
    </w:p>
    <w:p w:rsidR="00000000" w:rsidDel="00000000" w:rsidP="00000000" w:rsidRDefault="00000000" w:rsidRPr="00000000" w14:paraId="00000928">
      <w:pPr>
        <w:widowControl w:val="0"/>
        <w:pBdr>
          <w:top w:space="0" w:sz="0" w:val="nil"/>
          <w:left w:space="0" w:sz="0" w:val="nil"/>
          <w:bottom w:space="0" w:sz="0" w:val="nil"/>
          <w:right w:space="0" w:sz="0" w:val="nil"/>
          <w:between w:space="0" w:sz="0" w:val="nil"/>
        </w:pBdr>
        <w:spacing w:after="0" w:line="480" w:lineRule="auto"/>
        <w:ind w:left="440" w:hanging="440"/>
        <w:rPr>
          <w:color w:val="000000"/>
        </w:rPr>
      </w:pPr>
      <w:r w:rsidDel="00000000" w:rsidR="00000000" w:rsidRPr="00000000">
        <w:rPr>
          <w:color w:val="000000"/>
          <w:rtl w:val="0"/>
        </w:rPr>
        <w:t xml:space="preserve">83.</w:t>
        <w:tab/>
      </w:r>
      <w:hyperlink r:id="rId622">
        <w:r w:rsidDel="00000000" w:rsidR="00000000" w:rsidRPr="00000000">
          <w:rPr>
            <w:color w:val="000000"/>
            <w:rtl w:val="0"/>
          </w:rPr>
          <w:t xml:space="preserve">Amorim, C. E. G. </w:t>
        </w:r>
      </w:hyperlink>
      <w:hyperlink r:id="rId623">
        <w:r w:rsidDel="00000000" w:rsidR="00000000" w:rsidRPr="00000000">
          <w:rPr>
            <w:i w:val="1"/>
            <w:color w:val="000000"/>
            <w:rtl w:val="0"/>
          </w:rPr>
          <w:t xml:space="preserve">et al.</w:t>
        </w:r>
      </w:hyperlink>
      <w:hyperlink r:id="rId624">
        <w:r w:rsidDel="00000000" w:rsidR="00000000" w:rsidRPr="00000000">
          <w:rPr>
            <w:color w:val="000000"/>
            <w:rtl w:val="0"/>
          </w:rPr>
          <w:t xml:space="preserve"> Understanding 6th-century barbarian social organization and migration through paleogenomics. </w:t>
        </w:r>
      </w:hyperlink>
      <w:hyperlink r:id="rId625">
        <w:r w:rsidDel="00000000" w:rsidR="00000000" w:rsidRPr="00000000">
          <w:rPr>
            <w:i w:val="1"/>
            <w:color w:val="000000"/>
            <w:rtl w:val="0"/>
          </w:rPr>
          <w:t xml:space="preserve">Nat. Commun.</w:t>
        </w:r>
      </w:hyperlink>
      <w:hyperlink r:id="rId626">
        <w:r w:rsidDel="00000000" w:rsidR="00000000" w:rsidRPr="00000000">
          <w:rPr>
            <w:color w:val="000000"/>
            <w:rtl w:val="0"/>
          </w:rPr>
          <w:t xml:space="preserve"> </w:t>
        </w:r>
      </w:hyperlink>
      <w:hyperlink r:id="rId627">
        <w:r w:rsidDel="00000000" w:rsidR="00000000" w:rsidRPr="00000000">
          <w:rPr>
            <w:b w:val="1"/>
            <w:color w:val="000000"/>
            <w:rtl w:val="0"/>
          </w:rPr>
          <w:t xml:space="preserve">9</w:t>
        </w:r>
      </w:hyperlink>
      <w:hyperlink r:id="rId628">
        <w:r w:rsidDel="00000000" w:rsidR="00000000" w:rsidRPr="00000000">
          <w:rPr>
            <w:color w:val="000000"/>
            <w:rtl w:val="0"/>
          </w:rPr>
          <w:t xml:space="preserve">, 3547 (2018).</w:t>
        </w:r>
      </w:hyperlink>
      <w:r w:rsidDel="00000000" w:rsidR="00000000" w:rsidRPr="00000000">
        <w:rPr>
          <w:rtl w:val="0"/>
        </w:rPr>
      </w:r>
    </w:p>
    <w:p w:rsidR="00000000" w:rsidDel="00000000" w:rsidP="00000000" w:rsidRDefault="00000000" w:rsidRPr="00000000" w14:paraId="00000929">
      <w:pPr>
        <w:widowControl w:val="0"/>
        <w:pBdr>
          <w:top w:space="0" w:sz="0" w:val="nil"/>
          <w:left w:space="0" w:sz="0" w:val="nil"/>
          <w:bottom w:space="0" w:sz="0" w:val="nil"/>
          <w:right w:space="0" w:sz="0" w:val="nil"/>
          <w:between w:space="0" w:sz="0" w:val="nil"/>
        </w:pBdr>
        <w:spacing w:after="0" w:line="480" w:lineRule="auto"/>
        <w:ind w:left="440" w:hanging="440"/>
        <w:rPr>
          <w:color w:val="000000"/>
        </w:rPr>
      </w:pPr>
      <w:r w:rsidDel="00000000" w:rsidR="00000000" w:rsidRPr="00000000">
        <w:rPr>
          <w:color w:val="000000"/>
          <w:rtl w:val="0"/>
        </w:rPr>
        <w:t xml:space="preserve">84.</w:t>
        <w:tab/>
      </w:r>
      <w:hyperlink r:id="rId629">
        <w:r w:rsidDel="00000000" w:rsidR="00000000" w:rsidRPr="00000000">
          <w:rPr>
            <w:color w:val="000000"/>
            <w:rtl w:val="0"/>
          </w:rPr>
          <w:t xml:space="preserve">Antonio, M. L. </w:t>
        </w:r>
      </w:hyperlink>
      <w:hyperlink r:id="rId630">
        <w:r w:rsidDel="00000000" w:rsidR="00000000" w:rsidRPr="00000000">
          <w:rPr>
            <w:i w:val="1"/>
            <w:color w:val="000000"/>
            <w:rtl w:val="0"/>
          </w:rPr>
          <w:t xml:space="preserve">et al.</w:t>
        </w:r>
      </w:hyperlink>
      <w:hyperlink r:id="rId631">
        <w:r w:rsidDel="00000000" w:rsidR="00000000" w:rsidRPr="00000000">
          <w:rPr>
            <w:color w:val="000000"/>
            <w:rtl w:val="0"/>
          </w:rPr>
          <w:t xml:space="preserve"> Ancient Rome: A genetic crossroads of Europe and the Mediterranean. </w:t>
        </w:r>
      </w:hyperlink>
      <w:hyperlink r:id="rId632">
        <w:r w:rsidDel="00000000" w:rsidR="00000000" w:rsidRPr="00000000">
          <w:rPr>
            <w:i w:val="1"/>
            <w:color w:val="000000"/>
            <w:rtl w:val="0"/>
          </w:rPr>
          <w:t xml:space="preserve">Science</w:t>
        </w:r>
      </w:hyperlink>
      <w:hyperlink r:id="rId633">
        <w:r w:rsidDel="00000000" w:rsidR="00000000" w:rsidRPr="00000000">
          <w:rPr>
            <w:color w:val="000000"/>
            <w:rtl w:val="0"/>
          </w:rPr>
          <w:t xml:space="preserve"> </w:t>
        </w:r>
      </w:hyperlink>
      <w:hyperlink r:id="rId634">
        <w:r w:rsidDel="00000000" w:rsidR="00000000" w:rsidRPr="00000000">
          <w:rPr>
            <w:b w:val="1"/>
            <w:color w:val="000000"/>
            <w:rtl w:val="0"/>
          </w:rPr>
          <w:t xml:space="preserve">366</w:t>
        </w:r>
      </w:hyperlink>
      <w:hyperlink r:id="rId635">
        <w:r w:rsidDel="00000000" w:rsidR="00000000" w:rsidRPr="00000000">
          <w:rPr>
            <w:color w:val="000000"/>
            <w:rtl w:val="0"/>
          </w:rPr>
          <w:t xml:space="preserve">, 708–714 (2019).</w:t>
        </w:r>
      </w:hyperlink>
      <w:r w:rsidDel="00000000" w:rsidR="00000000" w:rsidRPr="00000000">
        <w:rPr>
          <w:rtl w:val="0"/>
        </w:rPr>
      </w:r>
    </w:p>
    <w:p w:rsidR="00000000" w:rsidDel="00000000" w:rsidP="00000000" w:rsidRDefault="00000000" w:rsidRPr="00000000" w14:paraId="0000092A">
      <w:pPr>
        <w:widowControl w:val="0"/>
        <w:pBdr>
          <w:top w:space="0" w:sz="0" w:val="nil"/>
          <w:left w:space="0" w:sz="0" w:val="nil"/>
          <w:bottom w:space="0" w:sz="0" w:val="nil"/>
          <w:right w:space="0" w:sz="0" w:val="nil"/>
          <w:between w:space="0" w:sz="0" w:val="nil"/>
        </w:pBdr>
        <w:spacing w:after="0" w:line="480" w:lineRule="auto"/>
        <w:ind w:left="440" w:hanging="440"/>
        <w:rPr>
          <w:color w:val="000000"/>
        </w:rPr>
      </w:pPr>
      <w:r w:rsidDel="00000000" w:rsidR="00000000" w:rsidRPr="00000000">
        <w:rPr>
          <w:color w:val="000000"/>
          <w:rtl w:val="0"/>
        </w:rPr>
        <w:t xml:space="preserve">85.</w:t>
        <w:tab/>
      </w:r>
      <w:hyperlink r:id="rId636">
        <w:r w:rsidDel="00000000" w:rsidR="00000000" w:rsidRPr="00000000">
          <w:rPr>
            <w:color w:val="000000"/>
            <w:rtl w:val="0"/>
          </w:rPr>
          <w:t xml:space="preserve">Brace, S. </w:t>
        </w:r>
      </w:hyperlink>
      <w:hyperlink r:id="rId637">
        <w:r w:rsidDel="00000000" w:rsidR="00000000" w:rsidRPr="00000000">
          <w:rPr>
            <w:i w:val="1"/>
            <w:color w:val="000000"/>
            <w:rtl w:val="0"/>
          </w:rPr>
          <w:t xml:space="preserve">et al.</w:t>
        </w:r>
      </w:hyperlink>
      <w:hyperlink r:id="rId638">
        <w:r w:rsidDel="00000000" w:rsidR="00000000" w:rsidRPr="00000000">
          <w:rPr>
            <w:color w:val="000000"/>
            <w:rtl w:val="0"/>
          </w:rPr>
          <w:t xml:space="preserve"> Ancient genomes indicate population replacement in Early Neolithic Britain. </w:t>
        </w:r>
      </w:hyperlink>
      <w:hyperlink r:id="rId639">
        <w:r w:rsidDel="00000000" w:rsidR="00000000" w:rsidRPr="00000000">
          <w:rPr>
            <w:i w:val="1"/>
            <w:color w:val="000000"/>
            <w:rtl w:val="0"/>
          </w:rPr>
          <w:t xml:space="preserve">Nature Ecology &amp; Evolution</w:t>
        </w:r>
      </w:hyperlink>
      <w:hyperlink r:id="rId640">
        <w:r w:rsidDel="00000000" w:rsidR="00000000" w:rsidRPr="00000000">
          <w:rPr>
            <w:color w:val="000000"/>
            <w:rtl w:val="0"/>
          </w:rPr>
          <w:t xml:space="preserve"> </w:t>
        </w:r>
      </w:hyperlink>
      <w:hyperlink r:id="rId641">
        <w:r w:rsidDel="00000000" w:rsidR="00000000" w:rsidRPr="00000000">
          <w:rPr>
            <w:b w:val="1"/>
            <w:color w:val="000000"/>
            <w:rtl w:val="0"/>
          </w:rPr>
          <w:t xml:space="preserve">3</w:t>
        </w:r>
      </w:hyperlink>
      <w:hyperlink r:id="rId642">
        <w:r w:rsidDel="00000000" w:rsidR="00000000" w:rsidRPr="00000000">
          <w:rPr>
            <w:color w:val="000000"/>
            <w:rtl w:val="0"/>
          </w:rPr>
          <w:t xml:space="preserve">, 765–771 (2019).</w:t>
        </w:r>
      </w:hyperlink>
      <w:r w:rsidDel="00000000" w:rsidR="00000000" w:rsidRPr="00000000">
        <w:rPr>
          <w:rtl w:val="0"/>
        </w:rPr>
      </w:r>
    </w:p>
    <w:p w:rsidR="00000000" w:rsidDel="00000000" w:rsidP="00000000" w:rsidRDefault="00000000" w:rsidRPr="00000000" w14:paraId="0000092B">
      <w:pPr>
        <w:widowControl w:val="0"/>
        <w:pBdr>
          <w:top w:space="0" w:sz="0" w:val="nil"/>
          <w:left w:space="0" w:sz="0" w:val="nil"/>
          <w:bottom w:space="0" w:sz="0" w:val="nil"/>
          <w:right w:space="0" w:sz="0" w:val="nil"/>
          <w:between w:space="0" w:sz="0" w:val="nil"/>
        </w:pBdr>
        <w:spacing w:after="0" w:line="480" w:lineRule="auto"/>
        <w:ind w:left="440" w:hanging="440"/>
        <w:rPr>
          <w:color w:val="000000"/>
        </w:rPr>
      </w:pPr>
      <w:r w:rsidDel="00000000" w:rsidR="00000000" w:rsidRPr="00000000">
        <w:rPr>
          <w:color w:val="000000"/>
          <w:rtl w:val="0"/>
        </w:rPr>
        <w:t xml:space="preserve">86.</w:t>
        <w:tab/>
      </w:r>
      <w:hyperlink r:id="rId643">
        <w:r w:rsidDel="00000000" w:rsidR="00000000" w:rsidRPr="00000000">
          <w:rPr>
            <w:color w:val="000000"/>
            <w:rtl w:val="0"/>
          </w:rPr>
          <w:t xml:space="preserve">Brunel, S. </w:t>
        </w:r>
      </w:hyperlink>
      <w:hyperlink r:id="rId644">
        <w:r w:rsidDel="00000000" w:rsidR="00000000" w:rsidRPr="00000000">
          <w:rPr>
            <w:i w:val="1"/>
            <w:color w:val="000000"/>
            <w:rtl w:val="0"/>
          </w:rPr>
          <w:t xml:space="preserve">et al.</w:t>
        </w:r>
      </w:hyperlink>
      <w:hyperlink r:id="rId645">
        <w:r w:rsidDel="00000000" w:rsidR="00000000" w:rsidRPr="00000000">
          <w:rPr>
            <w:color w:val="000000"/>
            <w:rtl w:val="0"/>
          </w:rPr>
          <w:t xml:space="preserve"> Ancient genomes from present-day France unveil 7,000 years of its demographic history. </w:t>
        </w:r>
      </w:hyperlink>
      <w:hyperlink r:id="rId646">
        <w:r w:rsidDel="00000000" w:rsidR="00000000" w:rsidRPr="00000000">
          <w:rPr>
            <w:i w:val="1"/>
            <w:color w:val="000000"/>
            <w:rtl w:val="0"/>
          </w:rPr>
          <w:t xml:space="preserve">Proc. Natl. Acad. Sci. U. S. A.</w:t>
        </w:r>
      </w:hyperlink>
      <w:hyperlink r:id="rId647">
        <w:r w:rsidDel="00000000" w:rsidR="00000000" w:rsidRPr="00000000">
          <w:rPr>
            <w:color w:val="000000"/>
            <w:rtl w:val="0"/>
          </w:rPr>
          <w:t xml:space="preserve"> </w:t>
        </w:r>
      </w:hyperlink>
      <w:hyperlink r:id="rId648">
        <w:r w:rsidDel="00000000" w:rsidR="00000000" w:rsidRPr="00000000">
          <w:rPr>
            <w:b w:val="1"/>
            <w:color w:val="000000"/>
            <w:rtl w:val="0"/>
          </w:rPr>
          <w:t xml:space="preserve">117</w:t>
        </w:r>
      </w:hyperlink>
      <w:hyperlink r:id="rId649">
        <w:r w:rsidDel="00000000" w:rsidR="00000000" w:rsidRPr="00000000">
          <w:rPr>
            <w:color w:val="000000"/>
            <w:rtl w:val="0"/>
          </w:rPr>
          <w:t xml:space="preserve">, 12791–12798 (2020).</w:t>
        </w:r>
      </w:hyperlink>
      <w:r w:rsidDel="00000000" w:rsidR="00000000" w:rsidRPr="00000000">
        <w:rPr>
          <w:rtl w:val="0"/>
        </w:rPr>
      </w:r>
    </w:p>
    <w:p w:rsidR="00000000" w:rsidDel="00000000" w:rsidP="00000000" w:rsidRDefault="00000000" w:rsidRPr="00000000" w14:paraId="0000092C">
      <w:pPr>
        <w:widowControl w:val="0"/>
        <w:pBdr>
          <w:top w:space="0" w:sz="0" w:val="nil"/>
          <w:left w:space="0" w:sz="0" w:val="nil"/>
          <w:bottom w:space="0" w:sz="0" w:val="nil"/>
          <w:right w:space="0" w:sz="0" w:val="nil"/>
          <w:between w:space="0" w:sz="0" w:val="nil"/>
        </w:pBdr>
        <w:spacing w:after="0" w:line="480" w:lineRule="auto"/>
        <w:ind w:left="440" w:hanging="440"/>
        <w:rPr>
          <w:color w:val="000000"/>
        </w:rPr>
      </w:pPr>
      <w:r w:rsidDel="00000000" w:rsidR="00000000" w:rsidRPr="00000000">
        <w:rPr>
          <w:color w:val="000000"/>
          <w:rtl w:val="0"/>
        </w:rPr>
        <w:t xml:space="preserve">87.</w:t>
        <w:tab/>
      </w:r>
      <w:hyperlink r:id="rId650">
        <w:r w:rsidDel="00000000" w:rsidR="00000000" w:rsidRPr="00000000">
          <w:rPr>
            <w:color w:val="000000"/>
            <w:rtl w:val="0"/>
          </w:rPr>
          <w:t xml:space="preserve">Cassidy, L. M. </w:t>
        </w:r>
      </w:hyperlink>
      <w:hyperlink r:id="rId651">
        <w:r w:rsidDel="00000000" w:rsidR="00000000" w:rsidRPr="00000000">
          <w:rPr>
            <w:i w:val="1"/>
            <w:color w:val="000000"/>
            <w:rtl w:val="0"/>
          </w:rPr>
          <w:t xml:space="preserve">et al.</w:t>
        </w:r>
      </w:hyperlink>
      <w:hyperlink r:id="rId652">
        <w:r w:rsidDel="00000000" w:rsidR="00000000" w:rsidRPr="00000000">
          <w:rPr>
            <w:color w:val="000000"/>
            <w:rtl w:val="0"/>
          </w:rPr>
          <w:t xml:space="preserve"> Neolithic and Bronze Age migration to Ireland and establishment of the insular Atlantic genome. </w:t>
        </w:r>
      </w:hyperlink>
      <w:hyperlink r:id="rId653">
        <w:r w:rsidDel="00000000" w:rsidR="00000000" w:rsidRPr="00000000">
          <w:rPr>
            <w:i w:val="1"/>
            <w:color w:val="000000"/>
            <w:rtl w:val="0"/>
          </w:rPr>
          <w:t xml:space="preserve">Proc. Natl. Acad. Sci. U. S. A.</w:t>
        </w:r>
      </w:hyperlink>
      <w:hyperlink r:id="rId654">
        <w:r w:rsidDel="00000000" w:rsidR="00000000" w:rsidRPr="00000000">
          <w:rPr>
            <w:color w:val="000000"/>
            <w:rtl w:val="0"/>
          </w:rPr>
          <w:t xml:space="preserve"> </w:t>
        </w:r>
      </w:hyperlink>
      <w:hyperlink r:id="rId655">
        <w:r w:rsidDel="00000000" w:rsidR="00000000" w:rsidRPr="00000000">
          <w:rPr>
            <w:b w:val="1"/>
            <w:color w:val="000000"/>
            <w:rtl w:val="0"/>
          </w:rPr>
          <w:t xml:space="preserve">113</w:t>
        </w:r>
      </w:hyperlink>
      <w:hyperlink r:id="rId656">
        <w:r w:rsidDel="00000000" w:rsidR="00000000" w:rsidRPr="00000000">
          <w:rPr>
            <w:color w:val="000000"/>
            <w:rtl w:val="0"/>
          </w:rPr>
          <w:t xml:space="preserve">, 368–373 (2016).</w:t>
        </w:r>
      </w:hyperlink>
      <w:r w:rsidDel="00000000" w:rsidR="00000000" w:rsidRPr="00000000">
        <w:rPr>
          <w:rtl w:val="0"/>
        </w:rPr>
      </w:r>
    </w:p>
    <w:p w:rsidR="00000000" w:rsidDel="00000000" w:rsidP="00000000" w:rsidRDefault="00000000" w:rsidRPr="00000000" w14:paraId="0000092D">
      <w:pPr>
        <w:widowControl w:val="0"/>
        <w:pBdr>
          <w:top w:space="0" w:sz="0" w:val="nil"/>
          <w:left w:space="0" w:sz="0" w:val="nil"/>
          <w:bottom w:space="0" w:sz="0" w:val="nil"/>
          <w:right w:space="0" w:sz="0" w:val="nil"/>
          <w:between w:space="0" w:sz="0" w:val="nil"/>
        </w:pBdr>
        <w:spacing w:after="0" w:line="480" w:lineRule="auto"/>
        <w:ind w:left="440" w:hanging="440"/>
        <w:rPr>
          <w:color w:val="000000"/>
        </w:rPr>
      </w:pPr>
      <w:r w:rsidDel="00000000" w:rsidR="00000000" w:rsidRPr="00000000">
        <w:rPr>
          <w:color w:val="000000"/>
          <w:rtl w:val="0"/>
        </w:rPr>
        <w:t xml:space="preserve">88.</w:t>
        <w:tab/>
      </w:r>
      <w:hyperlink r:id="rId657">
        <w:r w:rsidDel="00000000" w:rsidR="00000000" w:rsidRPr="00000000">
          <w:rPr>
            <w:color w:val="000000"/>
            <w:rtl w:val="0"/>
          </w:rPr>
          <w:t xml:space="preserve">Cassidy, L. M. </w:t>
        </w:r>
      </w:hyperlink>
      <w:hyperlink r:id="rId658">
        <w:r w:rsidDel="00000000" w:rsidR="00000000" w:rsidRPr="00000000">
          <w:rPr>
            <w:i w:val="1"/>
            <w:color w:val="000000"/>
            <w:rtl w:val="0"/>
          </w:rPr>
          <w:t xml:space="preserve">et al.</w:t>
        </w:r>
      </w:hyperlink>
      <w:hyperlink r:id="rId659">
        <w:r w:rsidDel="00000000" w:rsidR="00000000" w:rsidRPr="00000000">
          <w:rPr>
            <w:color w:val="000000"/>
            <w:rtl w:val="0"/>
          </w:rPr>
          <w:t xml:space="preserve"> A dynastic elite in monumental Neolithic society. </w:t>
        </w:r>
      </w:hyperlink>
      <w:hyperlink r:id="rId660">
        <w:r w:rsidDel="00000000" w:rsidR="00000000" w:rsidRPr="00000000">
          <w:rPr>
            <w:i w:val="1"/>
            <w:color w:val="000000"/>
            <w:rtl w:val="0"/>
          </w:rPr>
          <w:t xml:space="preserve">Nature</w:t>
        </w:r>
      </w:hyperlink>
      <w:hyperlink r:id="rId661">
        <w:r w:rsidDel="00000000" w:rsidR="00000000" w:rsidRPr="00000000">
          <w:rPr>
            <w:color w:val="000000"/>
            <w:rtl w:val="0"/>
          </w:rPr>
          <w:t xml:space="preserve"> </w:t>
        </w:r>
      </w:hyperlink>
      <w:hyperlink r:id="rId662">
        <w:r w:rsidDel="00000000" w:rsidR="00000000" w:rsidRPr="00000000">
          <w:rPr>
            <w:b w:val="1"/>
            <w:color w:val="000000"/>
            <w:rtl w:val="0"/>
          </w:rPr>
          <w:t xml:space="preserve">582</w:t>
        </w:r>
      </w:hyperlink>
      <w:hyperlink r:id="rId663">
        <w:r w:rsidDel="00000000" w:rsidR="00000000" w:rsidRPr="00000000">
          <w:rPr>
            <w:color w:val="000000"/>
            <w:rtl w:val="0"/>
          </w:rPr>
          <w:t xml:space="preserve">, 384–388 (2020).</w:t>
        </w:r>
      </w:hyperlink>
      <w:r w:rsidDel="00000000" w:rsidR="00000000" w:rsidRPr="00000000">
        <w:rPr>
          <w:rtl w:val="0"/>
        </w:rPr>
      </w:r>
    </w:p>
    <w:p w:rsidR="00000000" w:rsidDel="00000000" w:rsidP="00000000" w:rsidRDefault="00000000" w:rsidRPr="00000000" w14:paraId="0000092E">
      <w:pPr>
        <w:widowControl w:val="0"/>
        <w:pBdr>
          <w:top w:space="0" w:sz="0" w:val="nil"/>
          <w:left w:space="0" w:sz="0" w:val="nil"/>
          <w:bottom w:space="0" w:sz="0" w:val="nil"/>
          <w:right w:space="0" w:sz="0" w:val="nil"/>
          <w:between w:space="0" w:sz="0" w:val="nil"/>
        </w:pBdr>
        <w:spacing w:after="0" w:line="480" w:lineRule="auto"/>
        <w:ind w:left="440" w:hanging="440"/>
        <w:rPr>
          <w:color w:val="000000"/>
        </w:rPr>
      </w:pPr>
      <w:r w:rsidDel="00000000" w:rsidR="00000000" w:rsidRPr="00000000">
        <w:rPr>
          <w:color w:val="000000"/>
          <w:rtl w:val="0"/>
        </w:rPr>
        <w:t xml:space="preserve">89.</w:t>
        <w:tab/>
      </w:r>
      <w:hyperlink r:id="rId664">
        <w:r w:rsidDel="00000000" w:rsidR="00000000" w:rsidRPr="00000000">
          <w:rPr>
            <w:color w:val="000000"/>
            <w:rtl w:val="0"/>
          </w:rPr>
          <w:t xml:space="preserve">Coutinho, A. </w:t>
        </w:r>
      </w:hyperlink>
      <w:hyperlink r:id="rId665">
        <w:r w:rsidDel="00000000" w:rsidR="00000000" w:rsidRPr="00000000">
          <w:rPr>
            <w:i w:val="1"/>
            <w:color w:val="000000"/>
            <w:rtl w:val="0"/>
          </w:rPr>
          <w:t xml:space="preserve">et al.</w:t>
        </w:r>
      </w:hyperlink>
      <w:hyperlink r:id="rId666">
        <w:r w:rsidDel="00000000" w:rsidR="00000000" w:rsidRPr="00000000">
          <w:rPr>
            <w:color w:val="000000"/>
            <w:rtl w:val="0"/>
          </w:rPr>
          <w:t xml:space="preserve"> The Neolithic Pitted Ware culture foragers were culturally but not genetically influenced by the Battle Axe culture herders. </w:t>
        </w:r>
      </w:hyperlink>
      <w:hyperlink r:id="rId667">
        <w:r w:rsidDel="00000000" w:rsidR="00000000" w:rsidRPr="00000000">
          <w:rPr>
            <w:i w:val="1"/>
            <w:color w:val="000000"/>
            <w:rtl w:val="0"/>
          </w:rPr>
          <w:t xml:space="preserve">Am. J. Phys. Anthropol.</w:t>
        </w:r>
      </w:hyperlink>
      <w:hyperlink r:id="rId668">
        <w:r w:rsidDel="00000000" w:rsidR="00000000" w:rsidRPr="00000000">
          <w:rPr>
            <w:color w:val="000000"/>
            <w:rtl w:val="0"/>
          </w:rPr>
          <w:t xml:space="preserve"> </w:t>
        </w:r>
      </w:hyperlink>
      <w:hyperlink r:id="rId669">
        <w:r w:rsidDel="00000000" w:rsidR="00000000" w:rsidRPr="00000000">
          <w:rPr>
            <w:b w:val="1"/>
            <w:color w:val="000000"/>
            <w:rtl w:val="0"/>
          </w:rPr>
          <w:t xml:space="preserve">172</w:t>
        </w:r>
      </w:hyperlink>
      <w:hyperlink r:id="rId670">
        <w:r w:rsidDel="00000000" w:rsidR="00000000" w:rsidRPr="00000000">
          <w:rPr>
            <w:color w:val="000000"/>
            <w:rtl w:val="0"/>
          </w:rPr>
          <w:t xml:space="preserve">, 638–649 (2020).</w:t>
        </w:r>
      </w:hyperlink>
      <w:r w:rsidDel="00000000" w:rsidR="00000000" w:rsidRPr="00000000">
        <w:rPr>
          <w:rtl w:val="0"/>
        </w:rPr>
      </w:r>
    </w:p>
    <w:p w:rsidR="00000000" w:rsidDel="00000000" w:rsidP="00000000" w:rsidRDefault="00000000" w:rsidRPr="00000000" w14:paraId="0000092F">
      <w:pPr>
        <w:widowControl w:val="0"/>
        <w:pBdr>
          <w:top w:space="0" w:sz="0" w:val="nil"/>
          <w:left w:space="0" w:sz="0" w:val="nil"/>
          <w:bottom w:space="0" w:sz="0" w:val="nil"/>
          <w:right w:space="0" w:sz="0" w:val="nil"/>
          <w:between w:space="0" w:sz="0" w:val="nil"/>
        </w:pBdr>
        <w:spacing w:after="0" w:line="480" w:lineRule="auto"/>
        <w:ind w:left="440" w:hanging="440"/>
        <w:rPr>
          <w:color w:val="000000"/>
        </w:rPr>
      </w:pPr>
      <w:r w:rsidDel="00000000" w:rsidR="00000000" w:rsidRPr="00000000">
        <w:rPr>
          <w:color w:val="000000"/>
          <w:rtl w:val="0"/>
        </w:rPr>
        <w:t xml:space="preserve">90.</w:t>
        <w:tab/>
      </w:r>
      <w:hyperlink r:id="rId671">
        <w:r w:rsidDel="00000000" w:rsidR="00000000" w:rsidRPr="00000000">
          <w:rPr>
            <w:color w:val="000000"/>
            <w:rtl w:val="0"/>
          </w:rPr>
          <w:t xml:space="preserve">Damgaard, P. de B. </w:t>
        </w:r>
      </w:hyperlink>
      <w:hyperlink r:id="rId672">
        <w:r w:rsidDel="00000000" w:rsidR="00000000" w:rsidRPr="00000000">
          <w:rPr>
            <w:i w:val="1"/>
            <w:color w:val="000000"/>
            <w:rtl w:val="0"/>
          </w:rPr>
          <w:t xml:space="preserve">et al.</w:t>
        </w:r>
      </w:hyperlink>
      <w:hyperlink r:id="rId673">
        <w:r w:rsidDel="00000000" w:rsidR="00000000" w:rsidRPr="00000000">
          <w:rPr>
            <w:color w:val="000000"/>
            <w:rtl w:val="0"/>
          </w:rPr>
          <w:t xml:space="preserve"> 137 ancient human genomes from across the Eurasian steppes. </w:t>
        </w:r>
      </w:hyperlink>
      <w:hyperlink r:id="rId674">
        <w:r w:rsidDel="00000000" w:rsidR="00000000" w:rsidRPr="00000000">
          <w:rPr>
            <w:i w:val="1"/>
            <w:color w:val="000000"/>
            <w:rtl w:val="0"/>
          </w:rPr>
          <w:t xml:space="preserve">Nature</w:t>
        </w:r>
      </w:hyperlink>
      <w:hyperlink r:id="rId675">
        <w:r w:rsidDel="00000000" w:rsidR="00000000" w:rsidRPr="00000000">
          <w:rPr>
            <w:color w:val="000000"/>
            <w:rtl w:val="0"/>
          </w:rPr>
          <w:t xml:space="preserve"> </w:t>
        </w:r>
      </w:hyperlink>
      <w:hyperlink r:id="rId676">
        <w:r w:rsidDel="00000000" w:rsidR="00000000" w:rsidRPr="00000000">
          <w:rPr>
            <w:b w:val="1"/>
            <w:color w:val="000000"/>
            <w:rtl w:val="0"/>
          </w:rPr>
          <w:t xml:space="preserve">557</w:t>
        </w:r>
      </w:hyperlink>
      <w:hyperlink r:id="rId677">
        <w:r w:rsidDel="00000000" w:rsidR="00000000" w:rsidRPr="00000000">
          <w:rPr>
            <w:color w:val="000000"/>
            <w:rtl w:val="0"/>
          </w:rPr>
          <w:t xml:space="preserve">, 369–374 (2018).</w:t>
        </w:r>
      </w:hyperlink>
      <w:r w:rsidDel="00000000" w:rsidR="00000000" w:rsidRPr="00000000">
        <w:rPr>
          <w:rtl w:val="0"/>
        </w:rPr>
      </w:r>
    </w:p>
    <w:p w:rsidR="00000000" w:rsidDel="00000000" w:rsidP="00000000" w:rsidRDefault="00000000" w:rsidRPr="00000000" w14:paraId="00000930">
      <w:pPr>
        <w:widowControl w:val="0"/>
        <w:pBdr>
          <w:top w:space="0" w:sz="0" w:val="nil"/>
          <w:left w:space="0" w:sz="0" w:val="nil"/>
          <w:bottom w:space="0" w:sz="0" w:val="nil"/>
          <w:right w:space="0" w:sz="0" w:val="nil"/>
          <w:between w:space="0" w:sz="0" w:val="nil"/>
        </w:pBdr>
        <w:spacing w:after="0" w:line="480" w:lineRule="auto"/>
        <w:ind w:left="440" w:hanging="440"/>
        <w:rPr>
          <w:color w:val="000000"/>
        </w:rPr>
      </w:pPr>
      <w:r w:rsidDel="00000000" w:rsidR="00000000" w:rsidRPr="00000000">
        <w:rPr>
          <w:color w:val="000000"/>
          <w:rtl w:val="0"/>
        </w:rPr>
        <w:t xml:space="preserve">91.</w:t>
        <w:tab/>
      </w:r>
      <w:hyperlink r:id="rId678">
        <w:r w:rsidDel="00000000" w:rsidR="00000000" w:rsidRPr="00000000">
          <w:rPr>
            <w:color w:val="000000"/>
            <w:rtl w:val="0"/>
          </w:rPr>
          <w:t xml:space="preserve">de Barros Damgaard, P. </w:t>
        </w:r>
      </w:hyperlink>
      <w:hyperlink r:id="rId679">
        <w:r w:rsidDel="00000000" w:rsidR="00000000" w:rsidRPr="00000000">
          <w:rPr>
            <w:i w:val="1"/>
            <w:color w:val="000000"/>
            <w:rtl w:val="0"/>
          </w:rPr>
          <w:t xml:space="preserve">et al.</w:t>
        </w:r>
      </w:hyperlink>
      <w:hyperlink r:id="rId680">
        <w:r w:rsidDel="00000000" w:rsidR="00000000" w:rsidRPr="00000000">
          <w:rPr>
            <w:color w:val="000000"/>
            <w:rtl w:val="0"/>
          </w:rPr>
          <w:t xml:space="preserve"> The first horse herders and the impact of early Bronze Age steppe expansions into Asia. </w:t>
        </w:r>
      </w:hyperlink>
      <w:hyperlink r:id="rId681">
        <w:r w:rsidDel="00000000" w:rsidR="00000000" w:rsidRPr="00000000">
          <w:rPr>
            <w:i w:val="1"/>
            <w:color w:val="000000"/>
            <w:rtl w:val="0"/>
          </w:rPr>
          <w:t xml:space="preserve">Science</w:t>
        </w:r>
      </w:hyperlink>
      <w:hyperlink r:id="rId682">
        <w:r w:rsidDel="00000000" w:rsidR="00000000" w:rsidRPr="00000000">
          <w:rPr>
            <w:color w:val="000000"/>
            <w:rtl w:val="0"/>
          </w:rPr>
          <w:t xml:space="preserve"> </w:t>
        </w:r>
      </w:hyperlink>
      <w:hyperlink r:id="rId683">
        <w:r w:rsidDel="00000000" w:rsidR="00000000" w:rsidRPr="00000000">
          <w:rPr>
            <w:b w:val="1"/>
            <w:color w:val="000000"/>
            <w:rtl w:val="0"/>
          </w:rPr>
          <w:t xml:space="preserve">360</w:t>
        </w:r>
      </w:hyperlink>
      <w:hyperlink r:id="rId684">
        <w:r w:rsidDel="00000000" w:rsidR="00000000" w:rsidRPr="00000000">
          <w:rPr>
            <w:color w:val="000000"/>
            <w:rtl w:val="0"/>
          </w:rPr>
          <w:t xml:space="preserve">, (2018).</w:t>
        </w:r>
      </w:hyperlink>
      <w:r w:rsidDel="00000000" w:rsidR="00000000" w:rsidRPr="00000000">
        <w:rPr>
          <w:rtl w:val="0"/>
        </w:rPr>
      </w:r>
    </w:p>
    <w:p w:rsidR="00000000" w:rsidDel="00000000" w:rsidP="00000000" w:rsidRDefault="00000000" w:rsidRPr="00000000" w14:paraId="00000931">
      <w:pPr>
        <w:widowControl w:val="0"/>
        <w:pBdr>
          <w:top w:space="0" w:sz="0" w:val="nil"/>
          <w:left w:space="0" w:sz="0" w:val="nil"/>
          <w:bottom w:space="0" w:sz="0" w:val="nil"/>
          <w:right w:space="0" w:sz="0" w:val="nil"/>
          <w:between w:space="0" w:sz="0" w:val="nil"/>
        </w:pBdr>
        <w:spacing w:after="0" w:line="480" w:lineRule="auto"/>
        <w:ind w:left="440" w:hanging="440"/>
        <w:rPr>
          <w:color w:val="000000"/>
        </w:rPr>
      </w:pPr>
      <w:r w:rsidDel="00000000" w:rsidR="00000000" w:rsidRPr="00000000">
        <w:rPr>
          <w:color w:val="000000"/>
          <w:rtl w:val="0"/>
        </w:rPr>
        <w:t xml:space="preserve">92.</w:t>
        <w:tab/>
      </w:r>
      <w:hyperlink r:id="rId685">
        <w:r w:rsidDel="00000000" w:rsidR="00000000" w:rsidRPr="00000000">
          <w:rPr>
            <w:color w:val="000000"/>
            <w:rtl w:val="0"/>
          </w:rPr>
          <w:t xml:space="preserve">Ebenesersdóttir, S. S. </w:t>
        </w:r>
      </w:hyperlink>
      <w:hyperlink r:id="rId686">
        <w:r w:rsidDel="00000000" w:rsidR="00000000" w:rsidRPr="00000000">
          <w:rPr>
            <w:i w:val="1"/>
            <w:color w:val="000000"/>
            <w:rtl w:val="0"/>
          </w:rPr>
          <w:t xml:space="preserve">et al.</w:t>
        </w:r>
      </w:hyperlink>
      <w:hyperlink r:id="rId687">
        <w:r w:rsidDel="00000000" w:rsidR="00000000" w:rsidRPr="00000000">
          <w:rPr>
            <w:color w:val="000000"/>
            <w:rtl w:val="0"/>
          </w:rPr>
          <w:t xml:space="preserve"> Ancient genomes from Iceland reveal the making of a human population. </w:t>
        </w:r>
      </w:hyperlink>
      <w:hyperlink r:id="rId688">
        <w:r w:rsidDel="00000000" w:rsidR="00000000" w:rsidRPr="00000000">
          <w:rPr>
            <w:i w:val="1"/>
            <w:color w:val="000000"/>
            <w:rtl w:val="0"/>
          </w:rPr>
          <w:t xml:space="preserve">Science</w:t>
        </w:r>
      </w:hyperlink>
      <w:hyperlink r:id="rId689">
        <w:r w:rsidDel="00000000" w:rsidR="00000000" w:rsidRPr="00000000">
          <w:rPr>
            <w:color w:val="000000"/>
            <w:rtl w:val="0"/>
          </w:rPr>
          <w:t xml:space="preserve"> </w:t>
        </w:r>
      </w:hyperlink>
      <w:hyperlink r:id="rId690">
        <w:r w:rsidDel="00000000" w:rsidR="00000000" w:rsidRPr="00000000">
          <w:rPr>
            <w:b w:val="1"/>
            <w:color w:val="000000"/>
            <w:rtl w:val="0"/>
          </w:rPr>
          <w:t xml:space="preserve">360</w:t>
        </w:r>
      </w:hyperlink>
      <w:hyperlink r:id="rId691">
        <w:r w:rsidDel="00000000" w:rsidR="00000000" w:rsidRPr="00000000">
          <w:rPr>
            <w:color w:val="000000"/>
            <w:rtl w:val="0"/>
          </w:rPr>
          <w:t xml:space="preserve">, 1028–1032 (2018).</w:t>
        </w:r>
      </w:hyperlink>
      <w:r w:rsidDel="00000000" w:rsidR="00000000" w:rsidRPr="00000000">
        <w:rPr>
          <w:rtl w:val="0"/>
        </w:rPr>
      </w:r>
    </w:p>
    <w:p w:rsidR="00000000" w:rsidDel="00000000" w:rsidP="00000000" w:rsidRDefault="00000000" w:rsidRPr="00000000" w14:paraId="00000932">
      <w:pPr>
        <w:widowControl w:val="0"/>
        <w:pBdr>
          <w:top w:space="0" w:sz="0" w:val="nil"/>
          <w:left w:space="0" w:sz="0" w:val="nil"/>
          <w:bottom w:space="0" w:sz="0" w:val="nil"/>
          <w:right w:space="0" w:sz="0" w:val="nil"/>
          <w:between w:space="0" w:sz="0" w:val="nil"/>
        </w:pBdr>
        <w:spacing w:after="0" w:line="480" w:lineRule="auto"/>
        <w:ind w:left="440" w:hanging="440"/>
        <w:rPr>
          <w:color w:val="000000"/>
        </w:rPr>
      </w:pPr>
      <w:r w:rsidDel="00000000" w:rsidR="00000000" w:rsidRPr="00000000">
        <w:rPr>
          <w:color w:val="000000"/>
          <w:rtl w:val="0"/>
        </w:rPr>
        <w:t xml:space="preserve">93.</w:t>
        <w:tab/>
      </w:r>
      <w:hyperlink r:id="rId692">
        <w:r w:rsidDel="00000000" w:rsidR="00000000" w:rsidRPr="00000000">
          <w:rPr>
            <w:color w:val="000000"/>
            <w:rtl w:val="0"/>
          </w:rPr>
          <w:t xml:space="preserve">Fernandes, D. M. </w:t>
        </w:r>
      </w:hyperlink>
      <w:hyperlink r:id="rId693">
        <w:r w:rsidDel="00000000" w:rsidR="00000000" w:rsidRPr="00000000">
          <w:rPr>
            <w:i w:val="1"/>
            <w:color w:val="000000"/>
            <w:rtl w:val="0"/>
          </w:rPr>
          <w:t xml:space="preserve">et al.</w:t>
        </w:r>
      </w:hyperlink>
      <w:hyperlink r:id="rId694">
        <w:r w:rsidDel="00000000" w:rsidR="00000000" w:rsidRPr="00000000">
          <w:rPr>
            <w:color w:val="000000"/>
            <w:rtl w:val="0"/>
          </w:rPr>
          <w:t xml:space="preserve"> The spread of steppe and Iranian-related ancestry in the islands of the western Mediterranean. </w:t>
        </w:r>
      </w:hyperlink>
      <w:hyperlink r:id="rId695">
        <w:r w:rsidDel="00000000" w:rsidR="00000000" w:rsidRPr="00000000">
          <w:rPr>
            <w:i w:val="1"/>
            <w:color w:val="000000"/>
            <w:rtl w:val="0"/>
          </w:rPr>
          <w:t xml:space="preserve">Nature Ecology &amp; Evolution</w:t>
        </w:r>
      </w:hyperlink>
      <w:hyperlink r:id="rId696">
        <w:r w:rsidDel="00000000" w:rsidR="00000000" w:rsidRPr="00000000">
          <w:rPr>
            <w:color w:val="000000"/>
            <w:rtl w:val="0"/>
          </w:rPr>
          <w:t xml:space="preserve"> </w:t>
        </w:r>
      </w:hyperlink>
      <w:hyperlink r:id="rId697">
        <w:r w:rsidDel="00000000" w:rsidR="00000000" w:rsidRPr="00000000">
          <w:rPr>
            <w:b w:val="1"/>
            <w:color w:val="000000"/>
            <w:rtl w:val="0"/>
          </w:rPr>
          <w:t xml:space="preserve">4</w:t>
        </w:r>
      </w:hyperlink>
      <w:hyperlink r:id="rId698">
        <w:r w:rsidDel="00000000" w:rsidR="00000000" w:rsidRPr="00000000">
          <w:rPr>
            <w:color w:val="000000"/>
            <w:rtl w:val="0"/>
          </w:rPr>
          <w:t xml:space="preserve">, 334–345 (2020).</w:t>
        </w:r>
      </w:hyperlink>
      <w:r w:rsidDel="00000000" w:rsidR="00000000" w:rsidRPr="00000000">
        <w:rPr>
          <w:rtl w:val="0"/>
        </w:rPr>
      </w:r>
    </w:p>
    <w:p w:rsidR="00000000" w:rsidDel="00000000" w:rsidP="00000000" w:rsidRDefault="00000000" w:rsidRPr="00000000" w14:paraId="00000933">
      <w:pPr>
        <w:widowControl w:val="0"/>
        <w:pBdr>
          <w:top w:space="0" w:sz="0" w:val="nil"/>
          <w:left w:space="0" w:sz="0" w:val="nil"/>
          <w:bottom w:space="0" w:sz="0" w:val="nil"/>
          <w:right w:space="0" w:sz="0" w:val="nil"/>
          <w:between w:space="0" w:sz="0" w:val="nil"/>
        </w:pBdr>
        <w:spacing w:after="0" w:line="480" w:lineRule="auto"/>
        <w:ind w:left="440" w:hanging="440"/>
        <w:rPr>
          <w:color w:val="000000"/>
        </w:rPr>
      </w:pPr>
      <w:r w:rsidDel="00000000" w:rsidR="00000000" w:rsidRPr="00000000">
        <w:rPr>
          <w:color w:val="000000"/>
          <w:rtl w:val="0"/>
        </w:rPr>
        <w:t xml:space="preserve">94.</w:t>
        <w:tab/>
      </w:r>
      <w:hyperlink r:id="rId699">
        <w:r w:rsidDel="00000000" w:rsidR="00000000" w:rsidRPr="00000000">
          <w:rPr>
            <w:color w:val="000000"/>
            <w:rtl w:val="0"/>
          </w:rPr>
          <w:t xml:space="preserve">Fernandes, D. M. </w:t>
        </w:r>
      </w:hyperlink>
      <w:hyperlink r:id="rId700">
        <w:r w:rsidDel="00000000" w:rsidR="00000000" w:rsidRPr="00000000">
          <w:rPr>
            <w:i w:val="1"/>
            <w:color w:val="000000"/>
            <w:rtl w:val="0"/>
          </w:rPr>
          <w:t xml:space="preserve">et al.</w:t>
        </w:r>
      </w:hyperlink>
      <w:hyperlink r:id="rId701">
        <w:r w:rsidDel="00000000" w:rsidR="00000000" w:rsidRPr="00000000">
          <w:rPr>
            <w:color w:val="000000"/>
            <w:rtl w:val="0"/>
          </w:rPr>
          <w:t xml:space="preserve"> A genomic Neolithic time transect of hunter-farmer admixture in central Poland. </w:t>
        </w:r>
      </w:hyperlink>
      <w:hyperlink r:id="rId702">
        <w:r w:rsidDel="00000000" w:rsidR="00000000" w:rsidRPr="00000000">
          <w:rPr>
            <w:i w:val="1"/>
            <w:color w:val="000000"/>
            <w:rtl w:val="0"/>
          </w:rPr>
          <w:t xml:space="preserve">Sci. Rep.</w:t>
        </w:r>
      </w:hyperlink>
      <w:hyperlink r:id="rId703">
        <w:r w:rsidDel="00000000" w:rsidR="00000000" w:rsidRPr="00000000">
          <w:rPr>
            <w:color w:val="000000"/>
            <w:rtl w:val="0"/>
          </w:rPr>
          <w:t xml:space="preserve"> </w:t>
        </w:r>
      </w:hyperlink>
      <w:hyperlink r:id="rId704">
        <w:r w:rsidDel="00000000" w:rsidR="00000000" w:rsidRPr="00000000">
          <w:rPr>
            <w:b w:val="1"/>
            <w:color w:val="000000"/>
            <w:rtl w:val="0"/>
          </w:rPr>
          <w:t xml:space="preserve">8</w:t>
        </w:r>
      </w:hyperlink>
      <w:hyperlink r:id="rId705">
        <w:r w:rsidDel="00000000" w:rsidR="00000000" w:rsidRPr="00000000">
          <w:rPr>
            <w:color w:val="000000"/>
            <w:rtl w:val="0"/>
          </w:rPr>
          <w:t xml:space="preserve">, 1–11 (2018).</w:t>
        </w:r>
      </w:hyperlink>
      <w:r w:rsidDel="00000000" w:rsidR="00000000" w:rsidRPr="00000000">
        <w:rPr>
          <w:rtl w:val="0"/>
        </w:rPr>
      </w:r>
    </w:p>
    <w:p w:rsidR="00000000" w:rsidDel="00000000" w:rsidP="00000000" w:rsidRDefault="00000000" w:rsidRPr="00000000" w14:paraId="00000934">
      <w:pPr>
        <w:widowControl w:val="0"/>
        <w:pBdr>
          <w:top w:space="0" w:sz="0" w:val="nil"/>
          <w:left w:space="0" w:sz="0" w:val="nil"/>
          <w:bottom w:space="0" w:sz="0" w:val="nil"/>
          <w:right w:space="0" w:sz="0" w:val="nil"/>
          <w:between w:space="0" w:sz="0" w:val="nil"/>
        </w:pBdr>
        <w:spacing w:after="0" w:line="480" w:lineRule="auto"/>
        <w:ind w:left="440" w:hanging="440"/>
        <w:rPr>
          <w:color w:val="000000"/>
        </w:rPr>
      </w:pPr>
      <w:r w:rsidDel="00000000" w:rsidR="00000000" w:rsidRPr="00000000">
        <w:rPr>
          <w:color w:val="000000"/>
          <w:rtl w:val="0"/>
        </w:rPr>
        <w:t xml:space="preserve">95.</w:t>
        <w:tab/>
      </w:r>
      <w:hyperlink r:id="rId706">
        <w:r w:rsidDel="00000000" w:rsidR="00000000" w:rsidRPr="00000000">
          <w:rPr>
            <w:color w:val="000000"/>
            <w:rtl w:val="0"/>
          </w:rPr>
          <w:t xml:space="preserve">Fu, Q. </w:t>
        </w:r>
      </w:hyperlink>
      <w:hyperlink r:id="rId707">
        <w:r w:rsidDel="00000000" w:rsidR="00000000" w:rsidRPr="00000000">
          <w:rPr>
            <w:i w:val="1"/>
            <w:color w:val="000000"/>
            <w:rtl w:val="0"/>
          </w:rPr>
          <w:t xml:space="preserve">et al.</w:t>
        </w:r>
      </w:hyperlink>
      <w:hyperlink r:id="rId708">
        <w:r w:rsidDel="00000000" w:rsidR="00000000" w:rsidRPr="00000000">
          <w:rPr>
            <w:color w:val="000000"/>
            <w:rtl w:val="0"/>
          </w:rPr>
          <w:t xml:space="preserve"> The genetic history of Ice Age Europe. </w:t>
        </w:r>
      </w:hyperlink>
      <w:hyperlink r:id="rId709">
        <w:r w:rsidDel="00000000" w:rsidR="00000000" w:rsidRPr="00000000">
          <w:rPr>
            <w:i w:val="1"/>
            <w:color w:val="000000"/>
            <w:rtl w:val="0"/>
          </w:rPr>
          <w:t xml:space="preserve">Nature</w:t>
        </w:r>
      </w:hyperlink>
      <w:hyperlink r:id="rId710">
        <w:r w:rsidDel="00000000" w:rsidR="00000000" w:rsidRPr="00000000">
          <w:rPr>
            <w:color w:val="000000"/>
            <w:rtl w:val="0"/>
          </w:rPr>
          <w:t xml:space="preserve"> </w:t>
        </w:r>
      </w:hyperlink>
      <w:hyperlink r:id="rId711">
        <w:r w:rsidDel="00000000" w:rsidR="00000000" w:rsidRPr="00000000">
          <w:rPr>
            <w:b w:val="1"/>
            <w:color w:val="000000"/>
            <w:rtl w:val="0"/>
          </w:rPr>
          <w:t xml:space="preserve">534</w:t>
        </w:r>
      </w:hyperlink>
      <w:hyperlink r:id="rId712">
        <w:r w:rsidDel="00000000" w:rsidR="00000000" w:rsidRPr="00000000">
          <w:rPr>
            <w:color w:val="000000"/>
            <w:rtl w:val="0"/>
          </w:rPr>
          <w:t xml:space="preserve">, 200–205 (2016).</w:t>
        </w:r>
      </w:hyperlink>
      <w:r w:rsidDel="00000000" w:rsidR="00000000" w:rsidRPr="00000000">
        <w:rPr>
          <w:rtl w:val="0"/>
        </w:rPr>
      </w:r>
    </w:p>
    <w:p w:rsidR="00000000" w:rsidDel="00000000" w:rsidP="00000000" w:rsidRDefault="00000000" w:rsidRPr="00000000" w14:paraId="00000935">
      <w:pPr>
        <w:widowControl w:val="0"/>
        <w:pBdr>
          <w:top w:space="0" w:sz="0" w:val="nil"/>
          <w:left w:space="0" w:sz="0" w:val="nil"/>
          <w:bottom w:space="0" w:sz="0" w:val="nil"/>
          <w:right w:space="0" w:sz="0" w:val="nil"/>
          <w:between w:space="0" w:sz="0" w:val="nil"/>
        </w:pBdr>
        <w:spacing w:after="0" w:line="480" w:lineRule="auto"/>
        <w:ind w:left="440" w:hanging="440"/>
        <w:rPr>
          <w:color w:val="000000"/>
        </w:rPr>
      </w:pPr>
      <w:r w:rsidDel="00000000" w:rsidR="00000000" w:rsidRPr="00000000">
        <w:rPr>
          <w:color w:val="000000"/>
          <w:rtl w:val="0"/>
        </w:rPr>
        <w:t xml:space="preserve">96.</w:t>
        <w:tab/>
      </w:r>
      <w:hyperlink r:id="rId713">
        <w:r w:rsidDel="00000000" w:rsidR="00000000" w:rsidRPr="00000000">
          <w:rPr>
            <w:color w:val="000000"/>
            <w:rtl w:val="0"/>
          </w:rPr>
          <w:t xml:space="preserve">Furtwängler, A. </w:t>
        </w:r>
      </w:hyperlink>
      <w:hyperlink r:id="rId714">
        <w:r w:rsidDel="00000000" w:rsidR="00000000" w:rsidRPr="00000000">
          <w:rPr>
            <w:i w:val="1"/>
            <w:color w:val="000000"/>
            <w:rtl w:val="0"/>
          </w:rPr>
          <w:t xml:space="preserve">et al.</w:t>
        </w:r>
      </w:hyperlink>
      <w:hyperlink r:id="rId715">
        <w:r w:rsidDel="00000000" w:rsidR="00000000" w:rsidRPr="00000000">
          <w:rPr>
            <w:color w:val="000000"/>
            <w:rtl w:val="0"/>
          </w:rPr>
          <w:t xml:space="preserve"> Ancient genomes reveal social and genetic structure of Late Neolithic Switzerland. </w:t>
        </w:r>
      </w:hyperlink>
      <w:hyperlink r:id="rId716">
        <w:r w:rsidDel="00000000" w:rsidR="00000000" w:rsidRPr="00000000">
          <w:rPr>
            <w:i w:val="1"/>
            <w:color w:val="000000"/>
            <w:rtl w:val="0"/>
          </w:rPr>
          <w:t xml:space="preserve">Nat. Commun.</w:t>
        </w:r>
      </w:hyperlink>
      <w:hyperlink r:id="rId717">
        <w:r w:rsidDel="00000000" w:rsidR="00000000" w:rsidRPr="00000000">
          <w:rPr>
            <w:color w:val="000000"/>
            <w:rtl w:val="0"/>
          </w:rPr>
          <w:t xml:space="preserve"> </w:t>
        </w:r>
      </w:hyperlink>
      <w:hyperlink r:id="rId718">
        <w:r w:rsidDel="00000000" w:rsidR="00000000" w:rsidRPr="00000000">
          <w:rPr>
            <w:b w:val="1"/>
            <w:color w:val="000000"/>
            <w:rtl w:val="0"/>
          </w:rPr>
          <w:t xml:space="preserve">11</w:t>
        </w:r>
      </w:hyperlink>
      <w:hyperlink r:id="rId719">
        <w:r w:rsidDel="00000000" w:rsidR="00000000" w:rsidRPr="00000000">
          <w:rPr>
            <w:color w:val="000000"/>
            <w:rtl w:val="0"/>
          </w:rPr>
          <w:t xml:space="preserve">, 1–11 (2020).</w:t>
        </w:r>
      </w:hyperlink>
      <w:r w:rsidDel="00000000" w:rsidR="00000000" w:rsidRPr="00000000">
        <w:rPr>
          <w:rtl w:val="0"/>
        </w:rPr>
      </w:r>
    </w:p>
    <w:p w:rsidR="00000000" w:rsidDel="00000000" w:rsidP="00000000" w:rsidRDefault="00000000" w:rsidRPr="00000000" w14:paraId="00000936">
      <w:pPr>
        <w:widowControl w:val="0"/>
        <w:pBdr>
          <w:top w:space="0" w:sz="0" w:val="nil"/>
          <w:left w:space="0" w:sz="0" w:val="nil"/>
          <w:bottom w:space="0" w:sz="0" w:val="nil"/>
          <w:right w:space="0" w:sz="0" w:val="nil"/>
          <w:between w:space="0" w:sz="0" w:val="nil"/>
        </w:pBdr>
        <w:spacing w:after="0" w:line="480" w:lineRule="auto"/>
        <w:ind w:left="440" w:hanging="440"/>
        <w:rPr>
          <w:color w:val="000000"/>
        </w:rPr>
      </w:pPr>
      <w:r w:rsidDel="00000000" w:rsidR="00000000" w:rsidRPr="00000000">
        <w:rPr>
          <w:color w:val="000000"/>
          <w:rtl w:val="0"/>
        </w:rPr>
        <w:t xml:space="preserve">97.</w:t>
        <w:tab/>
      </w:r>
      <w:hyperlink r:id="rId720">
        <w:r w:rsidDel="00000000" w:rsidR="00000000" w:rsidRPr="00000000">
          <w:rPr>
            <w:color w:val="000000"/>
            <w:rtl w:val="0"/>
          </w:rPr>
          <w:t xml:space="preserve">Gamba, C. </w:t>
        </w:r>
      </w:hyperlink>
      <w:hyperlink r:id="rId721">
        <w:r w:rsidDel="00000000" w:rsidR="00000000" w:rsidRPr="00000000">
          <w:rPr>
            <w:i w:val="1"/>
            <w:color w:val="000000"/>
            <w:rtl w:val="0"/>
          </w:rPr>
          <w:t xml:space="preserve">et al.</w:t>
        </w:r>
      </w:hyperlink>
      <w:hyperlink r:id="rId722">
        <w:r w:rsidDel="00000000" w:rsidR="00000000" w:rsidRPr="00000000">
          <w:rPr>
            <w:color w:val="000000"/>
            <w:rtl w:val="0"/>
          </w:rPr>
          <w:t xml:space="preserve"> Genome flux and stasis in a five millennium transect of European prehistory. </w:t>
        </w:r>
      </w:hyperlink>
      <w:hyperlink r:id="rId723">
        <w:r w:rsidDel="00000000" w:rsidR="00000000" w:rsidRPr="00000000">
          <w:rPr>
            <w:i w:val="1"/>
            <w:color w:val="000000"/>
            <w:rtl w:val="0"/>
          </w:rPr>
          <w:t xml:space="preserve">Nat. Commun.</w:t>
        </w:r>
      </w:hyperlink>
      <w:hyperlink r:id="rId724">
        <w:r w:rsidDel="00000000" w:rsidR="00000000" w:rsidRPr="00000000">
          <w:rPr>
            <w:color w:val="000000"/>
            <w:rtl w:val="0"/>
          </w:rPr>
          <w:t xml:space="preserve"> </w:t>
        </w:r>
      </w:hyperlink>
      <w:hyperlink r:id="rId725">
        <w:r w:rsidDel="00000000" w:rsidR="00000000" w:rsidRPr="00000000">
          <w:rPr>
            <w:b w:val="1"/>
            <w:color w:val="000000"/>
            <w:rtl w:val="0"/>
          </w:rPr>
          <w:t xml:space="preserve">5</w:t>
        </w:r>
      </w:hyperlink>
      <w:hyperlink r:id="rId726">
        <w:r w:rsidDel="00000000" w:rsidR="00000000" w:rsidRPr="00000000">
          <w:rPr>
            <w:color w:val="000000"/>
            <w:rtl w:val="0"/>
          </w:rPr>
          <w:t xml:space="preserve">, 1–9 (2014).</w:t>
        </w:r>
      </w:hyperlink>
      <w:r w:rsidDel="00000000" w:rsidR="00000000" w:rsidRPr="00000000">
        <w:rPr>
          <w:rtl w:val="0"/>
        </w:rPr>
      </w:r>
    </w:p>
    <w:p w:rsidR="00000000" w:rsidDel="00000000" w:rsidP="00000000" w:rsidRDefault="00000000" w:rsidRPr="00000000" w14:paraId="00000937">
      <w:pPr>
        <w:widowControl w:val="0"/>
        <w:pBdr>
          <w:top w:space="0" w:sz="0" w:val="nil"/>
          <w:left w:space="0" w:sz="0" w:val="nil"/>
          <w:bottom w:space="0" w:sz="0" w:val="nil"/>
          <w:right w:space="0" w:sz="0" w:val="nil"/>
          <w:between w:space="0" w:sz="0" w:val="nil"/>
        </w:pBdr>
        <w:spacing w:after="0" w:line="480" w:lineRule="auto"/>
        <w:ind w:left="440" w:hanging="440"/>
        <w:rPr>
          <w:color w:val="000000"/>
        </w:rPr>
      </w:pPr>
      <w:r w:rsidDel="00000000" w:rsidR="00000000" w:rsidRPr="00000000">
        <w:rPr>
          <w:color w:val="000000"/>
          <w:rtl w:val="0"/>
        </w:rPr>
        <w:t xml:space="preserve">98.</w:t>
        <w:tab/>
      </w:r>
      <w:hyperlink r:id="rId727">
        <w:r w:rsidDel="00000000" w:rsidR="00000000" w:rsidRPr="00000000">
          <w:rPr>
            <w:color w:val="000000"/>
            <w:rtl w:val="0"/>
          </w:rPr>
          <w:t xml:space="preserve">González-Fortes, G. </w:t>
        </w:r>
      </w:hyperlink>
      <w:hyperlink r:id="rId728">
        <w:r w:rsidDel="00000000" w:rsidR="00000000" w:rsidRPr="00000000">
          <w:rPr>
            <w:i w:val="1"/>
            <w:color w:val="000000"/>
            <w:rtl w:val="0"/>
          </w:rPr>
          <w:t xml:space="preserve">et al.</w:t>
        </w:r>
      </w:hyperlink>
      <w:hyperlink r:id="rId729">
        <w:r w:rsidDel="00000000" w:rsidR="00000000" w:rsidRPr="00000000">
          <w:rPr>
            <w:color w:val="000000"/>
            <w:rtl w:val="0"/>
          </w:rPr>
          <w:t xml:space="preserve"> Paleogenomic Evidence for Multi-generational Mixing between Neolithic Farmers and Mesolithic Hunter-Gatherers in the Lower Danube Basin. </w:t>
        </w:r>
      </w:hyperlink>
      <w:hyperlink r:id="rId730">
        <w:r w:rsidDel="00000000" w:rsidR="00000000" w:rsidRPr="00000000">
          <w:rPr>
            <w:i w:val="1"/>
            <w:color w:val="000000"/>
            <w:rtl w:val="0"/>
          </w:rPr>
          <w:t xml:space="preserve">Curr. Biol.</w:t>
        </w:r>
      </w:hyperlink>
      <w:hyperlink r:id="rId731">
        <w:r w:rsidDel="00000000" w:rsidR="00000000" w:rsidRPr="00000000">
          <w:rPr>
            <w:color w:val="000000"/>
            <w:rtl w:val="0"/>
          </w:rPr>
          <w:t xml:space="preserve"> </w:t>
        </w:r>
      </w:hyperlink>
      <w:hyperlink r:id="rId732">
        <w:r w:rsidDel="00000000" w:rsidR="00000000" w:rsidRPr="00000000">
          <w:rPr>
            <w:b w:val="1"/>
            <w:color w:val="000000"/>
            <w:rtl w:val="0"/>
          </w:rPr>
          <w:t xml:space="preserve">27</w:t>
        </w:r>
      </w:hyperlink>
      <w:hyperlink r:id="rId733">
        <w:r w:rsidDel="00000000" w:rsidR="00000000" w:rsidRPr="00000000">
          <w:rPr>
            <w:color w:val="000000"/>
            <w:rtl w:val="0"/>
          </w:rPr>
          <w:t xml:space="preserve">, 1801–1810.e10 (2017).</w:t>
        </w:r>
      </w:hyperlink>
      <w:r w:rsidDel="00000000" w:rsidR="00000000" w:rsidRPr="00000000">
        <w:rPr>
          <w:rtl w:val="0"/>
        </w:rPr>
      </w:r>
    </w:p>
    <w:p w:rsidR="00000000" w:rsidDel="00000000" w:rsidP="00000000" w:rsidRDefault="00000000" w:rsidRPr="00000000" w14:paraId="00000938">
      <w:pPr>
        <w:widowControl w:val="0"/>
        <w:pBdr>
          <w:top w:space="0" w:sz="0" w:val="nil"/>
          <w:left w:space="0" w:sz="0" w:val="nil"/>
          <w:bottom w:space="0" w:sz="0" w:val="nil"/>
          <w:right w:space="0" w:sz="0" w:val="nil"/>
          <w:between w:space="0" w:sz="0" w:val="nil"/>
        </w:pBdr>
        <w:spacing w:after="0" w:line="480" w:lineRule="auto"/>
        <w:ind w:left="440" w:hanging="440"/>
        <w:rPr>
          <w:color w:val="000000"/>
        </w:rPr>
      </w:pPr>
      <w:r w:rsidDel="00000000" w:rsidR="00000000" w:rsidRPr="00000000">
        <w:rPr>
          <w:color w:val="000000"/>
          <w:rtl w:val="0"/>
        </w:rPr>
        <w:t xml:space="preserve">99.</w:t>
        <w:tab/>
      </w:r>
      <w:hyperlink r:id="rId734">
        <w:r w:rsidDel="00000000" w:rsidR="00000000" w:rsidRPr="00000000">
          <w:rPr>
            <w:color w:val="000000"/>
            <w:rtl w:val="0"/>
          </w:rPr>
          <w:t xml:space="preserve">González Fortes, G. &amp; Paijmans, J. L. A. Whole-Genome Capture of Ancient DNA Using Homemade Baits. </w:t>
        </w:r>
      </w:hyperlink>
      <w:hyperlink r:id="rId735">
        <w:r w:rsidDel="00000000" w:rsidR="00000000" w:rsidRPr="00000000">
          <w:rPr>
            <w:i w:val="1"/>
            <w:color w:val="000000"/>
            <w:rtl w:val="0"/>
          </w:rPr>
          <w:t xml:space="preserve">Methods Mol. Biol.</w:t>
        </w:r>
      </w:hyperlink>
      <w:hyperlink r:id="rId736">
        <w:r w:rsidDel="00000000" w:rsidR="00000000" w:rsidRPr="00000000">
          <w:rPr>
            <w:color w:val="000000"/>
            <w:rtl w:val="0"/>
          </w:rPr>
          <w:t xml:space="preserve"> </w:t>
        </w:r>
      </w:hyperlink>
      <w:hyperlink r:id="rId737">
        <w:r w:rsidDel="00000000" w:rsidR="00000000" w:rsidRPr="00000000">
          <w:rPr>
            <w:b w:val="1"/>
            <w:color w:val="000000"/>
            <w:rtl w:val="0"/>
          </w:rPr>
          <w:t xml:space="preserve">1963</w:t>
        </w:r>
      </w:hyperlink>
      <w:hyperlink r:id="rId738">
        <w:r w:rsidDel="00000000" w:rsidR="00000000" w:rsidRPr="00000000">
          <w:rPr>
            <w:color w:val="000000"/>
            <w:rtl w:val="0"/>
          </w:rPr>
          <w:t xml:space="preserve">, 93–105 (2019).</w:t>
        </w:r>
      </w:hyperlink>
      <w:r w:rsidDel="00000000" w:rsidR="00000000" w:rsidRPr="00000000">
        <w:rPr>
          <w:rtl w:val="0"/>
        </w:rPr>
      </w:r>
    </w:p>
    <w:p w:rsidR="00000000" w:rsidDel="00000000" w:rsidP="00000000" w:rsidRDefault="00000000" w:rsidRPr="00000000" w14:paraId="00000939">
      <w:pPr>
        <w:widowControl w:val="0"/>
        <w:pBdr>
          <w:top w:space="0" w:sz="0" w:val="nil"/>
          <w:left w:space="0" w:sz="0" w:val="nil"/>
          <w:bottom w:space="0" w:sz="0" w:val="nil"/>
          <w:right w:space="0" w:sz="0" w:val="nil"/>
          <w:between w:space="0" w:sz="0" w:val="nil"/>
        </w:pBdr>
        <w:spacing w:after="0" w:line="480" w:lineRule="auto"/>
        <w:ind w:left="440" w:hanging="440"/>
        <w:rPr>
          <w:color w:val="000000"/>
        </w:rPr>
      </w:pPr>
      <w:r w:rsidDel="00000000" w:rsidR="00000000" w:rsidRPr="00000000">
        <w:rPr>
          <w:color w:val="000000"/>
          <w:rtl w:val="0"/>
        </w:rPr>
        <w:t xml:space="preserve">100.</w:t>
        <w:tab/>
      </w:r>
      <w:hyperlink r:id="rId739">
        <w:r w:rsidDel="00000000" w:rsidR="00000000" w:rsidRPr="00000000">
          <w:rPr>
            <w:color w:val="000000"/>
            <w:rtl w:val="0"/>
          </w:rPr>
          <w:t xml:space="preserve">Günther, T. </w:t>
        </w:r>
      </w:hyperlink>
      <w:hyperlink r:id="rId740">
        <w:r w:rsidDel="00000000" w:rsidR="00000000" w:rsidRPr="00000000">
          <w:rPr>
            <w:i w:val="1"/>
            <w:color w:val="000000"/>
            <w:rtl w:val="0"/>
          </w:rPr>
          <w:t xml:space="preserve">et al.</w:t>
        </w:r>
      </w:hyperlink>
      <w:hyperlink r:id="rId741">
        <w:r w:rsidDel="00000000" w:rsidR="00000000" w:rsidRPr="00000000">
          <w:rPr>
            <w:color w:val="000000"/>
            <w:rtl w:val="0"/>
          </w:rPr>
          <w:t xml:space="preserve"> Population genomics of Mesolithic Scandinavia: Investigating early postglacial migration routes and high-latitude adaptation. </w:t>
        </w:r>
      </w:hyperlink>
      <w:hyperlink r:id="rId742">
        <w:r w:rsidDel="00000000" w:rsidR="00000000" w:rsidRPr="00000000">
          <w:rPr>
            <w:i w:val="1"/>
            <w:color w:val="000000"/>
            <w:rtl w:val="0"/>
          </w:rPr>
          <w:t xml:space="preserve">PLoS Biol.</w:t>
        </w:r>
      </w:hyperlink>
      <w:hyperlink r:id="rId743">
        <w:r w:rsidDel="00000000" w:rsidR="00000000" w:rsidRPr="00000000">
          <w:rPr>
            <w:color w:val="000000"/>
            <w:rtl w:val="0"/>
          </w:rPr>
          <w:t xml:space="preserve"> </w:t>
        </w:r>
      </w:hyperlink>
      <w:hyperlink r:id="rId744">
        <w:r w:rsidDel="00000000" w:rsidR="00000000" w:rsidRPr="00000000">
          <w:rPr>
            <w:b w:val="1"/>
            <w:color w:val="000000"/>
            <w:rtl w:val="0"/>
          </w:rPr>
          <w:t xml:space="preserve">16</w:t>
        </w:r>
      </w:hyperlink>
      <w:hyperlink r:id="rId745">
        <w:r w:rsidDel="00000000" w:rsidR="00000000" w:rsidRPr="00000000">
          <w:rPr>
            <w:color w:val="000000"/>
            <w:rtl w:val="0"/>
          </w:rPr>
          <w:t xml:space="preserve">, e2003703 (2018).</w:t>
        </w:r>
      </w:hyperlink>
      <w:r w:rsidDel="00000000" w:rsidR="00000000" w:rsidRPr="00000000">
        <w:rPr>
          <w:rtl w:val="0"/>
        </w:rPr>
      </w:r>
    </w:p>
    <w:p w:rsidR="00000000" w:rsidDel="00000000" w:rsidP="00000000" w:rsidRDefault="00000000" w:rsidRPr="00000000" w14:paraId="0000093A">
      <w:pPr>
        <w:widowControl w:val="0"/>
        <w:pBdr>
          <w:top w:space="0" w:sz="0" w:val="nil"/>
          <w:left w:space="0" w:sz="0" w:val="nil"/>
          <w:bottom w:space="0" w:sz="0" w:val="nil"/>
          <w:right w:space="0" w:sz="0" w:val="nil"/>
          <w:between w:space="0" w:sz="0" w:val="nil"/>
        </w:pBdr>
        <w:spacing w:after="0" w:line="480" w:lineRule="auto"/>
        <w:ind w:left="440" w:hanging="440"/>
        <w:rPr>
          <w:color w:val="000000"/>
        </w:rPr>
      </w:pPr>
      <w:r w:rsidDel="00000000" w:rsidR="00000000" w:rsidRPr="00000000">
        <w:rPr>
          <w:color w:val="000000"/>
          <w:rtl w:val="0"/>
        </w:rPr>
        <w:t xml:space="preserve">101.</w:t>
        <w:tab/>
      </w:r>
      <w:hyperlink r:id="rId746">
        <w:r w:rsidDel="00000000" w:rsidR="00000000" w:rsidRPr="00000000">
          <w:rPr>
            <w:color w:val="000000"/>
            <w:rtl w:val="0"/>
          </w:rPr>
          <w:t xml:space="preserve">Günther, T. </w:t>
        </w:r>
      </w:hyperlink>
      <w:hyperlink r:id="rId747">
        <w:r w:rsidDel="00000000" w:rsidR="00000000" w:rsidRPr="00000000">
          <w:rPr>
            <w:i w:val="1"/>
            <w:color w:val="000000"/>
            <w:rtl w:val="0"/>
          </w:rPr>
          <w:t xml:space="preserve">et al.</w:t>
        </w:r>
      </w:hyperlink>
      <w:hyperlink r:id="rId748">
        <w:r w:rsidDel="00000000" w:rsidR="00000000" w:rsidRPr="00000000">
          <w:rPr>
            <w:color w:val="000000"/>
            <w:rtl w:val="0"/>
          </w:rPr>
          <w:t xml:space="preserve"> Ancient genomes link early farmers from Atapuerca in Spain to modern-day Basques. </w:t>
        </w:r>
      </w:hyperlink>
      <w:hyperlink r:id="rId749">
        <w:r w:rsidDel="00000000" w:rsidR="00000000" w:rsidRPr="00000000">
          <w:rPr>
            <w:i w:val="1"/>
            <w:color w:val="000000"/>
            <w:rtl w:val="0"/>
          </w:rPr>
          <w:t xml:space="preserve">Proc. Natl. Acad. Sci. U. S. A.</w:t>
        </w:r>
      </w:hyperlink>
      <w:hyperlink r:id="rId750">
        <w:r w:rsidDel="00000000" w:rsidR="00000000" w:rsidRPr="00000000">
          <w:rPr>
            <w:color w:val="000000"/>
            <w:rtl w:val="0"/>
          </w:rPr>
          <w:t xml:space="preserve"> </w:t>
        </w:r>
      </w:hyperlink>
      <w:hyperlink r:id="rId751">
        <w:r w:rsidDel="00000000" w:rsidR="00000000" w:rsidRPr="00000000">
          <w:rPr>
            <w:b w:val="1"/>
            <w:color w:val="000000"/>
            <w:rtl w:val="0"/>
          </w:rPr>
          <w:t xml:space="preserve">112</w:t>
        </w:r>
      </w:hyperlink>
      <w:hyperlink r:id="rId752">
        <w:r w:rsidDel="00000000" w:rsidR="00000000" w:rsidRPr="00000000">
          <w:rPr>
            <w:color w:val="000000"/>
            <w:rtl w:val="0"/>
          </w:rPr>
          <w:t xml:space="preserve">, 11917–11922 (2015).</w:t>
        </w:r>
      </w:hyperlink>
      <w:r w:rsidDel="00000000" w:rsidR="00000000" w:rsidRPr="00000000">
        <w:rPr>
          <w:rtl w:val="0"/>
        </w:rPr>
      </w:r>
    </w:p>
    <w:p w:rsidR="00000000" w:rsidDel="00000000" w:rsidP="00000000" w:rsidRDefault="00000000" w:rsidRPr="00000000" w14:paraId="0000093B">
      <w:pPr>
        <w:widowControl w:val="0"/>
        <w:pBdr>
          <w:top w:space="0" w:sz="0" w:val="nil"/>
          <w:left w:space="0" w:sz="0" w:val="nil"/>
          <w:bottom w:space="0" w:sz="0" w:val="nil"/>
          <w:right w:space="0" w:sz="0" w:val="nil"/>
          <w:between w:space="0" w:sz="0" w:val="nil"/>
        </w:pBdr>
        <w:spacing w:after="0" w:line="480" w:lineRule="auto"/>
        <w:ind w:left="440" w:hanging="440"/>
        <w:rPr>
          <w:color w:val="000000"/>
        </w:rPr>
      </w:pPr>
      <w:r w:rsidDel="00000000" w:rsidR="00000000" w:rsidRPr="00000000">
        <w:rPr>
          <w:color w:val="000000"/>
          <w:rtl w:val="0"/>
        </w:rPr>
        <w:t xml:space="preserve">102.</w:t>
        <w:tab/>
      </w:r>
      <w:hyperlink r:id="rId753">
        <w:r w:rsidDel="00000000" w:rsidR="00000000" w:rsidRPr="00000000">
          <w:rPr>
            <w:color w:val="000000"/>
            <w:rtl w:val="0"/>
          </w:rPr>
          <w:t xml:space="preserve">Haber, M. </w:t>
        </w:r>
      </w:hyperlink>
      <w:hyperlink r:id="rId754">
        <w:r w:rsidDel="00000000" w:rsidR="00000000" w:rsidRPr="00000000">
          <w:rPr>
            <w:i w:val="1"/>
            <w:color w:val="000000"/>
            <w:rtl w:val="0"/>
          </w:rPr>
          <w:t xml:space="preserve">et al.</w:t>
        </w:r>
      </w:hyperlink>
      <w:hyperlink r:id="rId755">
        <w:r w:rsidDel="00000000" w:rsidR="00000000" w:rsidRPr="00000000">
          <w:rPr>
            <w:color w:val="000000"/>
            <w:rtl w:val="0"/>
          </w:rPr>
          <w:t xml:space="preserve"> A Transient Pulse of Genetic Admixture from the Crusaders in the Near East Identified from Ancient Genome Sequences. </w:t>
        </w:r>
      </w:hyperlink>
      <w:hyperlink r:id="rId756">
        <w:r w:rsidDel="00000000" w:rsidR="00000000" w:rsidRPr="00000000">
          <w:rPr>
            <w:i w:val="1"/>
            <w:color w:val="000000"/>
            <w:rtl w:val="0"/>
          </w:rPr>
          <w:t xml:space="preserve">Am. J. Hum. Genet.</w:t>
        </w:r>
      </w:hyperlink>
      <w:hyperlink r:id="rId757">
        <w:r w:rsidDel="00000000" w:rsidR="00000000" w:rsidRPr="00000000">
          <w:rPr>
            <w:color w:val="000000"/>
            <w:rtl w:val="0"/>
          </w:rPr>
          <w:t xml:space="preserve"> </w:t>
        </w:r>
      </w:hyperlink>
      <w:hyperlink r:id="rId758">
        <w:r w:rsidDel="00000000" w:rsidR="00000000" w:rsidRPr="00000000">
          <w:rPr>
            <w:b w:val="1"/>
            <w:color w:val="000000"/>
            <w:rtl w:val="0"/>
          </w:rPr>
          <w:t xml:space="preserve">104</w:t>
        </w:r>
      </w:hyperlink>
      <w:hyperlink r:id="rId759">
        <w:r w:rsidDel="00000000" w:rsidR="00000000" w:rsidRPr="00000000">
          <w:rPr>
            <w:color w:val="000000"/>
            <w:rtl w:val="0"/>
          </w:rPr>
          <w:t xml:space="preserve">, 977–984 (2019).</w:t>
        </w:r>
      </w:hyperlink>
      <w:r w:rsidDel="00000000" w:rsidR="00000000" w:rsidRPr="00000000">
        <w:rPr>
          <w:rtl w:val="0"/>
        </w:rPr>
      </w:r>
    </w:p>
    <w:p w:rsidR="00000000" w:rsidDel="00000000" w:rsidP="00000000" w:rsidRDefault="00000000" w:rsidRPr="00000000" w14:paraId="0000093C">
      <w:pPr>
        <w:widowControl w:val="0"/>
        <w:pBdr>
          <w:top w:space="0" w:sz="0" w:val="nil"/>
          <w:left w:space="0" w:sz="0" w:val="nil"/>
          <w:bottom w:space="0" w:sz="0" w:val="nil"/>
          <w:right w:space="0" w:sz="0" w:val="nil"/>
          <w:between w:space="0" w:sz="0" w:val="nil"/>
        </w:pBdr>
        <w:spacing w:after="0" w:line="480" w:lineRule="auto"/>
        <w:ind w:left="440" w:hanging="440"/>
        <w:rPr>
          <w:color w:val="000000"/>
        </w:rPr>
      </w:pPr>
      <w:r w:rsidDel="00000000" w:rsidR="00000000" w:rsidRPr="00000000">
        <w:rPr>
          <w:color w:val="000000"/>
          <w:rtl w:val="0"/>
        </w:rPr>
        <w:t xml:space="preserve">103.</w:t>
        <w:tab/>
      </w:r>
      <w:hyperlink r:id="rId760">
        <w:r w:rsidDel="00000000" w:rsidR="00000000" w:rsidRPr="00000000">
          <w:rPr>
            <w:color w:val="000000"/>
            <w:rtl w:val="0"/>
          </w:rPr>
          <w:t xml:space="preserve">Haber, M. </w:t>
        </w:r>
      </w:hyperlink>
      <w:hyperlink r:id="rId761">
        <w:r w:rsidDel="00000000" w:rsidR="00000000" w:rsidRPr="00000000">
          <w:rPr>
            <w:i w:val="1"/>
            <w:color w:val="000000"/>
            <w:rtl w:val="0"/>
          </w:rPr>
          <w:t xml:space="preserve">et al.</w:t>
        </w:r>
      </w:hyperlink>
      <w:hyperlink r:id="rId762">
        <w:r w:rsidDel="00000000" w:rsidR="00000000" w:rsidRPr="00000000">
          <w:rPr>
            <w:color w:val="000000"/>
            <w:rtl w:val="0"/>
          </w:rPr>
          <w:t xml:space="preserve"> A Genetic History of the Near East from an aDNA Time Course Sampling Eight Points in the Past 4,000 Years. </w:t>
        </w:r>
      </w:hyperlink>
      <w:hyperlink r:id="rId763">
        <w:r w:rsidDel="00000000" w:rsidR="00000000" w:rsidRPr="00000000">
          <w:rPr>
            <w:i w:val="1"/>
            <w:color w:val="000000"/>
            <w:rtl w:val="0"/>
          </w:rPr>
          <w:t xml:space="preserve">Am. J. Hum. Genet.</w:t>
        </w:r>
      </w:hyperlink>
      <w:hyperlink r:id="rId764">
        <w:r w:rsidDel="00000000" w:rsidR="00000000" w:rsidRPr="00000000">
          <w:rPr>
            <w:color w:val="000000"/>
            <w:rtl w:val="0"/>
          </w:rPr>
          <w:t xml:space="preserve"> </w:t>
        </w:r>
      </w:hyperlink>
      <w:hyperlink r:id="rId765">
        <w:r w:rsidDel="00000000" w:rsidR="00000000" w:rsidRPr="00000000">
          <w:rPr>
            <w:b w:val="1"/>
            <w:color w:val="000000"/>
            <w:rtl w:val="0"/>
          </w:rPr>
          <w:t xml:space="preserve">107</w:t>
        </w:r>
      </w:hyperlink>
      <w:hyperlink r:id="rId766">
        <w:r w:rsidDel="00000000" w:rsidR="00000000" w:rsidRPr="00000000">
          <w:rPr>
            <w:color w:val="000000"/>
            <w:rtl w:val="0"/>
          </w:rPr>
          <w:t xml:space="preserve">, 149–157 (2020).</w:t>
        </w:r>
      </w:hyperlink>
      <w:r w:rsidDel="00000000" w:rsidR="00000000" w:rsidRPr="00000000">
        <w:rPr>
          <w:rtl w:val="0"/>
        </w:rPr>
      </w:r>
    </w:p>
    <w:p w:rsidR="00000000" w:rsidDel="00000000" w:rsidP="00000000" w:rsidRDefault="00000000" w:rsidRPr="00000000" w14:paraId="0000093D">
      <w:pPr>
        <w:widowControl w:val="0"/>
        <w:pBdr>
          <w:top w:space="0" w:sz="0" w:val="nil"/>
          <w:left w:space="0" w:sz="0" w:val="nil"/>
          <w:bottom w:space="0" w:sz="0" w:val="nil"/>
          <w:right w:space="0" w:sz="0" w:val="nil"/>
          <w:between w:space="0" w:sz="0" w:val="nil"/>
        </w:pBdr>
        <w:spacing w:after="0" w:line="480" w:lineRule="auto"/>
        <w:ind w:left="440" w:hanging="440"/>
        <w:rPr>
          <w:color w:val="000000"/>
        </w:rPr>
      </w:pPr>
      <w:r w:rsidDel="00000000" w:rsidR="00000000" w:rsidRPr="00000000">
        <w:rPr>
          <w:color w:val="000000"/>
          <w:rtl w:val="0"/>
        </w:rPr>
        <w:t xml:space="preserve">104.</w:t>
        <w:tab/>
      </w:r>
      <w:hyperlink r:id="rId767">
        <w:r w:rsidDel="00000000" w:rsidR="00000000" w:rsidRPr="00000000">
          <w:rPr>
            <w:color w:val="000000"/>
            <w:rtl w:val="0"/>
          </w:rPr>
          <w:t xml:space="preserve">Harney, É. </w:t>
        </w:r>
      </w:hyperlink>
      <w:hyperlink r:id="rId768">
        <w:r w:rsidDel="00000000" w:rsidR="00000000" w:rsidRPr="00000000">
          <w:rPr>
            <w:i w:val="1"/>
            <w:color w:val="000000"/>
            <w:rtl w:val="0"/>
          </w:rPr>
          <w:t xml:space="preserve">et al.</w:t>
        </w:r>
      </w:hyperlink>
      <w:hyperlink r:id="rId769">
        <w:r w:rsidDel="00000000" w:rsidR="00000000" w:rsidRPr="00000000">
          <w:rPr>
            <w:color w:val="000000"/>
            <w:rtl w:val="0"/>
          </w:rPr>
          <w:t xml:space="preserve"> A minimally destructive protocol for DNA extraction from ancient teeth. </w:t>
        </w:r>
      </w:hyperlink>
      <w:hyperlink r:id="rId770">
        <w:r w:rsidDel="00000000" w:rsidR="00000000" w:rsidRPr="00000000">
          <w:rPr>
            <w:i w:val="1"/>
            <w:color w:val="000000"/>
            <w:rtl w:val="0"/>
          </w:rPr>
          <w:t xml:space="preserve">Genome Res.</w:t>
        </w:r>
      </w:hyperlink>
      <w:hyperlink r:id="rId771">
        <w:r w:rsidDel="00000000" w:rsidR="00000000" w:rsidRPr="00000000">
          <w:rPr>
            <w:color w:val="000000"/>
            <w:rtl w:val="0"/>
          </w:rPr>
          <w:t xml:space="preserve"> (2021) doi:</w:t>
        </w:r>
      </w:hyperlink>
      <w:hyperlink r:id="rId772">
        <w:r w:rsidDel="00000000" w:rsidR="00000000" w:rsidRPr="00000000">
          <w:rPr>
            <w:color w:val="000000"/>
            <w:rtl w:val="0"/>
          </w:rPr>
          <w:t xml:space="preserve">10.1101/gr.267534.120</w:t>
        </w:r>
      </w:hyperlink>
      <w:hyperlink r:id="rId773">
        <w:r w:rsidDel="00000000" w:rsidR="00000000" w:rsidRPr="00000000">
          <w:rPr>
            <w:color w:val="000000"/>
            <w:rtl w:val="0"/>
          </w:rPr>
          <w:t xml:space="preserve">.</w:t>
        </w:r>
      </w:hyperlink>
      <w:r w:rsidDel="00000000" w:rsidR="00000000" w:rsidRPr="00000000">
        <w:rPr>
          <w:rtl w:val="0"/>
        </w:rPr>
      </w:r>
    </w:p>
    <w:p w:rsidR="00000000" w:rsidDel="00000000" w:rsidP="00000000" w:rsidRDefault="00000000" w:rsidRPr="00000000" w14:paraId="0000093E">
      <w:pPr>
        <w:widowControl w:val="0"/>
        <w:pBdr>
          <w:top w:space="0" w:sz="0" w:val="nil"/>
          <w:left w:space="0" w:sz="0" w:val="nil"/>
          <w:bottom w:space="0" w:sz="0" w:val="nil"/>
          <w:right w:space="0" w:sz="0" w:val="nil"/>
          <w:between w:space="0" w:sz="0" w:val="nil"/>
        </w:pBdr>
        <w:spacing w:after="0" w:line="480" w:lineRule="auto"/>
        <w:ind w:left="440" w:hanging="440"/>
        <w:rPr>
          <w:color w:val="000000"/>
        </w:rPr>
      </w:pPr>
      <w:r w:rsidDel="00000000" w:rsidR="00000000" w:rsidRPr="00000000">
        <w:rPr>
          <w:color w:val="000000"/>
          <w:rtl w:val="0"/>
        </w:rPr>
        <w:t xml:space="preserve">105.</w:t>
        <w:tab/>
      </w:r>
      <w:hyperlink r:id="rId774">
        <w:r w:rsidDel="00000000" w:rsidR="00000000" w:rsidRPr="00000000">
          <w:rPr>
            <w:color w:val="000000"/>
            <w:rtl w:val="0"/>
          </w:rPr>
          <w:t xml:space="preserve">Hofmanová, Z. </w:t>
        </w:r>
      </w:hyperlink>
      <w:hyperlink r:id="rId775">
        <w:r w:rsidDel="00000000" w:rsidR="00000000" w:rsidRPr="00000000">
          <w:rPr>
            <w:i w:val="1"/>
            <w:color w:val="000000"/>
            <w:rtl w:val="0"/>
          </w:rPr>
          <w:t xml:space="preserve">et al.</w:t>
        </w:r>
      </w:hyperlink>
      <w:hyperlink r:id="rId776">
        <w:r w:rsidDel="00000000" w:rsidR="00000000" w:rsidRPr="00000000">
          <w:rPr>
            <w:color w:val="000000"/>
            <w:rtl w:val="0"/>
          </w:rPr>
          <w:t xml:space="preserve"> Early farmers from across Europe directly descended from Neolithic Aegeans. </w:t>
        </w:r>
      </w:hyperlink>
      <w:hyperlink r:id="rId777">
        <w:r w:rsidDel="00000000" w:rsidR="00000000" w:rsidRPr="00000000">
          <w:rPr>
            <w:i w:val="1"/>
            <w:color w:val="000000"/>
            <w:rtl w:val="0"/>
          </w:rPr>
          <w:t xml:space="preserve">Proc. Natl. Acad. Sci. U. S. A.</w:t>
        </w:r>
      </w:hyperlink>
      <w:hyperlink r:id="rId778">
        <w:r w:rsidDel="00000000" w:rsidR="00000000" w:rsidRPr="00000000">
          <w:rPr>
            <w:color w:val="000000"/>
            <w:rtl w:val="0"/>
          </w:rPr>
          <w:t xml:space="preserve"> </w:t>
        </w:r>
      </w:hyperlink>
      <w:hyperlink r:id="rId779">
        <w:r w:rsidDel="00000000" w:rsidR="00000000" w:rsidRPr="00000000">
          <w:rPr>
            <w:b w:val="1"/>
            <w:color w:val="000000"/>
            <w:rtl w:val="0"/>
          </w:rPr>
          <w:t xml:space="preserve">113</w:t>
        </w:r>
      </w:hyperlink>
      <w:hyperlink r:id="rId780">
        <w:r w:rsidDel="00000000" w:rsidR="00000000" w:rsidRPr="00000000">
          <w:rPr>
            <w:color w:val="000000"/>
            <w:rtl w:val="0"/>
          </w:rPr>
          <w:t xml:space="preserve">, 6886–6891 (2016).</w:t>
        </w:r>
      </w:hyperlink>
      <w:r w:rsidDel="00000000" w:rsidR="00000000" w:rsidRPr="00000000">
        <w:rPr>
          <w:rtl w:val="0"/>
        </w:rPr>
      </w:r>
    </w:p>
    <w:p w:rsidR="00000000" w:rsidDel="00000000" w:rsidP="00000000" w:rsidRDefault="00000000" w:rsidRPr="00000000" w14:paraId="0000093F">
      <w:pPr>
        <w:widowControl w:val="0"/>
        <w:pBdr>
          <w:top w:space="0" w:sz="0" w:val="nil"/>
          <w:left w:space="0" w:sz="0" w:val="nil"/>
          <w:bottom w:space="0" w:sz="0" w:val="nil"/>
          <w:right w:space="0" w:sz="0" w:val="nil"/>
          <w:between w:space="0" w:sz="0" w:val="nil"/>
        </w:pBdr>
        <w:spacing w:after="0" w:line="480" w:lineRule="auto"/>
        <w:ind w:left="440" w:hanging="440"/>
        <w:rPr>
          <w:color w:val="000000"/>
        </w:rPr>
      </w:pPr>
      <w:r w:rsidDel="00000000" w:rsidR="00000000" w:rsidRPr="00000000">
        <w:rPr>
          <w:color w:val="000000"/>
          <w:rtl w:val="0"/>
        </w:rPr>
        <w:t xml:space="preserve">106.</w:t>
        <w:tab/>
      </w:r>
      <w:hyperlink r:id="rId781">
        <w:r w:rsidDel="00000000" w:rsidR="00000000" w:rsidRPr="00000000">
          <w:rPr>
            <w:color w:val="000000"/>
            <w:rtl w:val="0"/>
          </w:rPr>
          <w:t xml:space="preserve">Järve, M. </w:t>
        </w:r>
      </w:hyperlink>
      <w:hyperlink r:id="rId782">
        <w:r w:rsidDel="00000000" w:rsidR="00000000" w:rsidRPr="00000000">
          <w:rPr>
            <w:i w:val="1"/>
            <w:color w:val="000000"/>
            <w:rtl w:val="0"/>
          </w:rPr>
          <w:t xml:space="preserve">et al.</w:t>
        </w:r>
      </w:hyperlink>
      <w:hyperlink r:id="rId783">
        <w:r w:rsidDel="00000000" w:rsidR="00000000" w:rsidRPr="00000000">
          <w:rPr>
            <w:color w:val="000000"/>
            <w:rtl w:val="0"/>
          </w:rPr>
          <w:t xml:space="preserve"> Shifts in the Genetic Landscape of the Western Eurasian Steppe Associated with the Beginning and End of the Scythian Dominance. </w:t>
        </w:r>
      </w:hyperlink>
      <w:hyperlink r:id="rId784">
        <w:r w:rsidDel="00000000" w:rsidR="00000000" w:rsidRPr="00000000">
          <w:rPr>
            <w:i w:val="1"/>
            <w:color w:val="000000"/>
            <w:rtl w:val="0"/>
          </w:rPr>
          <w:t xml:space="preserve">Curr. Biol.</w:t>
        </w:r>
      </w:hyperlink>
      <w:hyperlink r:id="rId785">
        <w:r w:rsidDel="00000000" w:rsidR="00000000" w:rsidRPr="00000000">
          <w:rPr>
            <w:color w:val="000000"/>
            <w:rtl w:val="0"/>
          </w:rPr>
          <w:t xml:space="preserve"> </w:t>
        </w:r>
      </w:hyperlink>
      <w:hyperlink r:id="rId786">
        <w:r w:rsidDel="00000000" w:rsidR="00000000" w:rsidRPr="00000000">
          <w:rPr>
            <w:b w:val="1"/>
            <w:color w:val="000000"/>
            <w:rtl w:val="0"/>
          </w:rPr>
          <w:t xml:space="preserve">29</w:t>
        </w:r>
      </w:hyperlink>
      <w:hyperlink r:id="rId787">
        <w:r w:rsidDel="00000000" w:rsidR="00000000" w:rsidRPr="00000000">
          <w:rPr>
            <w:color w:val="000000"/>
            <w:rtl w:val="0"/>
          </w:rPr>
          <w:t xml:space="preserve">, 2430–2441.e10 (2019).</w:t>
        </w:r>
      </w:hyperlink>
      <w:r w:rsidDel="00000000" w:rsidR="00000000" w:rsidRPr="00000000">
        <w:rPr>
          <w:rtl w:val="0"/>
        </w:rPr>
      </w:r>
    </w:p>
    <w:p w:rsidR="00000000" w:rsidDel="00000000" w:rsidP="00000000" w:rsidRDefault="00000000" w:rsidRPr="00000000" w14:paraId="00000940">
      <w:pPr>
        <w:widowControl w:val="0"/>
        <w:pBdr>
          <w:top w:space="0" w:sz="0" w:val="nil"/>
          <w:left w:space="0" w:sz="0" w:val="nil"/>
          <w:bottom w:space="0" w:sz="0" w:val="nil"/>
          <w:right w:space="0" w:sz="0" w:val="nil"/>
          <w:between w:space="0" w:sz="0" w:val="nil"/>
        </w:pBdr>
        <w:spacing w:after="0" w:line="480" w:lineRule="auto"/>
        <w:ind w:left="440" w:hanging="440"/>
        <w:rPr>
          <w:color w:val="000000"/>
        </w:rPr>
      </w:pPr>
      <w:r w:rsidDel="00000000" w:rsidR="00000000" w:rsidRPr="00000000">
        <w:rPr>
          <w:color w:val="000000"/>
          <w:rtl w:val="0"/>
        </w:rPr>
        <w:t xml:space="preserve">107.</w:t>
        <w:tab/>
      </w:r>
      <w:hyperlink r:id="rId788">
        <w:r w:rsidDel="00000000" w:rsidR="00000000" w:rsidRPr="00000000">
          <w:rPr>
            <w:color w:val="000000"/>
            <w:rtl w:val="0"/>
          </w:rPr>
          <w:t xml:space="preserve">Jones, E. R. </w:t>
        </w:r>
      </w:hyperlink>
      <w:hyperlink r:id="rId789">
        <w:r w:rsidDel="00000000" w:rsidR="00000000" w:rsidRPr="00000000">
          <w:rPr>
            <w:i w:val="1"/>
            <w:color w:val="000000"/>
            <w:rtl w:val="0"/>
          </w:rPr>
          <w:t xml:space="preserve">et al.</w:t>
        </w:r>
      </w:hyperlink>
      <w:hyperlink r:id="rId790">
        <w:r w:rsidDel="00000000" w:rsidR="00000000" w:rsidRPr="00000000">
          <w:rPr>
            <w:color w:val="000000"/>
            <w:rtl w:val="0"/>
          </w:rPr>
          <w:t xml:space="preserve"> Upper Palaeolithic genomes reveal deep roots of modern Eurasians. </w:t>
        </w:r>
      </w:hyperlink>
      <w:hyperlink r:id="rId791">
        <w:r w:rsidDel="00000000" w:rsidR="00000000" w:rsidRPr="00000000">
          <w:rPr>
            <w:i w:val="1"/>
            <w:color w:val="000000"/>
            <w:rtl w:val="0"/>
          </w:rPr>
          <w:t xml:space="preserve">Nat. Commun.</w:t>
        </w:r>
      </w:hyperlink>
      <w:hyperlink r:id="rId792">
        <w:r w:rsidDel="00000000" w:rsidR="00000000" w:rsidRPr="00000000">
          <w:rPr>
            <w:color w:val="000000"/>
            <w:rtl w:val="0"/>
          </w:rPr>
          <w:t xml:space="preserve"> </w:t>
        </w:r>
      </w:hyperlink>
      <w:hyperlink r:id="rId793">
        <w:r w:rsidDel="00000000" w:rsidR="00000000" w:rsidRPr="00000000">
          <w:rPr>
            <w:b w:val="1"/>
            <w:color w:val="000000"/>
            <w:rtl w:val="0"/>
          </w:rPr>
          <w:t xml:space="preserve">6</w:t>
        </w:r>
      </w:hyperlink>
      <w:hyperlink r:id="rId794">
        <w:r w:rsidDel="00000000" w:rsidR="00000000" w:rsidRPr="00000000">
          <w:rPr>
            <w:color w:val="000000"/>
            <w:rtl w:val="0"/>
          </w:rPr>
          <w:t xml:space="preserve">, 1–8 (2015).</w:t>
        </w:r>
      </w:hyperlink>
      <w:r w:rsidDel="00000000" w:rsidR="00000000" w:rsidRPr="00000000">
        <w:rPr>
          <w:rtl w:val="0"/>
        </w:rPr>
      </w:r>
    </w:p>
    <w:p w:rsidR="00000000" w:rsidDel="00000000" w:rsidP="00000000" w:rsidRDefault="00000000" w:rsidRPr="00000000" w14:paraId="00000941">
      <w:pPr>
        <w:widowControl w:val="0"/>
        <w:pBdr>
          <w:top w:space="0" w:sz="0" w:val="nil"/>
          <w:left w:space="0" w:sz="0" w:val="nil"/>
          <w:bottom w:space="0" w:sz="0" w:val="nil"/>
          <w:right w:space="0" w:sz="0" w:val="nil"/>
          <w:between w:space="0" w:sz="0" w:val="nil"/>
        </w:pBdr>
        <w:spacing w:after="0" w:line="480" w:lineRule="auto"/>
        <w:ind w:left="440" w:hanging="440"/>
        <w:rPr>
          <w:color w:val="000000"/>
        </w:rPr>
      </w:pPr>
      <w:r w:rsidDel="00000000" w:rsidR="00000000" w:rsidRPr="00000000">
        <w:rPr>
          <w:color w:val="000000"/>
          <w:rtl w:val="0"/>
        </w:rPr>
        <w:t xml:space="preserve">108.</w:t>
        <w:tab/>
      </w:r>
      <w:hyperlink r:id="rId795">
        <w:r w:rsidDel="00000000" w:rsidR="00000000" w:rsidRPr="00000000">
          <w:rPr>
            <w:color w:val="000000"/>
            <w:rtl w:val="0"/>
          </w:rPr>
          <w:t xml:space="preserve">Jones, E. R. </w:t>
        </w:r>
      </w:hyperlink>
      <w:hyperlink r:id="rId796">
        <w:r w:rsidDel="00000000" w:rsidR="00000000" w:rsidRPr="00000000">
          <w:rPr>
            <w:i w:val="1"/>
            <w:color w:val="000000"/>
            <w:rtl w:val="0"/>
          </w:rPr>
          <w:t xml:space="preserve">et al.</w:t>
        </w:r>
      </w:hyperlink>
      <w:hyperlink r:id="rId797">
        <w:r w:rsidDel="00000000" w:rsidR="00000000" w:rsidRPr="00000000">
          <w:rPr>
            <w:color w:val="000000"/>
            <w:rtl w:val="0"/>
          </w:rPr>
          <w:t xml:space="preserve"> The Neolithic Transition in the Baltic Was Not Driven by Admixture with Early European Farmers. </w:t>
        </w:r>
      </w:hyperlink>
      <w:hyperlink r:id="rId798">
        <w:r w:rsidDel="00000000" w:rsidR="00000000" w:rsidRPr="00000000">
          <w:rPr>
            <w:i w:val="1"/>
            <w:color w:val="000000"/>
            <w:rtl w:val="0"/>
          </w:rPr>
          <w:t xml:space="preserve">Curr. Biol.</w:t>
        </w:r>
      </w:hyperlink>
      <w:hyperlink r:id="rId799">
        <w:r w:rsidDel="00000000" w:rsidR="00000000" w:rsidRPr="00000000">
          <w:rPr>
            <w:color w:val="000000"/>
            <w:rtl w:val="0"/>
          </w:rPr>
          <w:t xml:space="preserve"> </w:t>
        </w:r>
      </w:hyperlink>
      <w:hyperlink r:id="rId800">
        <w:r w:rsidDel="00000000" w:rsidR="00000000" w:rsidRPr="00000000">
          <w:rPr>
            <w:b w:val="1"/>
            <w:color w:val="000000"/>
            <w:rtl w:val="0"/>
          </w:rPr>
          <w:t xml:space="preserve">27</w:t>
        </w:r>
      </w:hyperlink>
      <w:hyperlink r:id="rId801">
        <w:r w:rsidDel="00000000" w:rsidR="00000000" w:rsidRPr="00000000">
          <w:rPr>
            <w:color w:val="000000"/>
            <w:rtl w:val="0"/>
          </w:rPr>
          <w:t xml:space="preserve">, 576–582 (2017).</w:t>
        </w:r>
      </w:hyperlink>
      <w:r w:rsidDel="00000000" w:rsidR="00000000" w:rsidRPr="00000000">
        <w:rPr>
          <w:rtl w:val="0"/>
        </w:rPr>
      </w:r>
    </w:p>
    <w:p w:rsidR="00000000" w:rsidDel="00000000" w:rsidP="00000000" w:rsidRDefault="00000000" w:rsidRPr="00000000" w14:paraId="00000942">
      <w:pPr>
        <w:widowControl w:val="0"/>
        <w:pBdr>
          <w:top w:space="0" w:sz="0" w:val="nil"/>
          <w:left w:space="0" w:sz="0" w:val="nil"/>
          <w:bottom w:space="0" w:sz="0" w:val="nil"/>
          <w:right w:space="0" w:sz="0" w:val="nil"/>
          <w:between w:space="0" w:sz="0" w:val="nil"/>
        </w:pBdr>
        <w:spacing w:after="0" w:line="480" w:lineRule="auto"/>
        <w:ind w:left="440" w:hanging="440"/>
        <w:rPr>
          <w:color w:val="000000"/>
        </w:rPr>
      </w:pPr>
      <w:r w:rsidDel="00000000" w:rsidR="00000000" w:rsidRPr="00000000">
        <w:rPr>
          <w:color w:val="000000"/>
          <w:rtl w:val="0"/>
        </w:rPr>
        <w:t xml:space="preserve">109.</w:t>
        <w:tab/>
      </w:r>
      <w:hyperlink r:id="rId802">
        <w:r w:rsidDel="00000000" w:rsidR="00000000" w:rsidRPr="00000000">
          <w:rPr>
            <w:color w:val="000000"/>
            <w:rtl w:val="0"/>
          </w:rPr>
          <w:t xml:space="preserve">Kılınç, G. M. </w:t>
        </w:r>
      </w:hyperlink>
      <w:hyperlink r:id="rId803">
        <w:r w:rsidDel="00000000" w:rsidR="00000000" w:rsidRPr="00000000">
          <w:rPr>
            <w:i w:val="1"/>
            <w:color w:val="000000"/>
            <w:rtl w:val="0"/>
          </w:rPr>
          <w:t xml:space="preserve">et al.</w:t>
        </w:r>
      </w:hyperlink>
      <w:hyperlink r:id="rId804">
        <w:r w:rsidDel="00000000" w:rsidR="00000000" w:rsidRPr="00000000">
          <w:rPr>
            <w:color w:val="000000"/>
            <w:rtl w:val="0"/>
          </w:rPr>
          <w:t xml:space="preserve"> The Demographic Development of the First Farmers in Anatolia. </w:t>
        </w:r>
      </w:hyperlink>
      <w:hyperlink r:id="rId805">
        <w:r w:rsidDel="00000000" w:rsidR="00000000" w:rsidRPr="00000000">
          <w:rPr>
            <w:i w:val="1"/>
            <w:color w:val="000000"/>
            <w:rtl w:val="0"/>
          </w:rPr>
          <w:t xml:space="preserve">Curr. Biol.</w:t>
        </w:r>
      </w:hyperlink>
      <w:hyperlink r:id="rId806">
        <w:r w:rsidDel="00000000" w:rsidR="00000000" w:rsidRPr="00000000">
          <w:rPr>
            <w:color w:val="000000"/>
            <w:rtl w:val="0"/>
          </w:rPr>
          <w:t xml:space="preserve"> </w:t>
        </w:r>
      </w:hyperlink>
      <w:hyperlink r:id="rId807">
        <w:r w:rsidDel="00000000" w:rsidR="00000000" w:rsidRPr="00000000">
          <w:rPr>
            <w:b w:val="1"/>
            <w:color w:val="000000"/>
            <w:rtl w:val="0"/>
          </w:rPr>
          <w:t xml:space="preserve">26</w:t>
        </w:r>
      </w:hyperlink>
      <w:hyperlink r:id="rId808">
        <w:r w:rsidDel="00000000" w:rsidR="00000000" w:rsidRPr="00000000">
          <w:rPr>
            <w:color w:val="000000"/>
            <w:rtl w:val="0"/>
          </w:rPr>
          <w:t xml:space="preserve">, 2659–2666 (2016).</w:t>
        </w:r>
      </w:hyperlink>
      <w:r w:rsidDel="00000000" w:rsidR="00000000" w:rsidRPr="00000000">
        <w:rPr>
          <w:rtl w:val="0"/>
        </w:rPr>
      </w:r>
    </w:p>
    <w:p w:rsidR="00000000" w:rsidDel="00000000" w:rsidP="00000000" w:rsidRDefault="00000000" w:rsidRPr="00000000" w14:paraId="00000943">
      <w:pPr>
        <w:widowControl w:val="0"/>
        <w:pBdr>
          <w:top w:space="0" w:sz="0" w:val="nil"/>
          <w:left w:space="0" w:sz="0" w:val="nil"/>
          <w:bottom w:space="0" w:sz="0" w:val="nil"/>
          <w:right w:space="0" w:sz="0" w:val="nil"/>
          <w:between w:space="0" w:sz="0" w:val="nil"/>
        </w:pBdr>
        <w:spacing w:after="0" w:line="480" w:lineRule="auto"/>
        <w:ind w:left="440" w:hanging="440"/>
        <w:rPr>
          <w:color w:val="000000"/>
        </w:rPr>
      </w:pPr>
      <w:r w:rsidDel="00000000" w:rsidR="00000000" w:rsidRPr="00000000">
        <w:rPr>
          <w:color w:val="000000"/>
          <w:rtl w:val="0"/>
        </w:rPr>
        <w:t xml:space="preserve">110.</w:t>
        <w:tab/>
      </w:r>
      <w:hyperlink r:id="rId809">
        <w:r w:rsidDel="00000000" w:rsidR="00000000" w:rsidRPr="00000000">
          <w:rPr>
            <w:color w:val="000000"/>
            <w:rtl w:val="0"/>
          </w:rPr>
          <w:t xml:space="preserve">Krzewińska, M. </w:t>
        </w:r>
      </w:hyperlink>
      <w:hyperlink r:id="rId810">
        <w:r w:rsidDel="00000000" w:rsidR="00000000" w:rsidRPr="00000000">
          <w:rPr>
            <w:i w:val="1"/>
            <w:color w:val="000000"/>
            <w:rtl w:val="0"/>
          </w:rPr>
          <w:t xml:space="preserve">et al.</w:t>
        </w:r>
      </w:hyperlink>
      <w:hyperlink r:id="rId811">
        <w:r w:rsidDel="00000000" w:rsidR="00000000" w:rsidRPr="00000000">
          <w:rPr>
            <w:color w:val="000000"/>
            <w:rtl w:val="0"/>
          </w:rPr>
          <w:t xml:space="preserve"> Genomic and Strontium Isotope Variation Reveal Immigration Patterns in a Viking Age Town. </w:t>
        </w:r>
      </w:hyperlink>
      <w:hyperlink r:id="rId812">
        <w:r w:rsidDel="00000000" w:rsidR="00000000" w:rsidRPr="00000000">
          <w:rPr>
            <w:i w:val="1"/>
            <w:color w:val="000000"/>
            <w:rtl w:val="0"/>
          </w:rPr>
          <w:t xml:space="preserve">Curr. Biol.</w:t>
        </w:r>
      </w:hyperlink>
      <w:hyperlink r:id="rId813">
        <w:r w:rsidDel="00000000" w:rsidR="00000000" w:rsidRPr="00000000">
          <w:rPr>
            <w:color w:val="000000"/>
            <w:rtl w:val="0"/>
          </w:rPr>
          <w:t xml:space="preserve"> </w:t>
        </w:r>
      </w:hyperlink>
      <w:hyperlink r:id="rId814">
        <w:r w:rsidDel="00000000" w:rsidR="00000000" w:rsidRPr="00000000">
          <w:rPr>
            <w:b w:val="1"/>
            <w:color w:val="000000"/>
            <w:rtl w:val="0"/>
          </w:rPr>
          <w:t xml:space="preserve">28</w:t>
        </w:r>
      </w:hyperlink>
      <w:hyperlink r:id="rId815">
        <w:r w:rsidDel="00000000" w:rsidR="00000000" w:rsidRPr="00000000">
          <w:rPr>
            <w:color w:val="000000"/>
            <w:rtl w:val="0"/>
          </w:rPr>
          <w:t xml:space="preserve">, 2730–2738.e10 (2018).</w:t>
        </w:r>
      </w:hyperlink>
      <w:r w:rsidDel="00000000" w:rsidR="00000000" w:rsidRPr="00000000">
        <w:rPr>
          <w:rtl w:val="0"/>
        </w:rPr>
      </w:r>
    </w:p>
    <w:p w:rsidR="00000000" w:rsidDel="00000000" w:rsidP="00000000" w:rsidRDefault="00000000" w:rsidRPr="00000000" w14:paraId="00000944">
      <w:pPr>
        <w:widowControl w:val="0"/>
        <w:pBdr>
          <w:top w:space="0" w:sz="0" w:val="nil"/>
          <w:left w:space="0" w:sz="0" w:val="nil"/>
          <w:bottom w:space="0" w:sz="0" w:val="nil"/>
          <w:right w:space="0" w:sz="0" w:val="nil"/>
          <w:between w:space="0" w:sz="0" w:val="nil"/>
        </w:pBdr>
        <w:spacing w:after="0" w:line="480" w:lineRule="auto"/>
        <w:ind w:left="440" w:hanging="440"/>
        <w:rPr>
          <w:color w:val="000000"/>
        </w:rPr>
      </w:pPr>
      <w:r w:rsidDel="00000000" w:rsidR="00000000" w:rsidRPr="00000000">
        <w:rPr>
          <w:color w:val="000000"/>
          <w:rtl w:val="0"/>
        </w:rPr>
        <w:t xml:space="preserve">111.</w:t>
        <w:tab/>
      </w:r>
      <w:hyperlink r:id="rId816">
        <w:r w:rsidDel="00000000" w:rsidR="00000000" w:rsidRPr="00000000">
          <w:rPr>
            <w:color w:val="000000"/>
            <w:rtl w:val="0"/>
          </w:rPr>
          <w:t xml:space="preserve">Krzewińska, M. </w:t>
        </w:r>
      </w:hyperlink>
      <w:hyperlink r:id="rId817">
        <w:r w:rsidDel="00000000" w:rsidR="00000000" w:rsidRPr="00000000">
          <w:rPr>
            <w:i w:val="1"/>
            <w:color w:val="000000"/>
            <w:rtl w:val="0"/>
          </w:rPr>
          <w:t xml:space="preserve">et al.</w:t>
        </w:r>
      </w:hyperlink>
      <w:hyperlink r:id="rId818">
        <w:r w:rsidDel="00000000" w:rsidR="00000000" w:rsidRPr="00000000">
          <w:rPr>
            <w:color w:val="000000"/>
            <w:rtl w:val="0"/>
          </w:rPr>
          <w:t xml:space="preserve"> Ancient genomes suggest the eastern Pontic-Caspian steppe as the source of western Iron Age nomads. </w:t>
        </w:r>
      </w:hyperlink>
      <w:hyperlink r:id="rId819">
        <w:r w:rsidDel="00000000" w:rsidR="00000000" w:rsidRPr="00000000">
          <w:rPr>
            <w:i w:val="1"/>
            <w:color w:val="000000"/>
            <w:rtl w:val="0"/>
          </w:rPr>
          <w:t xml:space="preserve">Science Advances</w:t>
        </w:r>
      </w:hyperlink>
      <w:hyperlink r:id="rId820">
        <w:r w:rsidDel="00000000" w:rsidR="00000000" w:rsidRPr="00000000">
          <w:rPr>
            <w:color w:val="000000"/>
            <w:rtl w:val="0"/>
          </w:rPr>
          <w:t xml:space="preserve"> </w:t>
        </w:r>
      </w:hyperlink>
      <w:hyperlink r:id="rId821">
        <w:r w:rsidDel="00000000" w:rsidR="00000000" w:rsidRPr="00000000">
          <w:rPr>
            <w:b w:val="1"/>
            <w:color w:val="000000"/>
            <w:rtl w:val="0"/>
          </w:rPr>
          <w:t xml:space="preserve">4</w:t>
        </w:r>
      </w:hyperlink>
      <w:hyperlink r:id="rId822">
        <w:r w:rsidDel="00000000" w:rsidR="00000000" w:rsidRPr="00000000">
          <w:rPr>
            <w:color w:val="000000"/>
            <w:rtl w:val="0"/>
          </w:rPr>
          <w:t xml:space="preserve">, eaat4457 (2018).</w:t>
        </w:r>
      </w:hyperlink>
      <w:r w:rsidDel="00000000" w:rsidR="00000000" w:rsidRPr="00000000">
        <w:rPr>
          <w:rtl w:val="0"/>
        </w:rPr>
      </w:r>
    </w:p>
    <w:p w:rsidR="00000000" w:rsidDel="00000000" w:rsidP="00000000" w:rsidRDefault="00000000" w:rsidRPr="00000000" w14:paraId="00000945">
      <w:pPr>
        <w:widowControl w:val="0"/>
        <w:pBdr>
          <w:top w:space="0" w:sz="0" w:val="nil"/>
          <w:left w:space="0" w:sz="0" w:val="nil"/>
          <w:bottom w:space="0" w:sz="0" w:val="nil"/>
          <w:right w:space="0" w:sz="0" w:val="nil"/>
          <w:between w:space="0" w:sz="0" w:val="nil"/>
        </w:pBdr>
        <w:spacing w:after="0" w:line="480" w:lineRule="auto"/>
        <w:ind w:left="440" w:hanging="440"/>
        <w:rPr>
          <w:color w:val="000000"/>
        </w:rPr>
      </w:pPr>
      <w:r w:rsidDel="00000000" w:rsidR="00000000" w:rsidRPr="00000000">
        <w:rPr>
          <w:color w:val="000000"/>
          <w:rtl w:val="0"/>
        </w:rPr>
        <w:t xml:space="preserve">112.</w:t>
        <w:tab/>
      </w:r>
      <w:hyperlink r:id="rId823">
        <w:r w:rsidDel="00000000" w:rsidR="00000000" w:rsidRPr="00000000">
          <w:rPr>
            <w:color w:val="000000"/>
            <w:rtl w:val="0"/>
          </w:rPr>
          <w:t xml:space="preserve">Lamnidis, T. C. </w:t>
        </w:r>
      </w:hyperlink>
      <w:hyperlink r:id="rId824">
        <w:r w:rsidDel="00000000" w:rsidR="00000000" w:rsidRPr="00000000">
          <w:rPr>
            <w:i w:val="1"/>
            <w:color w:val="000000"/>
            <w:rtl w:val="0"/>
          </w:rPr>
          <w:t xml:space="preserve">et al.</w:t>
        </w:r>
      </w:hyperlink>
      <w:hyperlink r:id="rId825">
        <w:r w:rsidDel="00000000" w:rsidR="00000000" w:rsidRPr="00000000">
          <w:rPr>
            <w:color w:val="000000"/>
            <w:rtl w:val="0"/>
          </w:rPr>
          <w:t xml:space="preserve"> Ancient Fennoscandian genomes reveal origin and spread of Siberian ancestry in Europe. </w:t>
        </w:r>
      </w:hyperlink>
      <w:hyperlink r:id="rId826">
        <w:r w:rsidDel="00000000" w:rsidR="00000000" w:rsidRPr="00000000">
          <w:rPr>
            <w:i w:val="1"/>
            <w:color w:val="000000"/>
            <w:rtl w:val="0"/>
          </w:rPr>
          <w:t xml:space="preserve">Nat. Commun.</w:t>
        </w:r>
      </w:hyperlink>
      <w:hyperlink r:id="rId827">
        <w:r w:rsidDel="00000000" w:rsidR="00000000" w:rsidRPr="00000000">
          <w:rPr>
            <w:color w:val="000000"/>
            <w:rtl w:val="0"/>
          </w:rPr>
          <w:t xml:space="preserve"> </w:t>
        </w:r>
      </w:hyperlink>
      <w:hyperlink r:id="rId828">
        <w:r w:rsidDel="00000000" w:rsidR="00000000" w:rsidRPr="00000000">
          <w:rPr>
            <w:b w:val="1"/>
            <w:color w:val="000000"/>
            <w:rtl w:val="0"/>
          </w:rPr>
          <w:t xml:space="preserve">9</w:t>
        </w:r>
      </w:hyperlink>
      <w:hyperlink r:id="rId829">
        <w:r w:rsidDel="00000000" w:rsidR="00000000" w:rsidRPr="00000000">
          <w:rPr>
            <w:color w:val="000000"/>
            <w:rtl w:val="0"/>
          </w:rPr>
          <w:t xml:space="preserve">, 5018 (2018).</w:t>
        </w:r>
      </w:hyperlink>
      <w:r w:rsidDel="00000000" w:rsidR="00000000" w:rsidRPr="00000000">
        <w:rPr>
          <w:rtl w:val="0"/>
        </w:rPr>
      </w:r>
    </w:p>
    <w:p w:rsidR="00000000" w:rsidDel="00000000" w:rsidP="00000000" w:rsidRDefault="00000000" w:rsidRPr="00000000" w14:paraId="00000946">
      <w:pPr>
        <w:widowControl w:val="0"/>
        <w:pBdr>
          <w:top w:space="0" w:sz="0" w:val="nil"/>
          <w:left w:space="0" w:sz="0" w:val="nil"/>
          <w:bottom w:space="0" w:sz="0" w:val="nil"/>
          <w:right w:space="0" w:sz="0" w:val="nil"/>
          <w:between w:space="0" w:sz="0" w:val="nil"/>
        </w:pBdr>
        <w:spacing w:after="0" w:line="480" w:lineRule="auto"/>
        <w:ind w:left="440" w:hanging="440"/>
        <w:rPr>
          <w:color w:val="000000"/>
        </w:rPr>
      </w:pPr>
      <w:r w:rsidDel="00000000" w:rsidR="00000000" w:rsidRPr="00000000">
        <w:rPr>
          <w:color w:val="000000"/>
          <w:rtl w:val="0"/>
        </w:rPr>
        <w:t xml:space="preserve">113.</w:t>
        <w:tab/>
      </w:r>
      <w:hyperlink r:id="rId830">
        <w:r w:rsidDel="00000000" w:rsidR="00000000" w:rsidRPr="00000000">
          <w:rPr>
            <w:color w:val="000000"/>
            <w:rtl w:val="0"/>
          </w:rPr>
          <w:t xml:space="preserve">Lazaridis, I. </w:t>
        </w:r>
      </w:hyperlink>
      <w:hyperlink r:id="rId831">
        <w:r w:rsidDel="00000000" w:rsidR="00000000" w:rsidRPr="00000000">
          <w:rPr>
            <w:i w:val="1"/>
            <w:color w:val="000000"/>
            <w:rtl w:val="0"/>
          </w:rPr>
          <w:t xml:space="preserve">et al.</w:t>
        </w:r>
      </w:hyperlink>
      <w:hyperlink r:id="rId832">
        <w:r w:rsidDel="00000000" w:rsidR="00000000" w:rsidRPr="00000000">
          <w:rPr>
            <w:color w:val="000000"/>
            <w:rtl w:val="0"/>
          </w:rPr>
          <w:t xml:space="preserve"> Ancient human genomes suggest three ancestral populations for present-day Europeans. </w:t>
        </w:r>
      </w:hyperlink>
      <w:hyperlink r:id="rId833">
        <w:r w:rsidDel="00000000" w:rsidR="00000000" w:rsidRPr="00000000">
          <w:rPr>
            <w:i w:val="1"/>
            <w:color w:val="000000"/>
            <w:rtl w:val="0"/>
          </w:rPr>
          <w:t xml:space="preserve">Nature</w:t>
        </w:r>
      </w:hyperlink>
      <w:hyperlink r:id="rId834">
        <w:r w:rsidDel="00000000" w:rsidR="00000000" w:rsidRPr="00000000">
          <w:rPr>
            <w:color w:val="000000"/>
            <w:rtl w:val="0"/>
          </w:rPr>
          <w:t xml:space="preserve"> </w:t>
        </w:r>
      </w:hyperlink>
      <w:hyperlink r:id="rId835">
        <w:r w:rsidDel="00000000" w:rsidR="00000000" w:rsidRPr="00000000">
          <w:rPr>
            <w:b w:val="1"/>
            <w:color w:val="000000"/>
            <w:rtl w:val="0"/>
          </w:rPr>
          <w:t xml:space="preserve">513</w:t>
        </w:r>
      </w:hyperlink>
      <w:hyperlink r:id="rId836">
        <w:r w:rsidDel="00000000" w:rsidR="00000000" w:rsidRPr="00000000">
          <w:rPr>
            <w:color w:val="000000"/>
            <w:rtl w:val="0"/>
          </w:rPr>
          <w:t xml:space="preserve">, 409–413 (2014).</w:t>
        </w:r>
      </w:hyperlink>
      <w:r w:rsidDel="00000000" w:rsidR="00000000" w:rsidRPr="00000000">
        <w:rPr>
          <w:rtl w:val="0"/>
        </w:rPr>
      </w:r>
    </w:p>
    <w:p w:rsidR="00000000" w:rsidDel="00000000" w:rsidP="00000000" w:rsidRDefault="00000000" w:rsidRPr="00000000" w14:paraId="00000947">
      <w:pPr>
        <w:widowControl w:val="0"/>
        <w:pBdr>
          <w:top w:space="0" w:sz="0" w:val="nil"/>
          <w:left w:space="0" w:sz="0" w:val="nil"/>
          <w:bottom w:space="0" w:sz="0" w:val="nil"/>
          <w:right w:space="0" w:sz="0" w:val="nil"/>
          <w:between w:space="0" w:sz="0" w:val="nil"/>
        </w:pBdr>
        <w:spacing w:after="0" w:line="480" w:lineRule="auto"/>
        <w:ind w:left="440" w:hanging="440"/>
        <w:rPr>
          <w:color w:val="000000"/>
        </w:rPr>
      </w:pPr>
      <w:r w:rsidDel="00000000" w:rsidR="00000000" w:rsidRPr="00000000">
        <w:rPr>
          <w:color w:val="000000"/>
          <w:rtl w:val="0"/>
        </w:rPr>
        <w:t xml:space="preserve">114.</w:t>
        <w:tab/>
      </w:r>
      <w:hyperlink r:id="rId837">
        <w:r w:rsidDel="00000000" w:rsidR="00000000" w:rsidRPr="00000000">
          <w:rPr>
            <w:color w:val="000000"/>
            <w:rtl w:val="0"/>
          </w:rPr>
          <w:t xml:space="preserve">Lazaridis, I. </w:t>
        </w:r>
      </w:hyperlink>
      <w:hyperlink r:id="rId838">
        <w:r w:rsidDel="00000000" w:rsidR="00000000" w:rsidRPr="00000000">
          <w:rPr>
            <w:i w:val="1"/>
            <w:color w:val="000000"/>
            <w:rtl w:val="0"/>
          </w:rPr>
          <w:t xml:space="preserve">et al.</w:t>
        </w:r>
      </w:hyperlink>
      <w:hyperlink r:id="rId839">
        <w:r w:rsidDel="00000000" w:rsidR="00000000" w:rsidRPr="00000000">
          <w:rPr>
            <w:color w:val="000000"/>
            <w:rtl w:val="0"/>
          </w:rPr>
          <w:t xml:space="preserve"> Genomic insights into the origin of farming in the ancient Near East. </w:t>
        </w:r>
      </w:hyperlink>
      <w:hyperlink r:id="rId840">
        <w:r w:rsidDel="00000000" w:rsidR="00000000" w:rsidRPr="00000000">
          <w:rPr>
            <w:i w:val="1"/>
            <w:color w:val="000000"/>
            <w:rtl w:val="0"/>
          </w:rPr>
          <w:t xml:space="preserve">Nature</w:t>
        </w:r>
      </w:hyperlink>
      <w:hyperlink r:id="rId841">
        <w:r w:rsidDel="00000000" w:rsidR="00000000" w:rsidRPr="00000000">
          <w:rPr>
            <w:color w:val="000000"/>
            <w:rtl w:val="0"/>
          </w:rPr>
          <w:t xml:space="preserve"> </w:t>
        </w:r>
      </w:hyperlink>
      <w:hyperlink r:id="rId842">
        <w:r w:rsidDel="00000000" w:rsidR="00000000" w:rsidRPr="00000000">
          <w:rPr>
            <w:b w:val="1"/>
            <w:color w:val="000000"/>
            <w:rtl w:val="0"/>
          </w:rPr>
          <w:t xml:space="preserve">536</w:t>
        </w:r>
      </w:hyperlink>
      <w:hyperlink r:id="rId843">
        <w:r w:rsidDel="00000000" w:rsidR="00000000" w:rsidRPr="00000000">
          <w:rPr>
            <w:color w:val="000000"/>
            <w:rtl w:val="0"/>
          </w:rPr>
          <w:t xml:space="preserve">, 419–424 (2016).</w:t>
        </w:r>
      </w:hyperlink>
      <w:r w:rsidDel="00000000" w:rsidR="00000000" w:rsidRPr="00000000">
        <w:rPr>
          <w:rtl w:val="0"/>
        </w:rPr>
      </w:r>
    </w:p>
    <w:p w:rsidR="00000000" w:rsidDel="00000000" w:rsidP="00000000" w:rsidRDefault="00000000" w:rsidRPr="00000000" w14:paraId="00000948">
      <w:pPr>
        <w:widowControl w:val="0"/>
        <w:pBdr>
          <w:top w:space="0" w:sz="0" w:val="nil"/>
          <w:left w:space="0" w:sz="0" w:val="nil"/>
          <w:bottom w:space="0" w:sz="0" w:val="nil"/>
          <w:right w:space="0" w:sz="0" w:val="nil"/>
          <w:between w:space="0" w:sz="0" w:val="nil"/>
        </w:pBdr>
        <w:spacing w:after="0" w:line="480" w:lineRule="auto"/>
        <w:ind w:left="440" w:hanging="440"/>
        <w:rPr>
          <w:color w:val="000000"/>
        </w:rPr>
      </w:pPr>
      <w:r w:rsidDel="00000000" w:rsidR="00000000" w:rsidRPr="00000000">
        <w:rPr>
          <w:color w:val="000000"/>
          <w:rtl w:val="0"/>
        </w:rPr>
        <w:t xml:space="preserve">115.</w:t>
        <w:tab/>
      </w:r>
      <w:hyperlink r:id="rId844">
        <w:r w:rsidDel="00000000" w:rsidR="00000000" w:rsidRPr="00000000">
          <w:rPr>
            <w:color w:val="000000"/>
            <w:rtl w:val="0"/>
          </w:rPr>
          <w:t xml:space="preserve">Lazaridis, I. </w:t>
        </w:r>
      </w:hyperlink>
      <w:hyperlink r:id="rId845">
        <w:r w:rsidDel="00000000" w:rsidR="00000000" w:rsidRPr="00000000">
          <w:rPr>
            <w:i w:val="1"/>
            <w:color w:val="000000"/>
            <w:rtl w:val="0"/>
          </w:rPr>
          <w:t xml:space="preserve">et al.</w:t>
        </w:r>
      </w:hyperlink>
      <w:hyperlink r:id="rId846">
        <w:r w:rsidDel="00000000" w:rsidR="00000000" w:rsidRPr="00000000">
          <w:rPr>
            <w:color w:val="000000"/>
            <w:rtl w:val="0"/>
          </w:rPr>
          <w:t xml:space="preserve"> Genetic origins of the Minoans and Mycenaeans. </w:t>
        </w:r>
      </w:hyperlink>
      <w:hyperlink r:id="rId847">
        <w:r w:rsidDel="00000000" w:rsidR="00000000" w:rsidRPr="00000000">
          <w:rPr>
            <w:i w:val="1"/>
            <w:color w:val="000000"/>
            <w:rtl w:val="0"/>
          </w:rPr>
          <w:t xml:space="preserve">Nature</w:t>
        </w:r>
      </w:hyperlink>
      <w:hyperlink r:id="rId848">
        <w:r w:rsidDel="00000000" w:rsidR="00000000" w:rsidRPr="00000000">
          <w:rPr>
            <w:color w:val="000000"/>
            <w:rtl w:val="0"/>
          </w:rPr>
          <w:t xml:space="preserve"> </w:t>
        </w:r>
      </w:hyperlink>
      <w:hyperlink r:id="rId849">
        <w:r w:rsidDel="00000000" w:rsidR="00000000" w:rsidRPr="00000000">
          <w:rPr>
            <w:b w:val="1"/>
            <w:color w:val="000000"/>
            <w:rtl w:val="0"/>
          </w:rPr>
          <w:t xml:space="preserve">548</w:t>
        </w:r>
      </w:hyperlink>
      <w:hyperlink r:id="rId850">
        <w:r w:rsidDel="00000000" w:rsidR="00000000" w:rsidRPr="00000000">
          <w:rPr>
            <w:color w:val="000000"/>
            <w:rtl w:val="0"/>
          </w:rPr>
          <w:t xml:space="preserve">, 214–218 (2017).</w:t>
        </w:r>
      </w:hyperlink>
      <w:r w:rsidDel="00000000" w:rsidR="00000000" w:rsidRPr="00000000">
        <w:rPr>
          <w:rtl w:val="0"/>
        </w:rPr>
      </w:r>
    </w:p>
    <w:p w:rsidR="00000000" w:rsidDel="00000000" w:rsidP="00000000" w:rsidRDefault="00000000" w:rsidRPr="00000000" w14:paraId="00000949">
      <w:pPr>
        <w:widowControl w:val="0"/>
        <w:pBdr>
          <w:top w:space="0" w:sz="0" w:val="nil"/>
          <w:left w:space="0" w:sz="0" w:val="nil"/>
          <w:bottom w:space="0" w:sz="0" w:val="nil"/>
          <w:right w:space="0" w:sz="0" w:val="nil"/>
          <w:between w:space="0" w:sz="0" w:val="nil"/>
        </w:pBdr>
        <w:spacing w:after="0" w:line="480" w:lineRule="auto"/>
        <w:ind w:left="440" w:hanging="440"/>
        <w:rPr>
          <w:color w:val="000000"/>
        </w:rPr>
      </w:pPr>
      <w:r w:rsidDel="00000000" w:rsidR="00000000" w:rsidRPr="00000000">
        <w:rPr>
          <w:color w:val="000000"/>
          <w:rtl w:val="0"/>
        </w:rPr>
        <w:t xml:space="preserve">116.</w:t>
        <w:tab/>
      </w:r>
      <w:hyperlink r:id="rId851">
        <w:r w:rsidDel="00000000" w:rsidR="00000000" w:rsidRPr="00000000">
          <w:rPr>
            <w:color w:val="000000"/>
            <w:rtl w:val="0"/>
          </w:rPr>
          <w:t xml:space="preserve">Linderholm, A. </w:t>
        </w:r>
      </w:hyperlink>
      <w:hyperlink r:id="rId852">
        <w:r w:rsidDel="00000000" w:rsidR="00000000" w:rsidRPr="00000000">
          <w:rPr>
            <w:i w:val="1"/>
            <w:color w:val="000000"/>
            <w:rtl w:val="0"/>
          </w:rPr>
          <w:t xml:space="preserve">et al.</w:t>
        </w:r>
      </w:hyperlink>
      <w:hyperlink r:id="rId853">
        <w:r w:rsidDel="00000000" w:rsidR="00000000" w:rsidRPr="00000000">
          <w:rPr>
            <w:color w:val="000000"/>
            <w:rtl w:val="0"/>
          </w:rPr>
          <w:t xml:space="preserve"> Corded Ware cultural complexity uncovered using genomic and isotopic analysis from south-eastern Poland. </w:t>
        </w:r>
      </w:hyperlink>
      <w:hyperlink r:id="rId854">
        <w:r w:rsidDel="00000000" w:rsidR="00000000" w:rsidRPr="00000000">
          <w:rPr>
            <w:i w:val="1"/>
            <w:color w:val="000000"/>
            <w:rtl w:val="0"/>
          </w:rPr>
          <w:t xml:space="preserve">Sci. Rep.</w:t>
        </w:r>
      </w:hyperlink>
      <w:hyperlink r:id="rId855">
        <w:r w:rsidDel="00000000" w:rsidR="00000000" w:rsidRPr="00000000">
          <w:rPr>
            <w:color w:val="000000"/>
            <w:rtl w:val="0"/>
          </w:rPr>
          <w:t xml:space="preserve"> </w:t>
        </w:r>
      </w:hyperlink>
      <w:hyperlink r:id="rId856">
        <w:r w:rsidDel="00000000" w:rsidR="00000000" w:rsidRPr="00000000">
          <w:rPr>
            <w:b w:val="1"/>
            <w:color w:val="000000"/>
            <w:rtl w:val="0"/>
          </w:rPr>
          <w:t xml:space="preserve">10</w:t>
        </w:r>
      </w:hyperlink>
      <w:hyperlink r:id="rId857">
        <w:r w:rsidDel="00000000" w:rsidR="00000000" w:rsidRPr="00000000">
          <w:rPr>
            <w:color w:val="000000"/>
            <w:rtl w:val="0"/>
          </w:rPr>
          <w:t xml:space="preserve">, 1–13 (2020).</w:t>
        </w:r>
      </w:hyperlink>
      <w:r w:rsidDel="00000000" w:rsidR="00000000" w:rsidRPr="00000000">
        <w:rPr>
          <w:rtl w:val="0"/>
        </w:rPr>
      </w:r>
    </w:p>
    <w:p w:rsidR="00000000" w:rsidDel="00000000" w:rsidP="00000000" w:rsidRDefault="00000000" w:rsidRPr="00000000" w14:paraId="0000094A">
      <w:pPr>
        <w:widowControl w:val="0"/>
        <w:pBdr>
          <w:top w:space="0" w:sz="0" w:val="nil"/>
          <w:left w:space="0" w:sz="0" w:val="nil"/>
          <w:bottom w:space="0" w:sz="0" w:val="nil"/>
          <w:right w:space="0" w:sz="0" w:val="nil"/>
          <w:between w:space="0" w:sz="0" w:val="nil"/>
        </w:pBdr>
        <w:spacing w:after="0" w:line="480" w:lineRule="auto"/>
        <w:ind w:left="440" w:hanging="440"/>
        <w:rPr>
          <w:color w:val="000000"/>
        </w:rPr>
      </w:pPr>
      <w:r w:rsidDel="00000000" w:rsidR="00000000" w:rsidRPr="00000000">
        <w:rPr>
          <w:color w:val="000000"/>
          <w:rtl w:val="0"/>
        </w:rPr>
        <w:t xml:space="preserve">117.</w:t>
        <w:tab/>
      </w:r>
      <w:hyperlink r:id="rId858">
        <w:r w:rsidDel="00000000" w:rsidR="00000000" w:rsidRPr="00000000">
          <w:rPr>
            <w:color w:val="000000"/>
            <w:rtl w:val="0"/>
          </w:rPr>
          <w:t xml:space="preserve">Lipson, M. </w:t>
        </w:r>
      </w:hyperlink>
      <w:hyperlink r:id="rId859">
        <w:r w:rsidDel="00000000" w:rsidR="00000000" w:rsidRPr="00000000">
          <w:rPr>
            <w:i w:val="1"/>
            <w:color w:val="000000"/>
            <w:rtl w:val="0"/>
          </w:rPr>
          <w:t xml:space="preserve">et al.</w:t>
        </w:r>
      </w:hyperlink>
      <w:hyperlink r:id="rId860">
        <w:r w:rsidDel="00000000" w:rsidR="00000000" w:rsidRPr="00000000">
          <w:rPr>
            <w:color w:val="000000"/>
            <w:rtl w:val="0"/>
          </w:rPr>
          <w:t xml:space="preserve"> Parallel palaeogenomic transects reveal complex genetic history of early European farmers. </w:t>
        </w:r>
      </w:hyperlink>
      <w:hyperlink r:id="rId861">
        <w:r w:rsidDel="00000000" w:rsidR="00000000" w:rsidRPr="00000000">
          <w:rPr>
            <w:i w:val="1"/>
            <w:color w:val="000000"/>
            <w:rtl w:val="0"/>
          </w:rPr>
          <w:t xml:space="preserve">Nature</w:t>
        </w:r>
      </w:hyperlink>
      <w:hyperlink r:id="rId862">
        <w:r w:rsidDel="00000000" w:rsidR="00000000" w:rsidRPr="00000000">
          <w:rPr>
            <w:color w:val="000000"/>
            <w:rtl w:val="0"/>
          </w:rPr>
          <w:t xml:space="preserve"> </w:t>
        </w:r>
      </w:hyperlink>
      <w:hyperlink r:id="rId863">
        <w:r w:rsidDel="00000000" w:rsidR="00000000" w:rsidRPr="00000000">
          <w:rPr>
            <w:b w:val="1"/>
            <w:color w:val="000000"/>
            <w:rtl w:val="0"/>
          </w:rPr>
          <w:t xml:space="preserve">551</w:t>
        </w:r>
      </w:hyperlink>
      <w:hyperlink r:id="rId864">
        <w:r w:rsidDel="00000000" w:rsidR="00000000" w:rsidRPr="00000000">
          <w:rPr>
            <w:color w:val="000000"/>
            <w:rtl w:val="0"/>
          </w:rPr>
          <w:t xml:space="preserve">, 368–372 (2017).</w:t>
        </w:r>
      </w:hyperlink>
      <w:r w:rsidDel="00000000" w:rsidR="00000000" w:rsidRPr="00000000">
        <w:rPr>
          <w:rtl w:val="0"/>
        </w:rPr>
      </w:r>
    </w:p>
    <w:p w:rsidR="00000000" w:rsidDel="00000000" w:rsidP="00000000" w:rsidRDefault="00000000" w:rsidRPr="00000000" w14:paraId="0000094B">
      <w:pPr>
        <w:widowControl w:val="0"/>
        <w:pBdr>
          <w:top w:space="0" w:sz="0" w:val="nil"/>
          <w:left w:space="0" w:sz="0" w:val="nil"/>
          <w:bottom w:space="0" w:sz="0" w:val="nil"/>
          <w:right w:space="0" w:sz="0" w:val="nil"/>
          <w:between w:space="0" w:sz="0" w:val="nil"/>
        </w:pBdr>
        <w:spacing w:after="0" w:line="480" w:lineRule="auto"/>
        <w:ind w:left="440" w:hanging="440"/>
        <w:rPr>
          <w:color w:val="000000"/>
        </w:rPr>
      </w:pPr>
      <w:r w:rsidDel="00000000" w:rsidR="00000000" w:rsidRPr="00000000">
        <w:rPr>
          <w:color w:val="000000"/>
          <w:rtl w:val="0"/>
        </w:rPr>
        <w:t xml:space="preserve">118.</w:t>
        <w:tab/>
      </w:r>
      <w:hyperlink r:id="rId865">
        <w:r w:rsidDel="00000000" w:rsidR="00000000" w:rsidRPr="00000000">
          <w:rPr>
            <w:color w:val="000000"/>
            <w:rtl w:val="0"/>
          </w:rPr>
          <w:t xml:space="preserve">Malmström, H. </w:t>
        </w:r>
      </w:hyperlink>
      <w:hyperlink r:id="rId866">
        <w:r w:rsidDel="00000000" w:rsidR="00000000" w:rsidRPr="00000000">
          <w:rPr>
            <w:i w:val="1"/>
            <w:color w:val="000000"/>
            <w:rtl w:val="0"/>
          </w:rPr>
          <w:t xml:space="preserve">et al.</w:t>
        </w:r>
      </w:hyperlink>
      <w:hyperlink r:id="rId867">
        <w:r w:rsidDel="00000000" w:rsidR="00000000" w:rsidRPr="00000000">
          <w:rPr>
            <w:color w:val="000000"/>
            <w:rtl w:val="0"/>
          </w:rPr>
          <w:t xml:space="preserve"> The genomic ancestry of the Scandinavian Battle Axe Culture people and their relation to the broader Corded Ware horizon. </w:t>
        </w:r>
      </w:hyperlink>
      <w:hyperlink r:id="rId868">
        <w:r w:rsidDel="00000000" w:rsidR="00000000" w:rsidRPr="00000000">
          <w:rPr>
            <w:i w:val="1"/>
            <w:color w:val="000000"/>
            <w:rtl w:val="0"/>
          </w:rPr>
          <w:t xml:space="preserve">Proceedings of the Royal Society B: Biological Sciences</w:t>
        </w:r>
      </w:hyperlink>
      <w:hyperlink r:id="rId869">
        <w:r w:rsidDel="00000000" w:rsidR="00000000" w:rsidRPr="00000000">
          <w:rPr>
            <w:color w:val="000000"/>
            <w:rtl w:val="0"/>
          </w:rPr>
          <w:t xml:space="preserve"> </w:t>
        </w:r>
      </w:hyperlink>
      <w:hyperlink r:id="rId870">
        <w:r w:rsidDel="00000000" w:rsidR="00000000" w:rsidRPr="00000000">
          <w:rPr>
            <w:b w:val="1"/>
            <w:color w:val="000000"/>
            <w:rtl w:val="0"/>
          </w:rPr>
          <w:t xml:space="preserve">286</w:t>
        </w:r>
      </w:hyperlink>
      <w:hyperlink r:id="rId871">
        <w:r w:rsidDel="00000000" w:rsidR="00000000" w:rsidRPr="00000000">
          <w:rPr>
            <w:color w:val="000000"/>
            <w:rtl w:val="0"/>
          </w:rPr>
          <w:t xml:space="preserve">, 20191528 (2019).</w:t>
        </w:r>
      </w:hyperlink>
      <w:r w:rsidDel="00000000" w:rsidR="00000000" w:rsidRPr="00000000">
        <w:rPr>
          <w:rtl w:val="0"/>
        </w:rPr>
      </w:r>
    </w:p>
    <w:p w:rsidR="00000000" w:rsidDel="00000000" w:rsidP="00000000" w:rsidRDefault="00000000" w:rsidRPr="00000000" w14:paraId="0000094C">
      <w:pPr>
        <w:widowControl w:val="0"/>
        <w:pBdr>
          <w:top w:space="0" w:sz="0" w:val="nil"/>
          <w:left w:space="0" w:sz="0" w:val="nil"/>
          <w:bottom w:space="0" w:sz="0" w:val="nil"/>
          <w:right w:space="0" w:sz="0" w:val="nil"/>
          <w:between w:space="0" w:sz="0" w:val="nil"/>
        </w:pBdr>
        <w:spacing w:after="0" w:line="480" w:lineRule="auto"/>
        <w:ind w:left="440" w:hanging="440"/>
        <w:rPr>
          <w:color w:val="000000"/>
        </w:rPr>
      </w:pPr>
      <w:r w:rsidDel="00000000" w:rsidR="00000000" w:rsidRPr="00000000">
        <w:rPr>
          <w:color w:val="000000"/>
          <w:rtl w:val="0"/>
        </w:rPr>
        <w:t xml:space="preserve">119.</w:t>
        <w:tab/>
      </w:r>
      <w:hyperlink r:id="rId872">
        <w:r w:rsidDel="00000000" w:rsidR="00000000" w:rsidRPr="00000000">
          <w:rPr>
            <w:color w:val="000000"/>
            <w:rtl w:val="0"/>
          </w:rPr>
          <w:t xml:space="preserve">Marcus, J. H. </w:t>
        </w:r>
      </w:hyperlink>
      <w:hyperlink r:id="rId873">
        <w:r w:rsidDel="00000000" w:rsidR="00000000" w:rsidRPr="00000000">
          <w:rPr>
            <w:i w:val="1"/>
            <w:color w:val="000000"/>
            <w:rtl w:val="0"/>
          </w:rPr>
          <w:t xml:space="preserve">et al.</w:t>
        </w:r>
      </w:hyperlink>
      <w:hyperlink r:id="rId874">
        <w:r w:rsidDel="00000000" w:rsidR="00000000" w:rsidRPr="00000000">
          <w:rPr>
            <w:color w:val="000000"/>
            <w:rtl w:val="0"/>
          </w:rPr>
          <w:t xml:space="preserve"> Genetic history from the Middle Neolithic to present on the Mediterranean island of Sardinia. </w:t>
        </w:r>
      </w:hyperlink>
      <w:hyperlink r:id="rId875">
        <w:r w:rsidDel="00000000" w:rsidR="00000000" w:rsidRPr="00000000">
          <w:rPr>
            <w:i w:val="1"/>
            <w:color w:val="000000"/>
            <w:rtl w:val="0"/>
          </w:rPr>
          <w:t xml:space="preserve">Nat. Commun.</w:t>
        </w:r>
      </w:hyperlink>
      <w:hyperlink r:id="rId876">
        <w:r w:rsidDel="00000000" w:rsidR="00000000" w:rsidRPr="00000000">
          <w:rPr>
            <w:color w:val="000000"/>
            <w:rtl w:val="0"/>
          </w:rPr>
          <w:t xml:space="preserve"> </w:t>
        </w:r>
      </w:hyperlink>
      <w:hyperlink r:id="rId877">
        <w:r w:rsidDel="00000000" w:rsidR="00000000" w:rsidRPr="00000000">
          <w:rPr>
            <w:b w:val="1"/>
            <w:color w:val="000000"/>
            <w:rtl w:val="0"/>
          </w:rPr>
          <w:t xml:space="preserve">11</w:t>
        </w:r>
      </w:hyperlink>
      <w:hyperlink r:id="rId878">
        <w:r w:rsidDel="00000000" w:rsidR="00000000" w:rsidRPr="00000000">
          <w:rPr>
            <w:color w:val="000000"/>
            <w:rtl w:val="0"/>
          </w:rPr>
          <w:t xml:space="preserve">, 1–14 (2020).</w:t>
        </w:r>
      </w:hyperlink>
      <w:r w:rsidDel="00000000" w:rsidR="00000000" w:rsidRPr="00000000">
        <w:rPr>
          <w:rtl w:val="0"/>
        </w:rPr>
      </w:r>
    </w:p>
    <w:p w:rsidR="00000000" w:rsidDel="00000000" w:rsidP="00000000" w:rsidRDefault="00000000" w:rsidRPr="00000000" w14:paraId="0000094D">
      <w:pPr>
        <w:widowControl w:val="0"/>
        <w:pBdr>
          <w:top w:space="0" w:sz="0" w:val="nil"/>
          <w:left w:space="0" w:sz="0" w:val="nil"/>
          <w:bottom w:space="0" w:sz="0" w:val="nil"/>
          <w:right w:space="0" w:sz="0" w:val="nil"/>
          <w:between w:space="0" w:sz="0" w:val="nil"/>
        </w:pBdr>
        <w:spacing w:after="0" w:line="480" w:lineRule="auto"/>
        <w:ind w:left="440" w:hanging="440"/>
        <w:rPr>
          <w:color w:val="000000"/>
        </w:rPr>
      </w:pPr>
      <w:r w:rsidDel="00000000" w:rsidR="00000000" w:rsidRPr="00000000">
        <w:rPr>
          <w:color w:val="000000"/>
          <w:rtl w:val="0"/>
        </w:rPr>
        <w:t xml:space="preserve">120.</w:t>
        <w:tab/>
      </w:r>
      <w:hyperlink r:id="rId879">
        <w:r w:rsidDel="00000000" w:rsidR="00000000" w:rsidRPr="00000000">
          <w:rPr>
            <w:color w:val="000000"/>
            <w:rtl w:val="0"/>
          </w:rPr>
          <w:t xml:space="preserve">Margaryan, A. </w:t>
        </w:r>
      </w:hyperlink>
      <w:hyperlink r:id="rId880">
        <w:r w:rsidDel="00000000" w:rsidR="00000000" w:rsidRPr="00000000">
          <w:rPr>
            <w:i w:val="1"/>
            <w:color w:val="000000"/>
            <w:rtl w:val="0"/>
          </w:rPr>
          <w:t xml:space="preserve">et al.</w:t>
        </w:r>
      </w:hyperlink>
      <w:hyperlink r:id="rId881">
        <w:r w:rsidDel="00000000" w:rsidR="00000000" w:rsidRPr="00000000">
          <w:rPr>
            <w:color w:val="000000"/>
            <w:rtl w:val="0"/>
          </w:rPr>
          <w:t xml:space="preserve"> Population genomics of the Viking world. </w:t>
        </w:r>
      </w:hyperlink>
      <w:hyperlink r:id="rId882">
        <w:r w:rsidDel="00000000" w:rsidR="00000000" w:rsidRPr="00000000">
          <w:rPr>
            <w:i w:val="1"/>
            <w:color w:val="000000"/>
            <w:rtl w:val="0"/>
          </w:rPr>
          <w:t xml:space="preserve">Nature</w:t>
        </w:r>
      </w:hyperlink>
      <w:hyperlink r:id="rId883">
        <w:r w:rsidDel="00000000" w:rsidR="00000000" w:rsidRPr="00000000">
          <w:rPr>
            <w:color w:val="000000"/>
            <w:rtl w:val="0"/>
          </w:rPr>
          <w:t xml:space="preserve"> </w:t>
        </w:r>
      </w:hyperlink>
      <w:hyperlink r:id="rId884">
        <w:r w:rsidDel="00000000" w:rsidR="00000000" w:rsidRPr="00000000">
          <w:rPr>
            <w:b w:val="1"/>
            <w:color w:val="000000"/>
            <w:rtl w:val="0"/>
          </w:rPr>
          <w:t xml:space="preserve">585</w:t>
        </w:r>
      </w:hyperlink>
      <w:hyperlink r:id="rId885">
        <w:r w:rsidDel="00000000" w:rsidR="00000000" w:rsidRPr="00000000">
          <w:rPr>
            <w:color w:val="000000"/>
            <w:rtl w:val="0"/>
          </w:rPr>
          <w:t xml:space="preserve">, 390–396 (2020).</w:t>
        </w:r>
      </w:hyperlink>
      <w:r w:rsidDel="00000000" w:rsidR="00000000" w:rsidRPr="00000000">
        <w:rPr>
          <w:rtl w:val="0"/>
        </w:rPr>
      </w:r>
    </w:p>
    <w:p w:rsidR="00000000" w:rsidDel="00000000" w:rsidP="00000000" w:rsidRDefault="00000000" w:rsidRPr="00000000" w14:paraId="0000094E">
      <w:pPr>
        <w:widowControl w:val="0"/>
        <w:pBdr>
          <w:top w:space="0" w:sz="0" w:val="nil"/>
          <w:left w:space="0" w:sz="0" w:val="nil"/>
          <w:bottom w:space="0" w:sz="0" w:val="nil"/>
          <w:right w:space="0" w:sz="0" w:val="nil"/>
          <w:between w:space="0" w:sz="0" w:val="nil"/>
        </w:pBdr>
        <w:spacing w:after="0" w:line="480" w:lineRule="auto"/>
        <w:ind w:left="440" w:hanging="440"/>
        <w:rPr>
          <w:color w:val="000000"/>
        </w:rPr>
      </w:pPr>
      <w:r w:rsidDel="00000000" w:rsidR="00000000" w:rsidRPr="00000000">
        <w:rPr>
          <w:color w:val="000000"/>
          <w:rtl w:val="0"/>
        </w:rPr>
        <w:t xml:space="preserve">121.</w:t>
        <w:tab/>
      </w:r>
      <w:hyperlink r:id="rId886">
        <w:r w:rsidDel="00000000" w:rsidR="00000000" w:rsidRPr="00000000">
          <w:rPr>
            <w:color w:val="000000"/>
            <w:rtl w:val="0"/>
          </w:rPr>
          <w:t xml:space="preserve">Martiniano, R. </w:t>
        </w:r>
      </w:hyperlink>
      <w:hyperlink r:id="rId887">
        <w:r w:rsidDel="00000000" w:rsidR="00000000" w:rsidRPr="00000000">
          <w:rPr>
            <w:i w:val="1"/>
            <w:color w:val="000000"/>
            <w:rtl w:val="0"/>
          </w:rPr>
          <w:t xml:space="preserve">et al.</w:t>
        </w:r>
      </w:hyperlink>
      <w:hyperlink r:id="rId888">
        <w:r w:rsidDel="00000000" w:rsidR="00000000" w:rsidRPr="00000000">
          <w:rPr>
            <w:color w:val="000000"/>
            <w:rtl w:val="0"/>
          </w:rPr>
          <w:t xml:space="preserve"> Genomic signals of migration and continuity in Britain before the Anglo-Saxons. </w:t>
        </w:r>
      </w:hyperlink>
      <w:hyperlink r:id="rId889">
        <w:r w:rsidDel="00000000" w:rsidR="00000000" w:rsidRPr="00000000">
          <w:rPr>
            <w:i w:val="1"/>
            <w:color w:val="000000"/>
            <w:rtl w:val="0"/>
          </w:rPr>
          <w:t xml:space="preserve">Nat. Commun.</w:t>
        </w:r>
      </w:hyperlink>
      <w:hyperlink r:id="rId890">
        <w:r w:rsidDel="00000000" w:rsidR="00000000" w:rsidRPr="00000000">
          <w:rPr>
            <w:color w:val="000000"/>
            <w:rtl w:val="0"/>
          </w:rPr>
          <w:t xml:space="preserve"> </w:t>
        </w:r>
      </w:hyperlink>
      <w:hyperlink r:id="rId891">
        <w:r w:rsidDel="00000000" w:rsidR="00000000" w:rsidRPr="00000000">
          <w:rPr>
            <w:b w:val="1"/>
            <w:color w:val="000000"/>
            <w:rtl w:val="0"/>
          </w:rPr>
          <w:t xml:space="preserve">7</w:t>
        </w:r>
      </w:hyperlink>
      <w:hyperlink r:id="rId892">
        <w:r w:rsidDel="00000000" w:rsidR="00000000" w:rsidRPr="00000000">
          <w:rPr>
            <w:color w:val="000000"/>
            <w:rtl w:val="0"/>
          </w:rPr>
          <w:t xml:space="preserve">, 10326 (2016).</w:t>
        </w:r>
      </w:hyperlink>
      <w:r w:rsidDel="00000000" w:rsidR="00000000" w:rsidRPr="00000000">
        <w:rPr>
          <w:rtl w:val="0"/>
        </w:rPr>
      </w:r>
    </w:p>
    <w:p w:rsidR="00000000" w:rsidDel="00000000" w:rsidP="00000000" w:rsidRDefault="00000000" w:rsidRPr="00000000" w14:paraId="0000094F">
      <w:pPr>
        <w:widowControl w:val="0"/>
        <w:pBdr>
          <w:top w:space="0" w:sz="0" w:val="nil"/>
          <w:left w:space="0" w:sz="0" w:val="nil"/>
          <w:bottom w:space="0" w:sz="0" w:val="nil"/>
          <w:right w:space="0" w:sz="0" w:val="nil"/>
          <w:between w:space="0" w:sz="0" w:val="nil"/>
        </w:pBdr>
        <w:spacing w:after="0" w:line="480" w:lineRule="auto"/>
        <w:ind w:left="440" w:hanging="440"/>
        <w:rPr>
          <w:color w:val="000000"/>
        </w:rPr>
      </w:pPr>
      <w:r w:rsidDel="00000000" w:rsidR="00000000" w:rsidRPr="00000000">
        <w:rPr>
          <w:color w:val="000000"/>
          <w:rtl w:val="0"/>
        </w:rPr>
        <w:t xml:space="preserve">122.</w:t>
        <w:tab/>
      </w:r>
      <w:hyperlink r:id="rId893">
        <w:r w:rsidDel="00000000" w:rsidR="00000000" w:rsidRPr="00000000">
          <w:rPr>
            <w:color w:val="000000"/>
            <w:rtl w:val="0"/>
          </w:rPr>
          <w:t xml:space="preserve">Martiniano, R. </w:t>
        </w:r>
      </w:hyperlink>
      <w:hyperlink r:id="rId894">
        <w:r w:rsidDel="00000000" w:rsidR="00000000" w:rsidRPr="00000000">
          <w:rPr>
            <w:i w:val="1"/>
            <w:color w:val="000000"/>
            <w:rtl w:val="0"/>
          </w:rPr>
          <w:t xml:space="preserve">et al.</w:t>
        </w:r>
      </w:hyperlink>
      <w:hyperlink r:id="rId895">
        <w:r w:rsidDel="00000000" w:rsidR="00000000" w:rsidRPr="00000000">
          <w:rPr>
            <w:color w:val="000000"/>
            <w:rtl w:val="0"/>
          </w:rPr>
          <w:t xml:space="preserve"> The population genomics of archaeological transition in west Iberia: Investigation of ancient substructure using imputation and haplotype-based methods. </w:t>
        </w:r>
      </w:hyperlink>
      <w:hyperlink r:id="rId896">
        <w:r w:rsidDel="00000000" w:rsidR="00000000" w:rsidRPr="00000000">
          <w:rPr>
            <w:i w:val="1"/>
            <w:color w:val="000000"/>
            <w:rtl w:val="0"/>
          </w:rPr>
          <w:t xml:space="preserve">PLoS Genet.</w:t>
        </w:r>
      </w:hyperlink>
      <w:hyperlink r:id="rId897">
        <w:r w:rsidDel="00000000" w:rsidR="00000000" w:rsidRPr="00000000">
          <w:rPr>
            <w:color w:val="000000"/>
            <w:rtl w:val="0"/>
          </w:rPr>
          <w:t xml:space="preserve"> </w:t>
        </w:r>
      </w:hyperlink>
      <w:hyperlink r:id="rId898">
        <w:r w:rsidDel="00000000" w:rsidR="00000000" w:rsidRPr="00000000">
          <w:rPr>
            <w:b w:val="1"/>
            <w:color w:val="000000"/>
            <w:rtl w:val="0"/>
          </w:rPr>
          <w:t xml:space="preserve">13</w:t>
        </w:r>
      </w:hyperlink>
      <w:hyperlink r:id="rId899">
        <w:r w:rsidDel="00000000" w:rsidR="00000000" w:rsidRPr="00000000">
          <w:rPr>
            <w:color w:val="000000"/>
            <w:rtl w:val="0"/>
          </w:rPr>
          <w:t xml:space="preserve">, e1006852 (2017).</w:t>
        </w:r>
      </w:hyperlink>
      <w:r w:rsidDel="00000000" w:rsidR="00000000" w:rsidRPr="00000000">
        <w:rPr>
          <w:rtl w:val="0"/>
        </w:rPr>
      </w:r>
    </w:p>
    <w:p w:rsidR="00000000" w:rsidDel="00000000" w:rsidP="00000000" w:rsidRDefault="00000000" w:rsidRPr="00000000" w14:paraId="00000950">
      <w:pPr>
        <w:widowControl w:val="0"/>
        <w:pBdr>
          <w:top w:space="0" w:sz="0" w:val="nil"/>
          <w:left w:space="0" w:sz="0" w:val="nil"/>
          <w:bottom w:space="0" w:sz="0" w:val="nil"/>
          <w:right w:space="0" w:sz="0" w:val="nil"/>
          <w:between w:space="0" w:sz="0" w:val="nil"/>
        </w:pBdr>
        <w:spacing w:after="0" w:line="480" w:lineRule="auto"/>
        <w:ind w:left="440" w:hanging="440"/>
        <w:rPr>
          <w:color w:val="000000"/>
        </w:rPr>
      </w:pPr>
      <w:r w:rsidDel="00000000" w:rsidR="00000000" w:rsidRPr="00000000">
        <w:rPr>
          <w:color w:val="000000"/>
          <w:rtl w:val="0"/>
        </w:rPr>
        <w:t xml:space="preserve">123.</w:t>
        <w:tab/>
      </w:r>
      <w:hyperlink r:id="rId900">
        <w:r w:rsidDel="00000000" w:rsidR="00000000" w:rsidRPr="00000000">
          <w:rPr>
            <w:color w:val="000000"/>
            <w:rtl w:val="0"/>
          </w:rPr>
          <w:t xml:space="preserve">Mathieson, I. </w:t>
        </w:r>
      </w:hyperlink>
      <w:hyperlink r:id="rId901">
        <w:r w:rsidDel="00000000" w:rsidR="00000000" w:rsidRPr="00000000">
          <w:rPr>
            <w:i w:val="1"/>
            <w:color w:val="000000"/>
            <w:rtl w:val="0"/>
          </w:rPr>
          <w:t xml:space="preserve">et al.</w:t>
        </w:r>
      </w:hyperlink>
      <w:hyperlink r:id="rId902">
        <w:r w:rsidDel="00000000" w:rsidR="00000000" w:rsidRPr="00000000">
          <w:rPr>
            <w:color w:val="000000"/>
            <w:rtl w:val="0"/>
          </w:rPr>
          <w:t xml:space="preserve"> Genome-wide patterns of selection in 230 ancient Eurasians. </w:t>
        </w:r>
      </w:hyperlink>
      <w:hyperlink r:id="rId903">
        <w:r w:rsidDel="00000000" w:rsidR="00000000" w:rsidRPr="00000000">
          <w:rPr>
            <w:i w:val="1"/>
            <w:color w:val="000000"/>
            <w:rtl w:val="0"/>
          </w:rPr>
          <w:t xml:space="preserve">Nature</w:t>
        </w:r>
      </w:hyperlink>
      <w:hyperlink r:id="rId904">
        <w:r w:rsidDel="00000000" w:rsidR="00000000" w:rsidRPr="00000000">
          <w:rPr>
            <w:color w:val="000000"/>
            <w:rtl w:val="0"/>
          </w:rPr>
          <w:t xml:space="preserve"> </w:t>
        </w:r>
      </w:hyperlink>
      <w:hyperlink r:id="rId905">
        <w:r w:rsidDel="00000000" w:rsidR="00000000" w:rsidRPr="00000000">
          <w:rPr>
            <w:b w:val="1"/>
            <w:color w:val="000000"/>
            <w:rtl w:val="0"/>
          </w:rPr>
          <w:t xml:space="preserve">528</w:t>
        </w:r>
      </w:hyperlink>
      <w:hyperlink r:id="rId906">
        <w:r w:rsidDel="00000000" w:rsidR="00000000" w:rsidRPr="00000000">
          <w:rPr>
            <w:color w:val="000000"/>
            <w:rtl w:val="0"/>
          </w:rPr>
          <w:t xml:space="preserve">, 499–503 (2015).</w:t>
        </w:r>
      </w:hyperlink>
      <w:r w:rsidDel="00000000" w:rsidR="00000000" w:rsidRPr="00000000">
        <w:rPr>
          <w:rtl w:val="0"/>
        </w:rPr>
      </w:r>
    </w:p>
    <w:p w:rsidR="00000000" w:rsidDel="00000000" w:rsidP="00000000" w:rsidRDefault="00000000" w:rsidRPr="00000000" w14:paraId="00000951">
      <w:pPr>
        <w:widowControl w:val="0"/>
        <w:pBdr>
          <w:top w:space="0" w:sz="0" w:val="nil"/>
          <w:left w:space="0" w:sz="0" w:val="nil"/>
          <w:bottom w:space="0" w:sz="0" w:val="nil"/>
          <w:right w:space="0" w:sz="0" w:val="nil"/>
          <w:between w:space="0" w:sz="0" w:val="nil"/>
        </w:pBdr>
        <w:spacing w:after="0" w:line="480" w:lineRule="auto"/>
        <w:ind w:left="440" w:hanging="440"/>
        <w:rPr>
          <w:color w:val="000000"/>
        </w:rPr>
      </w:pPr>
      <w:r w:rsidDel="00000000" w:rsidR="00000000" w:rsidRPr="00000000">
        <w:rPr>
          <w:color w:val="000000"/>
          <w:rtl w:val="0"/>
        </w:rPr>
        <w:t xml:space="preserve">124.</w:t>
        <w:tab/>
      </w:r>
      <w:hyperlink r:id="rId907">
        <w:r w:rsidDel="00000000" w:rsidR="00000000" w:rsidRPr="00000000">
          <w:rPr>
            <w:color w:val="000000"/>
            <w:rtl w:val="0"/>
          </w:rPr>
          <w:t xml:space="preserve">Mathieson, I. </w:t>
        </w:r>
      </w:hyperlink>
      <w:hyperlink r:id="rId908">
        <w:r w:rsidDel="00000000" w:rsidR="00000000" w:rsidRPr="00000000">
          <w:rPr>
            <w:i w:val="1"/>
            <w:color w:val="000000"/>
            <w:rtl w:val="0"/>
          </w:rPr>
          <w:t xml:space="preserve">et al.</w:t>
        </w:r>
      </w:hyperlink>
      <w:hyperlink r:id="rId909">
        <w:r w:rsidDel="00000000" w:rsidR="00000000" w:rsidRPr="00000000">
          <w:rPr>
            <w:color w:val="000000"/>
            <w:rtl w:val="0"/>
          </w:rPr>
          <w:t xml:space="preserve"> The genomic history of southeastern Europe. </w:t>
        </w:r>
      </w:hyperlink>
      <w:hyperlink r:id="rId910">
        <w:r w:rsidDel="00000000" w:rsidR="00000000" w:rsidRPr="00000000">
          <w:rPr>
            <w:i w:val="1"/>
            <w:color w:val="000000"/>
            <w:rtl w:val="0"/>
          </w:rPr>
          <w:t xml:space="preserve">Nature</w:t>
        </w:r>
      </w:hyperlink>
      <w:hyperlink r:id="rId911">
        <w:r w:rsidDel="00000000" w:rsidR="00000000" w:rsidRPr="00000000">
          <w:rPr>
            <w:color w:val="000000"/>
            <w:rtl w:val="0"/>
          </w:rPr>
          <w:t xml:space="preserve"> </w:t>
        </w:r>
      </w:hyperlink>
      <w:hyperlink r:id="rId912">
        <w:r w:rsidDel="00000000" w:rsidR="00000000" w:rsidRPr="00000000">
          <w:rPr>
            <w:b w:val="1"/>
            <w:color w:val="000000"/>
            <w:rtl w:val="0"/>
          </w:rPr>
          <w:t xml:space="preserve">555</w:t>
        </w:r>
      </w:hyperlink>
      <w:hyperlink r:id="rId913">
        <w:r w:rsidDel="00000000" w:rsidR="00000000" w:rsidRPr="00000000">
          <w:rPr>
            <w:color w:val="000000"/>
            <w:rtl w:val="0"/>
          </w:rPr>
          <w:t xml:space="preserve">, 197–203 (2018).</w:t>
        </w:r>
      </w:hyperlink>
      <w:r w:rsidDel="00000000" w:rsidR="00000000" w:rsidRPr="00000000">
        <w:rPr>
          <w:rtl w:val="0"/>
        </w:rPr>
      </w:r>
    </w:p>
    <w:p w:rsidR="00000000" w:rsidDel="00000000" w:rsidP="00000000" w:rsidRDefault="00000000" w:rsidRPr="00000000" w14:paraId="00000952">
      <w:pPr>
        <w:widowControl w:val="0"/>
        <w:pBdr>
          <w:top w:space="0" w:sz="0" w:val="nil"/>
          <w:left w:space="0" w:sz="0" w:val="nil"/>
          <w:bottom w:space="0" w:sz="0" w:val="nil"/>
          <w:right w:space="0" w:sz="0" w:val="nil"/>
          <w:between w:space="0" w:sz="0" w:val="nil"/>
        </w:pBdr>
        <w:spacing w:after="0" w:line="480" w:lineRule="auto"/>
        <w:ind w:left="440" w:hanging="440"/>
        <w:rPr>
          <w:color w:val="000000"/>
        </w:rPr>
      </w:pPr>
      <w:r w:rsidDel="00000000" w:rsidR="00000000" w:rsidRPr="00000000">
        <w:rPr>
          <w:color w:val="000000"/>
          <w:rtl w:val="0"/>
        </w:rPr>
        <w:t xml:space="preserve">125.</w:t>
        <w:tab/>
      </w:r>
      <w:hyperlink r:id="rId914">
        <w:r w:rsidDel="00000000" w:rsidR="00000000" w:rsidRPr="00000000">
          <w:rPr>
            <w:color w:val="000000"/>
            <w:rtl w:val="0"/>
          </w:rPr>
          <w:t xml:space="preserve">Mittnik, A. </w:t>
        </w:r>
      </w:hyperlink>
      <w:hyperlink r:id="rId915">
        <w:r w:rsidDel="00000000" w:rsidR="00000000" w:rsidRPr="00000000">
          <w:rPr>
            <w:i w:val="1"/>
            <w:color w:val="000000"/>
            <w:rtl w:val="0"/>
          </w:rPr>
          <w:t xml:space="preserve">et al.</w:t>
        </w:r>
      </w:hyperlink>
      <w:hyperlink r:id="rId916">
        <w:r w:rsidDel="00000000" w:rsidR="00000000" w:rsidRPr="00000000">
          <w:rPr>
            <w:color w:val="000000"/>
            <w:rtl w:val="0"/>
          </w:rPr>
          <w:t xml:space="preserve"> The genetic prehistory of the Baltic Sea region. </w:t>
        </w:r>
      </w:hyperlink>
      <w:hyperlink r:id="rId917">
        <w:r w:rsidDel="00000000" w:rsidR="00000000" w:rsidRPr="00000000">
          <w:rPr>
            <w:i w:val="1"/>
            <w:color w:val="000000"/>
            <w:rtl w:val="0"/>
          </w:rPr>
          <w:t xml:space="preserve">Nat. Commun.</w:t>
        </w:r>
      </w:hyperlink>
      <w:hyperlink r:id="rId918">
        <w:r w:rsidDel="00000000" w:rsidR="00000000" w:rsidRPr="00000000">
          <w:rPr>
            <w:color w:val="000000"/>
            <w:rtl w:val="0"/>
          </w:rPr>
          <w:t xml:space="preserve"> </w:t>
        </w:r>
      </w:hyperlink>
      <w:hyperlink r:id="rId919">
        <w:r w:rsidDel="00000000" w:rsidR="00000000" w:rsidRPr="00000000">
          <w:rPr>
            <w:b w:val="1"/>
            <w:color w:val="000000"/>
            <w:rtl w:val="0"/>
          </w:rPr>
          <w:t xml:space="preserve">9</w:t>
        </w:r>
      </w:hyperlink>
      <w:hyperlink r:id="rId920">
        <w:r w:rsidDel="00000000" w:rsidR="00000000" w:rsidRPr="00000000">
          <w:rPr>
            <w:color w:val="000000"/>
            <w:rtl w:val="0"/>
          </w:rPr>
          <w:t xml:space="preserve">, 442 (2018).</w:t>
        </w:r>
      </w:hyperlink>
      <w:r w:rsidDel="00000000" w:rsidR="00000000" w:rsidRPr="00000000">
        <w:rPr>
          <w:rtl w:val="0"/>
        </w:rPr>
      </w:r>
    </w:p>
    <w:p w:rsidR="00000000" w:rsidDel="00000000" w:rsidP="00000000" w:rsidRDefault="00000000" w:rsidRPr="00000000" w14:paraId="00000953">
      <w:pPr>
        <w:widowControl w:val="0"/>
        <w:pBdr>
          <w:top w:space="0" w:sz="0" w:val="nil"/>
          <w:left w:space="0" w:sz="0" w:val="nil"/>
          <w:bottom w:space="0" w:sz="0" w:val="nil"/>
          <w:right w:space="0" w:sz="0" w:val="nil"/>
          <w:between w:space="0" w:sz="0" w:val="nil"/>
        </w:pBdr>
        <w:spacing w:after="0" w:line="480" w:lineRule="auto"/>
        <w:ind w:left="440" w:hanging="440"/>
        <w:rPr>
          <w:color w:val="000000"/>
        </w:rPr>
      </w:pPr>
      <w:r w:rsidDel="00000000" w:rsidR="00000000" w:rsidRPr="00000000">
        <w:rPr>
          <w:color w:val="000000"/>
          <w:rtl w:val="0"/>
        </w:rPr>
        <w:t xml:space="preserve">126.</w:t>
        <w:tab/>
      </w:r>
      <w:hyperlink r:id="rId921">
        <w:r w:rsidDel="00000000" w:rsidR="00000000" w:rsidRPr="00000000">
          <w:rPr>
            <w:color w:val="000000"/>
            <w:rtl w:val="0"/>
          </w:rPr>
          <w:t xml:space="preserve">Mittnik, A. </w:t>
        </w:r>
      </w:hyperlink>
      <w:hyperlink r:id="rId922">
        <w:r w:rsidDel="00000000" w:rsidR="00000000" w:rsidRPr="00000000">
          <w:rPr>
            <w:i w:val="1"/>
            <w:color w:val="000000"/>
            <w:rtl w:val="0"/>
          </w:rPr>
          <w:t xml:space="preserve">et al.</w:t>
        </w:r>
      </w:hyperlink>
      <w:hyperlink r:id="rId923">
        <w:r w:rsidDel="00000000" w:rsidR="00000000" w:rsidRPr="00000000">
          <w:rPr>
            <w:color w:val="000000"/>
            <w:rtl w:val="0"/>
          </w:rPr>
          <w:t xml:space="preserve"> Kinship-based social inequality in Bronze Age Europe. </w:t>
        </w:r>
      </w:hyperlink>
      <w:hyperlink r:id="rId924">
        <w:r w:rsidDel="00000000" w:rsidR="00000000" w:rsidRPr="00000000">
          <w:rPr>
            <w:i w:val="1"/>
            <w:color w:val="000000"/>
            <w:rtl w:val="0"/>
          </w:rPr>
          <w:t xml:space="preserve">Science</w:t>
        </w:r>
      </w:hyperlink>
      <w:hyperlink r:id="rId925">
        <w:r w:rsidDel="00000000" w:rsidR="00000000" w:rsidRPr="00000000">
          <w:rPr>
            <w:color w:val="000000"/>
            <w:rtl w:val="0"/>
          </w:rPr>
          <w:t xml:space="preserve"> </w:t>
        </w:r>
      </w:hyperlink>
      <w:hyperlink r:id="rId926">
        <w:r w:rsidDel="00000000" w:rsidR="00000000" w:rsidRPr="00000000">
          <w:rPr>
            <w:b w:val="1"/>
            <w:color w:val="000000"/>
            <w:rtl w:val="0"/>
          </w:rPr>
          <w:t xml:space="preserve">366</w:t>
        </w:r>
      </w:hyperlink>
      <w:hyperlink r:id="rId927">
        <w:r w:rsidDel="00000000" w:rsidR="00000000" w:rsidRPr="00000000">
          <w:rPr>
            <w:color w:val="000000"/>
            <w:rtl w:val="0"/>
          </w:rPr>
          <w:t xml:space="preserve">, 731–734 (2019).</w:t>
        </w:r>
      </w:hyperlink>
      <w:r w:rsidDel="00000000" w:rsidR="00000000" w:rsidRPr="00000000">
        <w:rPr>
          <w:rtl w:val="0"/>
        </w:rPr>
      </w:r>
    </w:p>
    <w:p w:rsidR="00000000" w:rsidDel="00000000" w:rsidP="00000000" w:rsidRDefault="00000000" w:rsidRPr="00000000" w14:paraId="00000954">
      <w:pPr>
        <w:widowControl w:val="0"/>
        <w:pBdr>
          <w:top w:space="0" w:sz="0" w:val="nil"/>
          <w:left w:space="0" w:sz="0" w:val="nil"/>
          <w:bottom w:space="0" w:sz="0" w:val="nil"/>
          <w:right w:space="0" w:sz="0" w:val="nil"/>
          <w:between w:space="0" w:sz="0" w:val="nil"/>
        </w:pBdr>
        <w:spacing w:after="0" w:line="480" w:lineRule="auto"/>
        <w:ind w:left="440" w:hanging="440"/>
        <w:rPr>
          <w:color w:val="000000"/>
        </w:rPr>
      </w:pPr>
      <w:r w:rsidDel="00000000" w:rsidR="00000000" w:rsidRPr="00000000">
        <w:rPr>
          <w:color w:val="000000"/>
          <w:rtl w:val="0"/>
        </w:rPr>
        <w:t xml:space="preserve">127.</w:t>
        <w:tab/>
      </w:r>
      <w:hyperlink r:id="rId928">
        <w:r w:rsidDel="00000000" w:rsidR="00000000" w:rsidRPr="00000000">
          <w:rPr>
            <w:color w:val="000000"/>
            <w:rtl w:val="0"/>
          </w:rPr>
          <w:t xml:space="preserve">Narasimhan, V. M. </w:t>
        </w:r>
      </w:hyperlink>
      <w:hyperlink r:id="rId929">
        <w:r w:rsidDel="00000000" w:rsidR="00000000" w:rsidRPr="00000000">
          <w:rPr>
            <w:i w:val="1"/>
            <w:color w:val="000000"/>
            <w:rtl w:val="0"/>
          </w:rPr>
          <w:t xml:space="preserve">et al.</w:t>
        </w:r>
      </w:hyperlink>
      <w:hyperlink r:id="rId930">
        <w:r w:rsidDel="00000000" w:rsidR="00000000" w:rsidRPr="00000000">
          <w:rPr>
            <w:color w:val="000000"/>
            <w:rtl w:val="0"/>
          </w:rPr>
          <w:t xml:space="preserve"> The formation of human populations in South and Central Asia. </w:t>
        </w:r>
      </w:hyperlink>
      <w:hyperlink r:id="rId931">
        <w:r w:rsidDel="00000000" w:rsidR="00000000" w:rsidRPr="00000000">
          <w:rPr>
            <w:i w:val="1"/>
            <w:color w:val="000000"/>
            <w:rtl w:val="0"/>
          </w:rPr>
          <w:t xml:space="preserve">Science</w:t>
        </w:r>
      </w:hyperlink>
      <w:hyperlink r:id="rId932">
        <w:r w:rsidDel="00000000" w:rsidR="00000000" w:rsidRPr="00000000">
          <w:rPr>
            <w:color w:val="000000"/>
            <w:rtl w:val="0"/>
          </w:rPr>
          <w:t xml:space="preserve"> </w:t>
        </w:r>
      </w:hyperlink>
      <w:hyperlink r:id="rId933">
        <w:r w:rsidDel="00000000" w:rsidR="00000000" w:rsidRPr="00000000">
          <w:rPr>
            <w:b w:val="1"/>
            <w:color w:val="000000"/>
            <w:rtl w:val="0"/>
          </w:rPr>
          <w:t xml:space="preserve">365</w:t>
        </w:r>
      </w:hyperlink>
      <w:hyperlink r:id="rId934">
        <w:r w:rsidDel="00000000" w:rsidR="00000000" w:rsidRPr="00000000">
          <w:rPr>
            <w:color w:val="000000"/>
            <w:rtl w:val="0"/>
          </w:rPr>
          <w:t xml:space="preserve">, (2019).</w:t>
        </w:r>
      </w:hyperlink>
      <w:r w:rsidDel="00000000" w:rsidR="00000000" w:rsidRPr="00000000">
        <w:rPr>
          <w:rtl w:val="0"/>
        </w:rPr>
      </w:r>
    </w:p>
    <w:p w:rsidR="00000000" w:rsidDel="00000000" w:rsidP="00000000" w:rsidRDefault="00000000" w:rsidRPr="00000000" w14:paraId="00000955">
      <w:pPr>
        <w:widowControl w:val="0"/>
        <w:pBdr>
          <w:top w:space="0" w:sz="0" w:val="nil"/>
          <w:left w:space="0" w:sz="0" w:val="nil"/>
          <w:bottom w:space="0" w:sz="0" w:val="nil"/>
          <w:right w:space="0" w:sz="0" w:val="nil"/>
          <w:between w:space="0" w:sz="0" w:val="nil"/>
        </w:pBdr>
        <w:spacing w:after="0" w:line="480" w:lineRule="auto"/>
        <w:ind w:left="440" w:hanging="440"/>
        <w:rPr>
          <w:color w:val="000000"/>
        </w:rPr>
      </w:pPr>
      <w:r w:rsidDel="00000000" w:rsidR="00000000" w:rsidRPr="00000000">
        <w:rPr>
          <w:color w:val="000000"/>
          <w:rtl w:val="0"/>
        </w:rPr>
        <w:t xml:space="preserve">128.</w:t>
        <w:tab/>
      </w:r>
      <w:hyperlink r:id="rId935">
        <w:r w:rsidDel="00000000" w:rsidR="00000000" w:rsidRPr="00000000">
          <w:rPr>
            <w:color w:val="000000"/>
            <w:rtl w:val="0"/>
          </w:rPr>
          <w:t xml:space="preserve">Nikitin, A. G. </w:t>
        </w:r>
      </w:hyperlink>
      <w:hyperlink r:id="rId936">
        <w:r w:rsidDel="00000000" w:rsidR="00000000" w:rsidRPr="00000000">
          <w:rPr>
            <w:i w:val="1"/>
            <w:color w:val="000000"/>
            <w:rtl w:val="0"/>
          </w:rPr>
          <w:t xml:space="preserve">et al.</w:t>
        </w:r>
      </w:hyperlink>
      <w:hyperlink r:id="rId937">
        <w:r w:rsidDel="00000000" w:rsidR="00000000" w:rsidRPr="00000000">
          <w:rPr>
            <w:color w:val="000000"/>
            <w:rtl w:val="0"/>
          </w:rPr>
          <w:t xml:space="preserve"> Interactions between earliest Linearbandkeramik farmers and central European hunter gatherers at the dawn of European Neolithization. </w:t>
        </w:r>
      </w:hyperlink>
      <w:hyperlink r:id="rId938">
        <w:r w:rsidDel="00000000" w:rsidR="00000000" w:rsidRPr="00000000">
          <w:rPr>
            <w:i w:val="1"/>
            <w:color w:val="000000"/>
            <w:rtl w:val="0"/>
          </w:rPr>
          <w:t xml:space="preserve">Sci. Rep.</w:t>
        </w:r>
      </w:hyperlink>
      <w:hyperlink r:id="rId939">
        <w:r w:rsidDel="00000000" w:rsidR="00000000" w:rsidRPr="00000000">
          <w:rPr>
            <w:color w:val="000000"/>
            <w:rtl w:val="0"/>
          </w:rPr>
          <w:t xml:space="preserve"> </w:t>
        </w:r>
      </w:hyperlink>
      <w:hyperlink r:id="rId940">
        <w:r w:rsidDel="00000000" w:rsidR="00000000" w:rsidRPr="00000000">
          <w:rPr>
            <w:b w:val="1"/>
            <w:color w:val="000000"/>
            <w:rtl w:val="0"/>
          </w:rPr>
          <w:t xml:space="preserve">9</w:t>
        </w:r>
      </w:hyperlink>
      <w:hyperlink r:id="rId941">
        <w:r w:rsidDel="00000000" w:rsidR="00000000" w:rsidRPr="00000000">
          <w:rPr>
            <w:color w:val="000000"/>
            <w:rtl w:val="0"/>
          </w:rPr>
          <w:t xml:space="preserve">, 1–10 (2019).</w:t>
        </w:r>
      </w:hyperlink>
      <w:r w:rsidDel="00000000" w:rsidR="00000000" w:rsidRPr="00000000">
        <w:rPr>
          <w:rtl w:val="0"/>
        </w:rPr>
      </w:r>
    </w:p>
    <w:p w:rsidR="00000000" w:rsidDel="00000000" w:rsidP="00000000" w:rsidRDefault="00000000" w:rsidRPr="00000000" w14:paraId="00000956">
      <w:pPr>
        <w:widowControl w:val="0"/>
        <w:pBdr>
          <w:top w:space="0" w:sz="0" w:val="nil"/>
          <w:left w:space="0" w:sz="0" w:val="nil"/>
          <w:bottom w:space="0" w:sz="0" w:val="nil"/>
          <w:right w:space="0" w:sz="0" w:val="nil"/>
          <w:between w:space="0" w:sz="0" w:val="nil"/>
        </w:pBdr>
        <w:spacing w:after="0" w:line="480" w:lineRule="auto"/>
        <w:ind w:left="440" w:hanging="440"/>
        <w:rPr>
          <w:color w:val="000000"/>
        </w:rPr>
      </w:pPr>
      <w:r w:rsidDel="00000000" w:rsidR="00000000" w:rsidRPr="00000000">
        <w:rPr>
          <w:color w:val="000000"/>
          <w:rtl w:val="0"/>
        </w:rPr>
        <w:t xml:space="preserve">129.</w:t>
        <w:tab/>
      </w:r>
      <w:hyperlink r:id="rId942">
        <w:r w:rsidDel="00000000" w:rsidR="00000000" w:rsidRPr="00000000">
          <w:rPr>
            <w:color w:val="000000"/>
            <w:rtl w:val="0"/>
          </w:rPr>
          <w:t xml:space="preserve">Novak, M. </w:t>
        </w:r>
      </w:hyperlink>
      <w:hyperlink r:id="rId943">
        <w:r w:rsidDel="00000000" w:rsidR="00000000" w:rsidRPr="00000000">
          <w:rPr>
            <w:i w:val="1"/>
            <w:color w:val="000000"/>
            <w:rtl w:val="0"/>
          </w:rPr>
          <w:t xml:space="preserve">et al.</w:t>
        </w:r>
      </w:hyperlink>
      <w:hyperlink r:id="rId944">
        <w:r w:rsidDel="00000000" w:rsidR="00000000" w:rsidRPr="00000000">
          <w:rPr>
            <w:color w:val="000000"/>
            <w:rtl w:val="0"/>
          </w:rPr>
          <w:t xml:space="preserve"> Genome-wide analysis of nearly all the victims of a 6200 year old massacre. </w:t>
        </w:r>
      </w:hyperlink>
      <w:hyperlink r:id="rId945">
        <w:r w:rsidDel="00000000" w:rsidR="00000000" w:rsidRPr="00000000">
          <w:rPr>
            <w:i w:val="1"/>
            <w:color w:val="000000"/>
            <w:rtl w:val="0"/>
          </w:rPr>
          <w:t xml:space="preserve">PLoS One</w:t>
        </w:r>
      </w:hyperlink>
      <w:hyperlink r:id="rId946">
        <w:r w:rsidDel="00000000" w:rsidR="00000000" w:rsidRPr="00000000">
          <w:rPr>
            <w:color w:val="000000"/>
            <w:rtl w:val="0"/>
          </w:rPr>
          <w:t xml:space="preserve"> </w:t>
        </w:r>
      </w:hyperlink>
      <w:hyperlink r:id="rId947">
        <w:r w:rsidDel="00000000" w:rsidR="00000000" w:rsidRPr="00000000">
          <w:rPr>
            <w:b w:val="1"/>
            <w:color w:val="000000"/>
            <w:rtl w:val="0"/>
          </w:rPr>
          <w:t xml:space="preserve">16</w:t>
        </w:r>
      </w:hyperlink>
      <w:hyperlink r:id="rId948">
        <w:r w:rsidDel="00000000" w:rsidR="00000000" w:rsidRPr="00000000">
          <w:rPr>
            <w:color w:val="000000"/>
            <w:rtl w:val="0"/>
          </w:rPr>
          <w:t xml:space="preserve">, e0247332 (2021).</w:t>
        </w:r>
      </w:hyperlink>
      <w:r w:rsidDel="00000000" w:rsidR="00000000" w:rsidRPr="00000000">
        <w:rPr>
          <w:rtl w:val="0"/>
        </w:rPr>
      </w:r>
    </w:p>
    <w:p w:rsidR="00000000" w:rsidDel="00000000" w:rsidP="00000000" w:rsidRDefault="00000000" w:rsidRPr="00000000" w14:paraId="00000957">
      <w:pPr>
        <w:widowControl w:val="0"/>
        <w:pBdr>
          <w:top w:space="0" w:sz="0" w:val="nil"/>
          <w:left w:space="0" w:sz="0" w:val="nil"/>
          <w:bottom w:space="0" w:sz="0" w:val="nil"/>
          <w:right w:space="0" w:sz="0" w:val="nil"/>
          <w:between w:space="0" w:sz="0" w:val="nil"/>
        </w:pBdr>
        <w:spacing w:after="0" w:line="480" w:lineRule="auto"/>
        <w:ind w:left="440" w:hanging="440"/>
        <w:rPr>
          <w:color w:val="000000"/>
        </w:rPr>
      </w:pPr>
      <w:r w:rsidDel="00000000" w:rsidR="00000000" w:rsidRPr="00000000">
        <w:rPr>
          <w:color w:val="000000"/>
          <w:rtl w:val="0"/>
        </w:rPr>
        <w:t xml:space="preserve">130.</w:t>
        <w:tab/>
      </w:r>
      <w:hyperlink r:id="rId949">
        <w:r w:rsidDel="00000000" w:rsidR="00000000" w:rsidRPr="00000000">
          <w:rPr>
            <w:color w:val="000000"/>
            <w:rtl w:val="0"/>
          </w:rPr>
          <w:t xml:space="preserve">Olalde, I. </w:t>
        </w:r>
      </w:hyperlink>
      <w:hyperlink r:id="rId950">
        <w:r w:rsidDel="00000000" w:rsidR="00000000" w:rsidRPr="00000000">
          <w:rPr>
            <w:i w:val="1"/>
            <w:color w:val="000000"/>
            <w:rtl w:val="0"/>
          </w:rPr>
          <w:t xml:space="preserve">et al.</w:t>
        </w:r>
      </w:hyperlink>
      <w:hyperlink r:id="rId951">
        <w:r w:rsidDel="00000000" w:rsidR="00000000" w:rsidRPr="00000000">
          <w:rPr>
            <w:color w:val="000000"/>
            <w:rtl w:val="0"/>
          </w:rPr>
          <w:t xml:space="preserve"> The Beaker phenomenon and the genomic transformation of northwest Europe. </w:t>
        </w:r>
      </w:hyperlink>
      <w:hyperlink r:id="rId952">
        <w:r w:rsidDel="00000000" w:rsidR="00000000" w:rsidRPr="00000000">
          <w:rPr>
            <w:i w:val="1"/>
            <w:color w:val="000000"/>
            <w:rtl w:val="0"/>
          </w:rPr>
          <w:t xml:space="preserve">Nature</w:t>
        </w:r>
      </w:hyperlink>
      <w:hyperlink r:id="rId953">
        <w:r w:rsidDel="00000000" w:rsidR="00000000" w:rsidRPr="00000000">
          <w:rPr>
            <w:color w:val="000000"/>
            <w:rtl w:val="0"/>
          </w:rPr>
          <w:t xml:space="preserve"> </w:t>
        </w:r>
      </w:hyperlink>
      <w:hyperlink r:id="rId954">
        <w:r w:rsidDel="00000000" w:rsidR="00000000" w:rsidRPr="00000000">
          <w:rPr>
            <w:b w:val="1"/>
            <w:color w:val="000000"/>
            <w:rtl w:val="0"/>
          </w:rPr>
          <w:t xml:space="preserve">555</w:t>
        </w:r>
      </w:hyperlink>
      <w:hyperlink r:id="rId955">
        <w:r w:rsidDel="00000000" w:rsidR="00000000" w:rsidRPr="00000000">
          <w:rPr>
            <w:color w:val="000000"/>
            <w:rtl w:val="0"/>
          </w:rPr>
          <w:t xml:space="preserve">, 190–196 (2018).</w:t>
        </w:r>
      </w:hyperlink>
      <w:r w:rsidDel="00000000" w:rsidR="00000000" w:rsidRPr="00000000">
        <w:rPr>
          <w:rtl w:val="0"/>
        </w:rPr>
      </w:r>
    </w:p>
    <w:p w:rsidR="00000000" w:rsidDel="00000000" w:rsidP="00000000" w:rsidRDefault="00000000" w:rsidRPr="00000000" w14:paraId="00000958">
      <w:pPr>
        <w:widowControl w:val="0"/>
        <w:pBdr>
          <w:top w:space="0" w:sz="0" w:val="nil"/>
          <w:left w:space="0" w:sz="0" w:val="nil"/>
          <w:bottom w:space="0" w:sz="0" w:val="nil"/>
          <w:right w:space="0" w:sz="0" w:val="nil"/>
          <w:between w:space="0" w:sz="0" w:val="nil"/>
        </w:pBdr>
        <w:spacing w:after="0" w:line="480" w:lineRule="auto"/>
        <w:ind w:left="440" w:hanging="440"/>
        <w:rPr>
          <w:color w:val="000000"/>
        </w:rPr>
      </w:pPr>
      <w:r w:rsidDel="00000000" w:rsidR="00000000" w:rsidRPr="00000000">
        <w:rPr>
          <w:color w:val="000000"/>
          <w:rtl w:val="0"/>
        </w:rPr>
        <w:t xml:space="preserve">131.</w:t>
        <w:tab/>
      </w:r>
      <w:hyperlink r:id="rId956">
        <w:r w:rsidDel="00000000" w:rsidR="00000000" w:rsidRPr="00000000">
          <w:rPr>
            <w:color w:val="000000"/>
            <w:rtl w:val="0"/>
          </w:rPr>
          <w:t xml:space="preserve">Olalde, I. </w:t>
        </w:r>
      </w:hyperlink>
      <w:hyperlink r:id="rId957">
        <w:r w:rsidDel="00000000" w:rsidR="00000000" w:rsidRPr="00000000">
          <w:rPr>
            <w:i w:val="1"/>
            <w:color w:val="000000"/>
            <w:rtl w:val="0"/>
          </w:rPr>
          <w:t xml:space="preserve">et al.</w:t>
        </w:r>
      </w:hyperlink>
      <w:hyperlink r:id="rId958">
        <w:r w:rsidDel="00000000" w:rsidR="00000000" w:rsidRPr="00000000">
          <w:rPr>
            <w:color w:val="000000"/>
            <w:rtl w:val="0"/>
          </w:rPr>
          <w:t xml:space="preserve"> The genomic history of the Iberian Peninsula over the past 8000 years. </w:t>
        </w:r>
      </w:hyperlink>
      <w:hyperlink r:id="rId959">
        <w:r w:rsidDel="00000000" w:rsidR="00000000" w:rsidRPr="00000000">
          <w:rPr>
            <w:i w:val="1"/>
            <w:color w:val="000000"/>
            <w:rtl w:val="0"/>
          </w:rPr>
          <w:t xml:space="preserve">Science</w:t>
        </w:r>
      </w:hyperlink>
      <w:hyperlink r:id="rId960">
        <w:r w:rsidDel="00000000" w:rsidR="00000000" w:rsidRPr="00000000">
          <w:rPr>
            <w:color w:val="000000"/>
            <w:rtl w:val="0"/>
          </w:rPr>
          <w:t xml:space="preserve"> </w:t>
        </w:r>
      </w:hyperlink>
      <w:hyperlink r:id="rId961">
        <w:r w:rsidDel="00000000" w:rsidR="00000000" w:rsidRPr="00000000">
          <w:rPr>
            <w:b w:val="1"/>
            <w:color w:val="000000"/>
            <w:rtl w:val="0"/>
          </w:rPr>
          <w:t xml:space="preserve">363</w:t>
        </w:r>
      </w:hyperlink>
      <w:hyperlink r:id="rId962">
        <w:r w:rsidDel="00000000" w:rsidR="00000000" w:rsidRPr="00000000">
          <w:rPr>
            <w:color w:val="000000"/>
            <w:rtl w:val="0"/>
          </w:rPr>
          <w:t xml:space="preserve">, 1230–1234 (2019).</w:t>
        </w:r>
      </w:hyperlink>
      <w:r w:rsidDel="00000000" w:rsidR="00000000" w:rsidRPr="00000000">
        <w:rPr>
          <w:rtl w:val="0"/>
        </w:rPr>
      </w:r>
    </w:p>
    <w:p w:rsidR="00000000" w:rsidDel="00000000" w:rsidP="00000000" w:rsidRDefault="00000000" w:rsidRPr="00000000" w14:paraId="00000959">
      <w:pPr>
        <w:widowControl w:val="0"/>
        <w:pBdr>
          <w:top w:space="0" w:sz="0" w:val="nil"/>
          <w:left w:space="0" w:sz="0" w:val="nil"/>
          <w:bottom w:space="0" w:sz="0" w:val="nil"/>
          <w:right w:space="0" w:sz="0" w:val="nil"/>
          <w:between w:space="0" w:sz="0" w:val="nil"/>
        </w:pBdr>
        <w:spacing w:after="0" w:line="480" w:lineRule="auto"/>
        <w:ind w:left="440" w:hanging="440"/>
        <w:rPr>
          <w:color w:val="000000"/>
        </w:rPr>
      </w:pPr>
      <w:r w:rsidDel="00000000" w:rsidR="00000000" w:rsidRPr="00000000">
        <w:rPr>
          <w:color w:val="000000"/>
          <w:rtl w:val="0"/>
        </w:rPr>
        <w:t xml:space="preserve">132.</w:t>
        <w:tab/>
      </w:r>
      <w:hyperlink r:id="rId963">
        <w:r w:rsidDel="00000000" w:rsidR="00000000" w:rsidRPr="00000000">
          <w:rPr>
            <w:color w:val="000000"/>
            <w:rtl w:val="0"/>
          </w:rPr>
          <w:t xml:space="preserve">Raghavan, M. </w:t>
        </w:r>
      </w:hyperlink>
      <w:hyperlink r:id="rId964">
        <w:r w:rsidDel="00000000" w:rsidR="00000000" w:rsidRPr="00000000">
          <w:rPr>
            <w:i w:val="1"/>
            <w:color w:val="000000"/>
            <w:rtl w:val="0"/>
          </w:rPr>
          <w:t xml:space="preserve">et al.</w:t>
        </w:r>
      </w:hyperlink>
      <w:hyperlink r:id="rId965">
        <w:r w:rsidDel="00000000" w:rsidR="00000000" w:rsidRPr="00000000">
          <w:rPr>
            <w:color w:val="000000"/>
            <w:rtl w:val="0"/>
          </w:rPr>
          <w:t xml:space="preserve"> Upper Palaeolithic Siberian genome reveals dual ancestry of Native Americans. </w:t>
        </w:r>
      </w:hyperlink>
      <w:hyperlink r:id="rId966">
        <w:r w:rsidDel="00000000" w:rsidR="00000000" w:rsidRPr="00000000">
          <w:rPr>
            <w:i w:val="1"/>
            <w:color w:val="000000"/>
            <w:rtl w:val="0"/>
          </w:rPr>
          <w:t xml:space="preserve">Nature</w:t>
        </w:r>
      </w:hyperlink>
      <w:hyperlink r:id="rId967">
        <w:r w:rsidDel="00000000" w:rsidR="00000000" w:rsidRPr="00000000">
          <w:rPr>
            <w:color w:val="000000"/>
            <w:rtl w:val="0"/>
          </w:rPr>
          <w:t xml:space="preserve"> </w:t>
        </w:r>
      </w:hyperlink>
      <w:hyperlink r:id="rId968">
        <w:r w:rsidDel="00000000" w:rsidR="00000000" w:rsidRPr="00000000">
          <w:rPr>
            <w:b w:val="1"/>
            <w:color w:val="000000"/>
            <w:rtl w:val="0"/>
          </w:rPr>
          <w:t xml:space="preserve">505</w:t>
        </w:r>
      </w:hyperlink>
      <w:hyperlink r:id="rId969">
        <w:r w:rsidDel="00000000" w:rsidR="00000000" w:rsidRPr="00000000">
          <w:rPr>
            <w:color w:val="000000"/>
            <w:rtl w:val="0"/>
          </w:rPr>
          <w:t xml:space="preserve">, 87–91 (2014).</w:t>
        </w:r>
      </w:hyperlink>
      <w:r w:rsidDel="00000000" w:rsidR="00000000" w:rsidRPr="00000000">
        <w:rPr>
          <w:rtl w:val="0"/>
        </w:rPr>
      </w:r>
    </w:p>
    <w:p w:rsidR="00000000" w:rsidDel="00000000" w:rsidP="00000000" w:rsidRDefault="00000000" w:rsidRPr="00000000" w14:paraId="0000095A">
      <w:pPr>
        <w:widowControl w:val="0"/>
        <w:pBdr>
          <w:top w:space="0" w:sz="0" w:val="nil"/>
          <w:left w:space="0" w:sz="0" w:val="nil"/>
          <w:bottom w:space="0" w:sz="0" w:val="nil"/>
          <w:right w:space="0" w:sz="0" w:val="nil"/>
          <w:between w:space="0" w:sz="0" w:val="nil"/>
        </w:pBdr>
        <w:spacing w:after="0" w:line="480" w:lineRule="auto"/>
        <w:ind w:left="440" w:hanging="440"/>
        <w:rPr>
          <w:color w:val="000000"/>
        </w:rPr>
      </w:pPr>
      <w:r w:rsidDel="00000000" w:rsidR="00000000" w:rsidRPr="00000000">
        <w:rPr>
          <w:color w:val="000000"/>
          <w:rtl w:val="0"/>
        </w:rPr>
        <w:t xml:space="preserve">133.</w:t>
        <w:tab/>
      </w:r>
      <w:hyperlink r:id="rId970">
        <w:r w:rsidDel="00000000" w:rsidR="00000000" w:rsidRPr="00000000">
          <w:rPr>
            <w:color w:val="000000"/>
            <w:rtl w:val="0"/>
          </w:rPr>
          <w:t xml:space="preserve">Rivollat, M. </w:t>
        </w:r>
      </w:hyperlink>
      <w:hyperlink r:id="rId971">
        <w:r w:rsidDel="00000000" w:rsidR="00000000" w:rsidRPr="00000000">
          <w:rPr>
            <w:i w:val="1"/>
            <w:color w:val="000000"/>
            <w:rtl w:val="0"/>
          </w:rPr>
          <w:t xml:space="preserve">et al.</w:t>
        </w:r>
      </w:hyperlink>
      <w:hyperlink r:id="rId972">
        <w:r w:rsidDel="00000000" w:rsidR="00000000" w:rsidRPr="00000000">
          <w:rPr>
            <w:color w:val="000000"/>
            <w:rtl w:val="0"/>
          </w:rPr>
          <w:t xml:space="preserve"> Ancient genome-wide DNA from France highlights the complexity of interactions between Mesolithic hunter-gatherers and Neolithic farmers. </w:t>
        </w:r>
      </w:hyperlink>
      <w:hyperlink r:id="rId973">
        <w:r w:rsidDel="00000000" w:rsidR="00000000" w:rsidRPr="00000000">
          <w:rPr>
            <w:i w:val="1"/>
            <w:color w:val="000000"/>
            <w:rtl w:val="0"/>
          </w:rPr>
          <w:t xml:space="preserve">Science Advances</w:t>
        </w:r>
      </w:hyperlink>
      <w:hyperlink r:id="rId974">
        <w:r w:rsidDel="00000000" w:rsidR="00000000" w:rsidRPr="00000000">
          <w:rPr>
            <w:color w:val="000000"/>
            <w:rtl w:val="0"/>
          </w:rPr>
          <w:t xml:space="preserve"> </w:t>
        </w:r>
      </w:hyperlink>
      <w:hyperlink r:id="rId975">
        <w:r w:rsidDel="00000000" w:rsidR="00000000" w:rsidRPr="00000000">
          <w:rPr>
            <w:b w:val="1"/>
            <w:color w:val="000000"/>
            <w:rtl w:val="0"/>
          </w:rPr>
          <w:t xml:space="preserve">6</w:t>
        </w:r>
      </w:hyperlink>
      <w:hyperlink r:id="rId976">
        <w:r w:rsidDel="00000000" w:rsidR="00000000" w:rsidRPr="00000000">
          <w:rPr>
            <w:color w:val="000000"/>
            <w:rtl w:val="0"/>
          </w:rPr>
          <w:t xml:space="preserve">, eaaz5344 (2020).</w:t>
        </w:r>
      </w:hyperlink>
      <w:r w:rsidDel="00000000" w:rsidR="00000000" w:rsidRPr="00000000">
        <w:rPr>
          <w:rtl w:val="0"/>
        </w:rPr>
      </w:r>
    </w:p>
    <w:p w:rsidR="00000000" w:rsidDel="00000000" w:rsidP="00000000" w:rsidRDefault="00000000" w:rsidRPr="00000000" w14:paraId="0000095B">
      <w:pPr>
        <w:widowControl w:val="0"/>
        <w:pBdr>
          <w:top w:space="0" w:sz="0" w:val="nil"/>
          <w:left w:space="0" w:sz="0" w:val="nil"/>
          <w:bottom w:space="0" w:sz="0" w:val="nil"/>
          <w:right w:space="0" w:sz="0" w:val="nil"/>
          <w:between w:space="0" w:sz="0" w:val="nil"/>
        </w:pBdr>
        <w:spacing w:after="0" w:line="480" w:lineRule="auto"/>
        <w:ind w:left="440" w:hanging="440"/>
        <w:rPr>
          <w:color w:val="000000"/>
        </w:rPr>
      </w:pPr>
      <w:r w:rsidDel="00000000" w:rsidR="00000000" w:rsidRPr="00000000">
        <w:rPr>
          <w:color w:val="000000"/>
          <w:rtl w:val="0"/>
        </w:rPr>
        <w:t xml:space="preserve">134.</w:t>
        <w:tab/>
      </w:r>
      <w:hyperlink r:id="rId977">
        <w:r w:rsidDel="00000000" w:rsidR="00000000" w:rsidRPr="00000000">
          <w:rPr>
            <w:color w:val="000000"/>
            <w:rtl w:val="0"/>
          </w:rPr>
          <w:t xml:space="preserve">Saag, L. </w:t>
        </w:r>
      </w:hyperlink>
      <w:hyperlink r:id="rId978">
        <w:r w:rsidDel="00000000" w:rsidR="00000000" w:rsidRPr="00000000">
          <w:rPr>
            <w:i w:val="1"/>
            <w:color w:val="000000"/>
            <w:rtl w:val="0"/>
          </w:rPr>
          <w:t xml:space="preserve">et al.</w:t>
        </w:r>
      </w:hyperlink>
      <w:hyperlink r:id="rId979">
        <w:r w:rsidDel="00000000" w:rsidR="00000000" w:rsidRPr="00000000">
          <w:rPr>
            <w:color w:val="000000"/>
            <w:rtl w:val="0"/>
          </w:rPr>
          <w:t xml:space="preserve"> Extensive Farming in Estonia Started through a Sex-Biased Migration from the Steppe. </w:t>
        </w:r>
      </w:hyperlink>
      <w:hyperlink r:id="rId980">
        <w:r w:rsidDel="00000000" w:rsidR="00000000" w:rsidRPr="00000000">
          <w:rPr>
            <w:i w:val="1"/>
            <w:color w:val="000000"/>
            <w:rtl w:val="0"/>
          </w:rPr>
          <w:t xml:space="preserve">Curr. Biol.</w:t>
        </w:r>
      </w:hyperlink>
      <w:hyperlink r:id="rId981">
        <w:r w:rsidDel="00000000" w:rsidR="00000000" w:rsidRPr="00000000">
          <w:rPr>
            <w:color w:val="000000"/>
            <w:rtl w:val="0"/>
          </w:rPr>
          <w:t xml:space="preserve"> </w:t>
        </w:r>
      </w:hyperlink>
      <w:hyperlink r:id="rId982">
        <w:r w:rsidDel="00000000" w:rsidR="00000000" w:rsidRPr="00000000">
          <w:rPr>
            <w:b w:val="1"/>
            <w:color w:val="000000"/>
            <w:rtl w:val="0"/>
          </w:rPr>
          <w:t xml:space="preserve">27</w:t>
        </w:r>
      </w:hyperlink>
      <w:hyperlink r:id="rId983">
        <w:r w:rsidDel="00000000" w:rsidR="00000000" w:rsidRPr="00000000">
          <w:rPr>
            <w:color w:val="000000"/>
            <w:rtl w:val="0"/>
          </w:rPr>
          <w:t xml:space="preserve">, 2185–2193.e6 (2017).</w:t>
        </w:r>
      </w:hyperlink>
      <w:r w:rsidDel="00000000" w:rsidR="00000000" w:rsidRPr="00000000">
        <w:rPr>
          <w:rtl w:val="0"/>
        </w:rPr>
      </w:r>
    </w:p>
    <w:p w:rsidR="00000000" w:rsidDel="00000000" w:rsidP="00000000" w:rsidRDefault="00000000" w:rsidRPr="00000000" w14:paraId="0000095C">
      <w:pPr>
        <w:widowControl w:val="0"/>
        <w:pBdr>
          <w:top w:space="0" w:sz="0" w:val="nil"/>
          <w:left w:space="0" w:sz="0" w:val="nil"/>
          <w:bottom w:space="0" w:sz="0" w:val="nil"/>
          <w:right w:space="0" w:sz="0" w:val="nil"/>
          <w:between w:space="0" w:sz="0" w:val="nil"/>
        </w:pBdr>
        <w:spacing w:after="0" w:line="480" w:lineRule="auto"/>
        <w:ind w:left="440" w:hanging="440"/>
        <w:rPr>
          <w:color w:val="000000"/>
        </w:rPr>
      </w:pPr>
      <w:r w:rsidDel="00000000" w:rsidR="00000000" w:rsidRPr="00000000">
        <w:rPr>
          <w:color w:val="000000"/>
          <w:rtl w:val="0"/>
        </w:rPr>
        <w:t xml:space="preserve">135.</w:t>
        <w:tab/>
      </w:r>
      <w:hyperlink r:id="rId984">
        <w:r w:rsidDel="00000000" w:rsidR="00000000" w:rsidRPr="00000000">
          <w:rPr>
            <w:color w:val="000000"/>
            <w:rtl w:val="0"/>
          </w:rPr>
          <w:t xml:space="preserve">Saag, L. </w:t>
        </w:r>
      </w:hyperlink>
      <w:hyperlink r:id="rId985">
        <w:r w:rsidDel="00000000" w:rsidR="00000000" w:rsidRPr="00000000">
          <w:rPr>
            <w:i w:val="1"/>
            <w:color w:val="000000"/>
            <w:rtl w:val="0"/>
          </w:rPr>
          <w:t xml:space="preserve">et al.</w:t>
        </w:r>
      </w:hyperlink>
      <w:hyperlink r:id="rId986">
        <w:r w:rsidDel="00000000" w:rsidR="00000000" w:rsidRPr="00000000">
          <w:rPr>
            <w:color w:val="000000"/>
            <w:rtl w:val="0"/>
          </w:rPr>
          <w:t xml:space="preserve"> The Arrival of Siberian Ancestry Connecting the Eastern Baltic to Uralic Speakers further East. </w:t>
        </w:r>
      </w:hyperlink>
      <w:hyperlink r:id="rId987">
        <w:r w:rsidDel="00000000" w:rsidR="00000000" w:rsidRPr="00000000">
          <w:rPr>
            <w:i w:val="1"/>
            <w:color w:val="000000"/>
            <w:rtl w:val="0"/>
          </w:rPr>
          <w:t xml:space="preserve">Curr. Biol.</w:t>
        </w:r>
      </w:hyperlink>
      <w:hyperlink r:id="rId988">
        <w:r w:rsidDel="00000000" w:rsidR="00000000" w:rsidRPr="00000000">
          <w:rPr>
            <w:color w:val="000000"/>
            <w:rtl w:val="0"/>
          </w:rPr>
          <w:t xml:space="preserve"> </w:t>
        </w:r>
      </w:hyperlink>
      <w:hyperlink r:id="rId989">
        <w:r w:rsidDel="00000000" w:rsidR="00000000" w:rsidRPr="00000000">
          <w:rPr>
            <w:b w:val="1"/>
            <w:color w:val="000000"/>
            <w:rtl w:val="0"/>
          </w:rPr>
          <w:t xml:space="preserve">29</w:t>
        </w:r>
      </w:hyperlink>
      <w:hyperlink r:id="rId990">
        <w:r w:rsidDel="00000000" w:rsidR="00000000" w:rsidRPr="00000000">
          <w:rPr>
            <w:color w:val="000000"/>
            <w:rtl w:val="0"/>
          </w:rPr>
          <w:t xml:space="preserve">, 1701–1711.e16 (2019).</w:t>
        </w:r>
      </w:hyperlink>
      <w:r w:rsidDel="00000000" w:rsidR="00000000" w:rsidRPr="00000000">
        <w:rPr>
          <w:rtl w:val="0"/>
        </w:rPr>
      </w:r>
    </w:p>
    <w:p w:rsidR="00000000" w:rsidDel="00000000" w:rsidP="00000000" w:rsidRDefault="00000000" w:rsidRPr="00000000" w14:paraId="0000095D">
      <w:pPr>
        <w:widowControl w:val="0"/>
        <w:pBdr>
          <w:top w:space="0" w:sz="0" w:val="nil"/>
          <w:left w:space="0" w:sz="0" w:val="nil"/>
          <w:bottom w:space="0" w:sz="0" w:val="nil"/>
          <w:right w:space="0" w:sz="0" w:val="nil"/>
          <w:between w:space="0" w:sz="0" w:val="nil"/>
        </w:pBdr>
        <w:spacing w:after="0" w:line="480" w:lineRule="auto"/>
        <w:ind w:left="440" w:hanging="440"/>
        <w:rPr>
          <w:color w:val="000000"/>
        </w:rPr>
      </w:pPr>
      <w:r w:rsidDel="00000000" w:rsidR="00000000" w:rsidRPr="00000000">
        <w:rPr>
          <w:color w:val="000000"/>
          <w:rtl w:val="0"/>
        </w:rPr>
        <w:t xml:space="preserve">136.</w:t>
        <w:tab/>
      </w:r>
      <w:hyperlink r:id="rId991">
        <w:r w:rsidDel="00000000" w:rsidR="00000000" w:rsidRPr="00000000">
          <w:rPr>
            <w:color w:val="000000"/>
            <w:rtl w:val="0"/>
          </w:rPr>
          <w:t xml:space="preserve">Sánchez-Quinto, F. </w:t>
        </w:r>
      </w:hyperlink>
      <w:hyperlink r:id="rId992">
        <w:r w:rsidDel="00000000" w:rsidR="00000000" w:rsidRPr="00000000">
          <w:rPr>
            <w:i w:val="1"/>
            <w:color w:val="000000"/>
            <w:rtl w:val="0"/>
          </w:rPr>
          <w:t xml:space="preserve">et al.</w:t>
        </w:r>
      </w:hyperlink>
      <w:hyperlink r:id="rId993">
        <w:r w:rsidDel="00000000" w:rsidR="00000000" w:rsidRPr="00000000">
          <w:rPr>
            <w:color w:val="000000"/>
            <w:rtl w:val="0"/>
          </w:rPr>
          <w:t xml:space="preserve"> Megalithic tombs in western and northern Neolithic Europe were linked to a kindred society. </w:t>
        </w:r>
      </w:hyperlink>
      <w:hyperlink r:id="rId994">
        <w:r w:rsidDel="00000000" w:rsidR="00000000" w:rsidRPr="00000000">
          <w:rPr>
            <w:i w:val="1"/>
            <w:color w:val="000000"/>
            <w:rtl w:val="0"/>
          </w:rPr>
          <w:t xml:space="preserve">Proc. Natl. Acad. Sci. U. S. A.</w:t>
        </w:r>
      </w:hyperlink>
      <w:hyperlink r:id="rId995">
        <w:r w:rsidDel="00000000" w:rsidR="00000000" w:rsidRPr="00000000">
          <w:rPr>
            <w:color w:val="000000"/>
            <w:rtl w:val="0"/>
          </w:rPr>
          <w:t xml:space="preserve"> </w:t>
        </w:r>
      </w:hyperlink>
      <w:hyperlink r:id="rId996">
        <w:r w:rsidDel="00000000" w:rsidR="00000000" w:rsidRPr="00000000">
          <w:rPr>
            <w:b w:val="1"/>
            <w:color w:val="000000"/>
            <w:rtl w:val="0"/>
          </w:rPr>
          <w:t xml:space="preserve">116</w:t>
        </w:r>
      </w:hyperlink>
      <w:hyperlink r:id="rId997">
        <w:r w:rsidDel="00000000" w:rsidR="00000000" w:rsidRPr="00000000">
          <w:rPr>
            <w:color w:val="000000"/>
            <w:rtl w:val="0"/>
          </w:rPr>
          <w:t xml:space="preserve">, 9469–9474 (2019).</w:t>
        </w:r>
      </w:hyperlink>
      <w:r w:rsidDel="00000000" w:rsidR="00000000" w:rsidRPr="00000000">
        <w:rPr>
          <w:rtl w:val="0"/>
        </w:rPr>
      </w:r>
    </w:p>
    <w:p w:rsidR="00000000" w:rsidDel="00000000" w:rsidP="00000000" w:rsidRDefault="00000000" w:rsidRPr="00000000" w14:paraId="0000095E">
      <w:pPr>
        <w:widowControl w:val="0"/>
        <w:pBdr>
          <w:top w:space="0" w:sz="0" w:val="nil"/>
          <w:left w:space="0" w:sz="0" w:val="nil"/>
          <w:bottom w:space="0" w:sz="0" w:val="nil"/>
          <w:right w:space="0" w:sz="0" w:val="nil"/>
          <w:between w:space="0" w:sz="0" w:val="nil"/>
        </w:pBdr>
        <w:spacing w:after="0" w:line="480" w:lineRule="auto"/>
        <w:ind w:left="440" w:hanging="440"/>
        <w:rPr>
          <w:color w:val="000000"/>
        </w:rPr>
      </w:pPr>
      <w:r w:rsidDel="00000000" w:rsidR="00000000" w:rsidRPr="00000000">
        <w:rPr>
          <w:color w:val="000000"/>
          <w:rtl w:val="0"/>
        </w:rPr>
        <w:t xml:space="preserve">137.</w:t>
        <w:tab/>
      </w:r>
      <w:hyperlink r:id="rId998">
        <w:r w:rsidDel="00000000" w:rsidR="00000000" w:rsidRPr="00000000">
          <w:rPr>
            <w:color w:val="000000"/>
            <w:rtl w:val="0"/>
          </w:rPr>
          <w:t xml:space="preserve">Schiffels, S. </w:t>
        </w:r>
      </w:hyperlink>
      <w:hyperlink r:id="rId999">
        <w:r w:rsidDel="00000000" w:rsidR="00000000" w:rsidRPr="00000000">
          <w:rPr>
            <w:i w:val="1"/>
            <w:color w:val="000000"/>
            <w:rtl w:val="0"/>
          </w:rPr>
          <w:t xml:space="preserve">et al.</w:t>
        </w:r>
      </w:hyperlink>
      <w:hyperlink r:id="rId1000">
        <w:r w:rsidDel="00000000" w:rsidR="00000000" w:rsidRPr="00000000">
          <w:rPr>
            <w:color w:val="000000"/>
            <w:rtl w:val="0"/>
          </w:rPr>
          <w:t xml:space="preserve"> Iron Age and Anglo-Saxon genomes from East England reveal British migration history. </w:t>
        </w:r>
      </w:hyperlink>
      <w:hyperlink r:id="rId1001">
        <w:r w:rsidDel="00000000" w:rsidR="00000000" w:rsidRPr="00000000">
          <w:rPr>
            <w:i w:val="1"/>
            <w:color w:val="000000"/>
            <w:rtl w:val="0"/>
          </w:rPr>
          <w:t xml:space="preserve">Nat. Commun.</w:t>
        </w:r>
      </w:hyperlink>
      <w:hyperlink r:id="rId1002">
        <w:r w:rsidDel="00000000" w:rsidR="00000000" w:rsidRPr="00000000">
          <w:rPr>
            <w:color w:val="000000"/>
            <w:rtl w:val="0"/>
          </w:rPr>
          <w:t xml:space="preserve"> </w:t>
        </w:r>
      </w:hyperlink>
      <w:hyperlink r:id="rId1003">
        <w:r w:rsidDel="00000000" w:rsidR="00000000" w:rsidRPr="00000000">
          <w:rPr>
            <w:b w:val="1"/>
            <w:color w:val="000000"/>
            <w:rtl w:val="0"/>
          </w:rPr>
          <w:t xml:space="preserve">7</w:t>
        </w:r>
      </w:hyperlink>
      <w:hyperlink r:id="rId1004">
        <w:r w:rsidDel="00000000" w:rsidR="00000000" w:rsidRPr="00000000">
          <w:rPr>
            <w:color w:val="000000"/>
            <w:rtl w:val="0"/>
          </w:rPr>
          <w:t xml:space="preserve">, 10408 (2016).</w:t>
        </w:r>
      </w:hyperlink>
      <w:r w:rsidDel="00000000" w:rsidR="00000000" w:rsidRPr="00000000">
        <w:rPr>
          <w:rtl w:val="0"/>
        </w:rPr>
      </w:r>
    </w:p>
    <w:p w:rsidR="00000000" w:rsidDel="00000000" w:rsidP="00000000" w:rsidRDefault="00000000" w:rsidRPr="00000000" w14:paraId="0000095F">
      <w:pPr>
        <w:widowControl w:val="0"/>
        <w:pBdr>
          <w:top w:space="0" w:sz="0" w:val="nil"/>
          <w:left w:space="0" w:sz="0" w:val="nil"/>
          <w:bottom w:space="0" w:sz="0" w:val="nil"/>
          <w:right w:space="0" w:sz="0" w:val="nil"/>
          <w:between w:space="0" w:sz="0" w:val="nil"/>
        </w:pBdr>
        <w:spacing w:after="0" w:line="480" w:lineRule="auto"/>
        <w:ind w:left="440" w:hanging="440"/>
        <w:rPr>
          <w:color w:val="000000"/>
        </w:rPr>
      </w:pPr>
      <w:r w:rsidDel="00000000" w:rsidR="00000000" w:rsidRPr="00000000">
        <w:rPr>
          <w:color w:val="000000"/>
          <w:rtl w:val="0"/>
        </w:rPr>
        <w:t xml:space="preserve">138.</w:t>
        <w:tab/>
      </w:r>
      <w:hyperlink r:id="rId1005">
        <w:r w:rsidDel="00000000" w:rsidR="00000000" w:rsidRPr="00000000">
          <w:rPr>
            <w:color w:val="000000"/>
            <w:rtl w:val="0"/>
          </w:rPr>
          <w:t xml:space="preserve">Schroeder, H. </w:t>
        </w:r>
      </w:hyperlink>
      <w:hyperlink r:id="rId1006">
        <w:r w:rsidDel="00000000" w:rsidR="00000000" w:rsidRPr="00000000">
          <w:rPr>
            <w:i w:val="1"/>
            <w:color w:val="000000"/>
            <w:rtl w:val="0"/>
          </w:rPr>
          <w:t xml:space="preserve">et al.</w:t>
        </w:r>
      </w:hyperlink>
      <w:hyperlink r:id="rId1007">
        <w:r w:rsidDel="00000000" w:rsidR="00000000" w:rsidRPr="00000000">
          <w:rPr>
            <w:color w:val="000000"/>
            <w:rtl w:val="0"/>
          </w:rPr>
          <w:t xml:space="preserve"> Unraveling ancestry, kinship, and violence in a Late Neolithic mass grave. </w:t>
        </w:r>
      </w:hyperlink>
      <w:hyperlink r:id="rId1008">
        <w:r w:rsidDel="00000000" w:rsidR="00000000" w:rsidRPr="00000000">
          <w:rPr>
            <w:i w:val="1"/>
            <w:color w:val="000000"/>
            <w:rtl w:val="0"/>
          </w:rPr>
          <w:t xml:space="preserve">Proc. Natl. Acad. Sci. U. S. A.</w:t>
        </w:r>
      </w:hyperlink>
      <w:hyperlink r:id="rId1009">
        <w:r w:rsidDel="00000000" w:rsidR="00000000" w:rsidRPr="00000000">
          <w:rPr>
            <w:color w:val="000000"/>
            <w:rtl w:val="0"/>
          </w:rPr>
          <w:t xml:space="preserve"> </w:t>
        </w:r>
      </w:hyperlink>
      <w:hyperlink r:id="rId1010">
        <w:r w:rsidDel="00000000" w:rsidR="00000000" w:rsidRPr="00000000">
          <w:rPr>
            <w:b w:val="1"/>
            <w:color w:val="000000"/>
            <w:rtl w:val="0"/>
          </w:rPr>
          <w:t xml:space="preserve">116</w:t>
        </w:r>
      </w:hyperlink>
      <w:hyperlink r:id="rId1011">
        <w:r w:rsidDel="00000000" w:rsidR="00000000" w:rsidRPr="00000000">
          <w:rPr>
            <w:color w:val="000000"/>
            <w:rtl w:val="0"/>
          </w:rPr>
          <w:t xml:space="preserve">, 10705–10710 (2019).</w:t>
        </w:r>
      </w:hyperlink>
      <w:r w:rsidDel="00000000" w:rsidR="00000000" w:rsidRPr="00000000">
        <w:rPr>
          <w:rtl w:val="0"/>
        </w:rPr>
      </w:r>
    </w:p>
    <w:p w:rsidR="00000000" w:rsidDel="00000000" w:rsidP="00000000" w:rsidRDefault="00000000" w:rsidRPr="00000000" w14:paraId="00000960">
      <w:pPr>
        <w:widowControl w:val="0"/>
        <w:pBdr>
          <w:top w:space="0" w:sz="0" w:val="nil"/>
          <w:left w:space="0" w:sz="0" w:val="nil"/>
          <w:bottom w:space="0" w:sz="0" w:val="nil"/>
          <w:right w:space="0" w:sz="0" w:val="nil"/>
          <w:between w:space="0" w:sz="0" w:val="nil"/>
        </w:pBdr>
        <w:spacing w:after="0" w:line="480" w:lineRule="auto"/>
        <w:ind w:left="440" w:hanging="440"/>
        <w:rPr>
          <w:color w:val="000000"/>
        </w:rPr>
      </w:pPr>
      <w:r w:rsidDel="00000000" w:rsidR="00000000" w:rsidRPr="00000000">
        <w:rPr>
          <w:color w:val="000000"/>
          <w:rtl w:val="0"/>
        </w:rPr>
        <w:t xml:space="preserve">139.</w:t>
        <w:tab/>
      </w:r>
      <w:hyperlink r:id="rId1012">
        <w:r w:rsidDel="00000000" w:rsidR="00000000" w:rsidRPr="00000000">
          <w:rPr>
            <w:color w:val="000000"/>
            <w:rtl w:val="0"/>
          </w:rPr>
          <w:t xml:space="preserve">Sikora, M. </w:t>
        </w:r>
      </w:hyperlink>
      <w:hyperlink r:id="rId1013">
        <w:r w:rsidDel="00000000" w:rsidR="00000000" w:rsidRPr="00000000">
          <w:rPr>
            <w:i w:val="1"/>
            <w:color w:val="000000"/>
            <w:rtl w:val="0"/>
          </w:rPr>
          <w:t xml:space="preserve">et al.</w:t>
        </w:r>
      </w:hyperlink>
      <w:hyperlink r:id="rId1014">
        <w:r w:rsidDel="00000000" w:rsidR="00000000" w:rsidRPr="00000000">
          <w:rPr>
            <w:color w:val="000000"/>
            <w:rtl w:val="0"/>
          </w:rPr>
          <w:t xml:space="preserve"> The population history of northeastern Siberia since the Pleistocene. </w:t>
        </w:r>
      </w:hyperlink>
      <w:hyperlink r:id="rId1015">
        <w:r w:rsidDel="00000000" w:rsidR="00000000" w:rsidRPr="00000000">
          <w:rPr>
            <w:i w:val="1"/>
            <w:color w:val="000000"/>
            <w:rtl w:val="0"/>
          </w:rPr>
          <w:t xml:space="preserve">Nature</w:t>
        </w:r>
      </w:hyperlink>
      <w:hyperlink r:id="rId1016">
        <w:r w:rsidDel="00000000" w:rsidR="00000000" w:rsidRPr="00000000">
          <w:rPr>
            <w:color w:val="000000"/>
            <w:rtl w:val="0"/>
          </w:rPr>
          <w:t xml:space="preserve"> </w:t>
        </w:r>
      </w:hyperlink>
      <w:hyperlink r:id="rId1017">
        <w:r w:rsidDel="00000000" w:rsidR="00000000" w:rsidRPr="00000000">
          <w:rPr>
            <w:b w:val="1"/>
            <w:color w:val="000000"/>
            <w:rtl w:val="0"/>
          </w:rPr>
          <w:t xml:space="preserve">570</w:t>
        </w:r>
      </w:hyperlink>
      <w:hyperlink r:id="rId1018">
        <w:r w:rsidDel="00000000" w:rsidR="00000000" w:rsidRPr="00000000">
          <w:rPr>
            <w:color w:val="000000"/>
            <w:rtl w:val="0"/>
          </w:rPr>
          <w:t xml:space="preserve">, 182–188 (2019).</w:t>
        </w:r>
      </w:hyperlink>
      <w:r w:rsidDel="00000000" w:rsidR="00000000" w:rsidRPr="00000000">
        <w:rPr>
          <w:rtl w:val="0"/>
        </w:rPr>
      </w:r>
    </w:p>
    <w:p w:rsidR="00000000" w:rsidDel="00000000" w:rsidP="00000000" w:rsidRDefault="00000000" w:rsidRPr="00000000" w14:paraId="00000961">
      <w:pPr>
        <w:widowControl w:val="0"/>
        <w:pBdr>
          <w:top w:space="0" w:sz="0" w:val="nil"/>
          <w:left w:space="0" w:sz="0" w:val="nil"/>
          <w:bottom w:space="0" w:sz="0" w:val="nil"/>
          <w:right w:space="0" w:sz="0" w:val="nil"/>
          <w:between w:space="0" w:sz="0" w:val="nil"/>
        </w:pBdr>
        <w:spacing w:after="0" w:line="480" w:lineRule="auto"/>
        <w:ind w:left="440" w:hanging="440"/>
        <w:rPr>
          <w:color w:val="000000"/>
        </w:rPr>
      </w:pPr>
      <w:r w:rsidDel="00000000" w:rsidR="00000000" w:rsidRPr="00000000">
        <w:rPr>
          <w:color w:val="000000"/>
          <w:rtl w:val="0"/>
        </w:rPr>
        <w:t xml:space="preserve">140.</w:t>
        <w:tab/>
      </w:r>
      <w:hyperlink r:id="rId1019">
        <w:r w:rsidDel="00000000" w:rsidR="00000000" w:rsidRPr="00000000">
          <w:rPr>
            <w:color w:val="000000"/>
            <w:rtl w:val="0"/>
          </w:rPr>
          <w:t xml:space="preserve">Skoglund, P. </w:t>
        </w:r>
      </w:hyperlink>
      <w:hyperlink r:id="rId1020">
        <w:r w:rsidDel="00000000" w:rsidR="00000000" w:rsidRPr="00000000">
          <w:rPr>
            <w:i w:val="1"/>
            <w:color w:val="000000"/>
            <w:rtl w:val="0"/>
          </w:rPr>
          <w:t xml:space="preserve">et al.</w:t>
        </w:r>
      </w:hyperlink>
      <w:hyperlink r:id="rId1021">
        <w:r w:rsidDel="00000000" w:rsidR="00000000" w:rsidRPr="00000000">
          <w:rPr>
            <w:color w:val="000000"/>
            <w:rtl w:val="0"/>
          </w:rPr>
          <w:t xml:space="preserve"> Separating endogenous ancient DNA from modern day contamination in a Siberian Neandertal. </w:t>
        </w:r>
      </w:hyperlink>
      <w:hyperlink r:id="rId1022">
        <w:r w:rsidDel="00000000" w:rsidR="00000000" w:rsidRPr="00000000">
          <w:rPr>
            <w:i w:val="1"/>
            <w:color w:val="000000"/>
            <w:rtl w:val="0"/>
          </w:rPr>
          <w:t xml:space="preserve">Proc. Natl. Acad. Sci. U. S. A.</w:t>
        </w:r>
      </w:hyperlink>
      <w:hyperlink r:id="rId1023">
        <w:r w:rsidDel="00000000" w:rsidR="00000000" w:rsidRPr="00000000">
          <w:rPr>
            <w:color w:val="000000"/>
            <w:rtl w:val="0"/>
          </w:rPr>
          <w:t xml:space="preserve"> </w:t>
        </w:r>
      </w:hyperlink>
      <w:hyperlink r:id="rId1024">
        <w:r w:rsidDel="00000000" w:rsidR="00000000" w:rsidRPr="00000000">
          <w:rPr>
            <w:b w:val="1"/>
            <w:color w:val="000000"/>
            <w:rtl w:val="0"/>
          </w:rPr>
          <w:t xml:space="preserve">111</w:t>
        </w:r>
      </w:hyperlink>
      <w:hyperlink r:id="rId1025">
        <w:r w:rsidDel="00000000" w:rsidR="00000000" w:rsidRPr="00000000">
          <w:rPr>
            <w:color w:val="000000"/>
            <w:rtl w:val="0"/>
          </w:rPr>
          <w:t xml:space="preserve">, 2229–2234 (2014).</w:t>
        </w:r>
      </w:hyperlink>
      <w:r w:rsidDel="00000000" w:rsidR="00000000" w:rsidRPr="00000000">
        <w:rPr>
          <w:rtl w:val="0"/>
        </w:rPr>
      </w:r>
    </w:p>
    <w:p w:rsidR="00000000" w:rsidDel="00000000" w:rsidP="00000000" w:rsidRDefault="00000000" w:rsidRPr="00000000" w14:paraId="00000962">
      <w:pPr>
        <w:widowControl w:val="0"/>
        <w:pBdr>
          <w:top w:space="0" w:sz="0" w:val="nil"/>
          <w:left w:space="0" w:sz="0" w:val="nil"/>
          <w:bottom w:space="0" w:sz="0" w:val="nil"/>
          <w:right w:space="0" w:sz="0" w:val="nil"/>
          <w:between w:space="0" w:sz="0" w:val="nil"/>
        </w:pBdr>
        <w:spacing w:after="0" w:line="480" w:lineRule="auto"/>
        <w:ind w:left="440" w:hanging="440"/>
        <w:rPr>
          <w:color w:val="000000"/>
        </w:rPr>
      </w:pPr>
      <w:r w:rsidDel="00000000" w:rsidR="00000000" w:rsidRPr="00000000">
        <w:rPr>
          <w:color w:val="000000"/>
          <w:rtl w:val="0"/>
        </w:rPr>
        <w:t xml:space="preserve">141.</w:t>
        <w:tab/>
      </w:r>
      <w:hyperlink r:id="rId1026">
        <w:r w:rsidDel="00000000" w:rsidR="00000000" w:rsidRPr="00000000">
          <w:rPr>
            <w:color w:val="000000"/>
            <w:rtl w:val="0"/>
          </w:rPr>
          <w:t xml:space="preserve">O’Sullivan, N. </w:t>
        </w:r>
      </w:hyperlink>
      <w:hyperlink r:id="rId1027">
        <w:r w:rsidDel="00000000" w:rsidR="00000000" w:rsidRPr="00000000">
          <w:rPr>
            <w:i w:val="1"/>
            <w:color w:val="000000"/>
            <w:rtl w:val="0"/>
          </w:rPr>
          <w:t xml:space="preserve">et al.</w:t>
        </w:r>
      </w:hyperlink>
      <w:hyperlink r:id="rId1028">
        <w:r w:rsidDel="00000000" w:rsidR="00000000" w:rsidRPr="00000000">
          <w:rPr>
            <w:color w:val="000000"/>
            <w:rtl w:val="0"/>
          </w:rPr>
          <w:t xml:space="preserve"> Ancient genome-wide analyses infer kinship structure in an Early Medieval Alemannic graveyard. </w:t>
        </w:r>
      </w:hyperlink>
      <w:hyperlink r:id="rId1029">
        <w:r w:rsidDel="00000000" w:rsidR="00000000" w:rsidRPr="00000000">
          <w:rPr>
            <w:i w:val="1"/>
            <w:color w:val="000000"/>
            <w:rtl w:val="0"/>
          </w:rPr>
          <w:t xml:space="preserve">Sci Adv</w:t>
        </w:r>
      </w:hyperlink>
      <w:hyperlink r:id="rId1030">
        <w:r w:rsidDel="00000000" w:rsidR="00000000" w:rsidRPr="00000000">
          <w:rPr>
            <w:color w:val="000000"/>
            <w:rtl w:val="0"/>
          </w:rPr>
          <w:t xml:space="preserve"> </w:t>
        </w:r>
      </w:hyperlink>
      <w:hyperlink r:id="rId1031">
        <w:r w:rsidDel="00000000" w:rsidR="00000000" w:rsidRPr="00000000">
          <w:rPr>
            <w:b w:val="1"/>
            <w:color w:val="000000"/>
            <w:rtl w:val="0"/>
          </w:rPr>
          <w:t xml:space="preserve">4</w:t>
        </w:r>
      </w:hyperlink>
      <w:hyperlink r:id="rId1032">
        <w:r w:rsidDel="00000000" w:rsidR="00000000" w:rsidRPr="00000000">
          <w:rPr>
            <w:color w:val="000000"/>
            <w:rtl w:val="0"/>
          </w:rPr>
          <w:t xml:space="preserve">, eaao1262 (2018).</w:t>
        </w:r>
      </w:hyperlink>
      <w:r w:rsidDel="00000000" w:rsidR="00000000" w:rsidRPr="00000000">
        <w:rPr>
          <w:rtl w:val="0"/>
        </w:rPr>
      </w:r>
    </w:p>
    <w:p w:rsidR="00000000" w:rsidDel="00000000" w:rsidP="00000000" w:rsidRDefault="00000000" w:rsidRPr="00000000" w14:paraId="00000963">
      <w:pPr>
        <w:widowControl w:val="0"/>
        <w:pBdr>
          <w:top w:space="0" w:sz="0" w:val="nil"/>
          <w:left w:space="0" w:sz="0" w:val="nil"/>
          <w:bottom w:space="0" w:sz="0" w:val="nil"/>
          <w:right w:space="0" w:sz="0" w:val="nil"/>
          <w:between w:space="0" w:sz="0" w:val="nil"/>
        </w:pBdr>
        <w:spacing w:after="0" w:line="480" w:lineRule="auto"/>
        <w:ind w:left="440" w:hanging="440"/>
        <w:rPr>
          <w:color w:val="000000"/>
        </w:rPr>
      </w:pPr>
      <w:r w:rsidDel="00000000" w:rsidR="00000000" w:rsidRPr="00000000">
        <w:rPr>
          <w:color w:val="000000"/>
          <w:rtl w:val="0"/>
        </w:rPr>
        <w:t xml:space="preserve">142.</w:t>
        <w:tab/>
      </w:r>
      <w:hyperlink r:id="rId1033">
        <w:r w:rsidDel="00000000" w:rsidR="00000000" w:rsidRPr="00000000">
          <w:rPr>
            <w:color w:val="000000"/>
            <w:rtl w:val="0"/>
          </w:rPr>
          <w:t xml:space="preserve">Valdiosera, C. </w:t>
        </w:r>
      </w:hyperlink>
      <w:hyperlink r:id="rId1034">
        <w:r w:rsidDel="00000000" w:rsidR="00000000" w:rsidRPr="00000000">
          <w:rPr>
            <w:i w:val="1"/>
            <w:color w:val="000000"/>
            <w:rtl w:val="0"/>
          </w:rPr>
          <w:t xml:space="preserve">et al.</w:t>
        </w:r>
      </w:hyperlink>
      <w:hyperlink r:id="rId1035">
        <w:r w:rsidDel="00000000" w:rsidR="00000000" w:rsidRPr="00000000">
          <w:rPr>
            <w:color w:val="000000"/>
            <w:rtl w:val="0"/>
          </w:rPr>
          <w:t xml:space="preserve"> Four millennia of Iberian biomolecular prehistory illustrate the impact of prehistoric migrations at the far end of Eurasia. </w:t>
        </w:r>
      </w:hyperlink>
      <w:hyperlink r:id="rId1036">
        <w:r w:rsidDel="00000000" w:rsidR="00000000" w:rsidRPr="00000000">
          <w:rPr>
            <w:i w:val="1"/>
            <w:color w:val="000000"/>
            <w:rtl w:val="0"/>
          </w:rPr>
          <w:t xml:space="preserve">Proc. Natl. Acad. Sci. U. S. A.</w:t>
        </w:r>
      </w:hyperlink>
      <w:hyperlink r:id="rId1037">
        <w:r w:rsidDel="00000000" w:rsidR="00000000" w:rsidRPr="00000000">
          <w:rPr>
            <w:color w:val="000000"/>
            <w:rtl w:val="0"/>
          </w:rPr>
          <w:t xml:space="preserve"> </w:t>
        </w:r>
      </w:hyperlink>
      <w:hyperlink r:id="rId1038">
        <w:r w:rsidDel="00000000" w:rsidR="00000000" w:rsidRPr="00000000">
          <w:rPr>
            <w:b w:val="1"/>
            <w:color w:val="000000"/>
            <w:rtl w:val="0"/>
          </w:rPr>
          <w:t xml:space="preserve">115</w:t>
        </w:r>
      </w:hyperlink>
      <w:hyperlink r:id="rId1039">
        <w:r w:rsidDel="00000000" w:rsidR="00000000" w:rsidRPr="00000000">
          <w:rPr>
            <w:color w:val="000000"/>
            <w:rtl w:val="0"/>
          </w:rPr>
          <w:t xml:space="preserve">, 3428–3433 (2018).</w:t>
        </w:r>
      </w:hyperlink>
      <w:r w:rsidDel="00000000" w:rsidR="00000000" w:rsidRPr="00000000">
        <w:rPr>
          <w:rtl w:val="0"/>
        </w:rPr>
      </w:r>
    </w:p>
    <w:p w:rsidR="00000000" w:rsidDel="00000000" w:rsidP="00000000" w:rsidRDefault="00000000" w:rsidRPr="00000000" w14:paraId="00000964">
      <w:pPr>
        <w:widowControl w:val="0"/>
        <w:pBdr>
          <w:top w:space="0" w:sz="0" w:val="nil"/>
          <w:left w:space="0" w:sz="0" w:val="nil"/>
          <w:bottom w:space="0" w:sz="0" w:val="nil"/>
          <w:right w:space="0" w:sz="0" w:val="nil"/>
          <w:between w:space="0" w:sz="0" w:val="nil"/>
        </w:pBdr>
        <w:spacing w:after="0" w:line="480" w:lineRule="auto"/>
        <w:ind w:left="440" w:hanging="440"/>
        <w:rPr>
          <w:color w:val="000000"/>
        </w:rPr>
      </w:pPr>
      <w:r w:rsidDel="00000000" w:rsidR="00000000" w:rsidRPr="00000000">
        <w:rPr>
          <w:color w:val="000000"/>
          <w:rtl w:val="0"/>
        </w:rPr>
        <w:t xml:space="preserve">143.</w:t>
        <w:tab/>
      </w:r>
      <w:hyperlink r:id="rId1040">
        <w:r w:rsidDel="00000000" w:rsidR="00000000" w:rsidRPr="00000000">
          <w:rPr>
            <w:color w:val="000000"/>
            <w:rtl w:val="0"/>
          </w:rPr>
          <w:t xml:space="preserve">Veeramah, K. R. </w:t>
        </w:r>
      </w:hyperlink>
      <w:hyperlink r:id="rId1041">
        <w:r w:rsidDel="00000000" w:rsidR="00000000" w:rsidRPr="00000000">
          <w:rPr>
            <w:i w:val="1"/>
            <w:color w:val="000000"/>
            <w:rtl w:val="0"/>
          </w:rPr>
          <w:t xml:space="preserve">et al.</w:t>
        </w:r>
      </w:hyperlink>
      <w:hyperlink r:id="rId1042">
        <w:r w:rsidDel="00000000" w:rsidR="00000000" w:rsidRPr="00000000">
          <w:rPr>
            <w:color w:val="000000"/>
            <w:rtl w:val="0"/>
          </w:rPr>
          <w:t xml:space="preserve"> Population genomic analysis of elongated skulls reveals extensive female-biased immigration in Early Medieval Bavaria. </w:t>
        </w:r>
      </w:hyperlink>
      <w:hyperlink r:id="rId1043">
        <w:r w:rsidDel="00000000" w:rsidR="00000000" w:rsidRPr="00000000">
          <w:rPr>
            <w:i w:val="1"/>
            <w:color w:val="000000"/>
            <w:rtl w:val="0"/>
          </w:rPr>
          <w:t xml:space="preserve">Proc. Natl. Acad. Sci. U. S. A.</w:t>
        </w:r>
      </w:hyperlink>
      <w:hyperlink r:id="rId1044">
        <w:r w:rsidDel="00000000" w:rsidR="00000000" w:rsidRPr="00000000">
          <w:rPr>
            <w:color w:val="000000"/>
            <w:rtl w:val="0"/>
          </w:rPr>
          <w:t xml:space="preserve"> </w:t>
        </w:r>
      </w:hyperlink>
      <w:hyperlink r:id="rId1045">
        <w:r w:rsidDel="00000000" w:rsidR="00000000" w:rsidRPr="00000000">
          <w:rPr>
            <w:b w:val="1"/>
            <w:color w:val="000000"/>
            <w:rtl w:val="0"/>
          </w:rPr>
          <w:t xml:space="preserve">115</w:t>
        </w:r>
      </w:hyperlink>
      <w:hyperlink r:id="rId1046">
        <w:r w:rsidDel="00000000" w:rsidR="00000000" w:rsidRPr="00000000">
          <w:rPr>
            <w:color w:val="000000"/>
            <w:rtl w:val="0"/>
          </w:rPr>
          <w:t xml:space="preserve">, 3494–3499 (2018).</w:t>
        </w:r>
      </w:hyperlink>
      <w:r w:rsidDel="00000000" w:rsidR="00000000" w:rsidRPr="00000000">
        <w:rPr>
          <w:rtl w:val="0"/>
        </w:rPr>
      </w:r>
    </w:p>
    <w:p w:rsidR="00000000" w:rsidDel="00000000" w:rsidP="00000000" w:rsidRDefault="00000000" w:rsidRPr="00000000" w14:paraId="00000965">
      <w:pPr>
        <w:widowControl w:val="0"/>
        <w:pBdr>
          <w:top w:space="0" w:sz="0" w:val="nil"/>
          <w:left w:space="0" w:sz="0" w:val="nil"/>
          <w:bottom w:space="0" w:sz="0" w:val="nil"/>
          <w:right w:space="0" w:sz="0" w:val="nil"/>
          <w:between w:space="0" w:sz="0" w:val="nil"/>
        </w:pBdr>
        <w:spacing w:after="0" w:line="480" w:lineRule="auto"/>
        <w:ind w:left="440" w:hanging="440"/>
        <w:rPr>
          <w:color w:val="000000"/>
        </w:rPr>
      </w:pPr>
      <w:r w:rsidDel="00000000" w:rsidR="00000000" w:rsidRPr="00000000">
        <w:rPr>
          <w:color w:val="000000"/>
          <w:rtl w:val="0"/>
        </w:rPr>
        <w:t xml:space="preserve">144.</w:t>
        <w:tab/>
      </w:r>
      <w:hyperlink r:id="rId1047">
        <w:r w:rsidDel="00000000" w:rsidR="00000000" w:rsidRPr="00000000">
          <w:rPr>
            <w:color w:val="000000"/>
            <w:rtl w:val="0"/>
          </w:rPr>
          <w:t xml:space="preserve">Villalba-Mouco, V. </w:t>
        </w:r>
      </w:hyperlink>
      <w:hyperlink r:id="rId1048">
        <w:r w:rsidDel="00000000" w:rsidR="00000000" w:rsidRPr="00000000">
          <w:rPr>
            <w:i w:val="1"/>
            <w:color w:val="000000"/>
            <w:rtl w:val="0"/>
          </w:rPr>
          <w:t xml:space="preserve">et al.</w:t>
        </w:r>
      </w:hyperlink>
      <w:hyperlink r:id="rId1049">
        <w:r w:rsidDel="00000000" w:rsidR="00000000" w:rsidRPr="00000000">
          <w:rPr>
            <w:color w:val="000000"/>
            <w:rtl w:val="0"/>
          </w:rPr>
          <w:t xml:space="preserve"> Survival of Late Pleistocene Hunter-Gatherer Ancestry in the Iberian Peninsula. </w:t>
        </w:r>
      </w:hyperlink>
      <w:hyperlink r:id="rId1050">
        <w:r w:rsidDel="00000000" w:rsidR="00000000" w:rsidRPr="00000000">
          <w:rPr>
            <w:i w:val="1"/>
            <w:color w:val="000000"/>
            <w:rtl w:val="0"/>
          </w:rPr>
          <w:t xml:space="preserve">Curr. Biol.</w:t>
        </w:r>
      </w:hyperlink>
      <w:hyperlink r:id="rId1051">
        <w:r w:rsidDel="00000000" w:rsidR="00000000" w:rsidRPr="00000000">
          <w:rPr>
            <w:color w:val="000000"/>
            <w:rtl w:val="0"/>
          </w:rPr>
          <w:t xml:space="preserve"> </w:t>
        </w:r>
      </w:hyperlink>
      <w:hyperlink r:id="rId1052">
        <w:r w:rsidDel="00000000" w:rsidR="00000000" w:rsidRPr="00000000">
          <w:rPr>
            <w:b w:val="1"/>
            <w:color w:val="000000"/>
            <w:rtl w:val="0"/>
          </w:rPr>
          <w:t xml:space="preserve">29</w:t>
        </w:r>
      </w:hyperlink>
      <w:hyperlink r:id="rId1053">
        <w:r w:rsidDel="00000000" w:rsidR="00000000" w:rsidRPr="00000000">
          <w:rPr>
            <w:color w:val="000000"/>
            <w:rtl w:val="0"/>
          </w:rPr>
          <w:t xml:space="preserve">, 1169–1177.e7 (2019).</w:t>
        </w:r>
      </w:hyperlink>
      <w:r w:rsidDel="00000000" w:rsidR="00000000" w:rsidRPr="00000000">
        <w:rPr>
          <w:rtl w:val="0"/>
        </w:rPr>
      </w:r>
    </w:p>
    <w:p w:rsidR="00000000" w:rsidDel="00000000" w:rsidP="00000000" w:rsidRDefault="00000000" w:rsidRPr="00000000" w14:paraId="00000966">
      <w:pPr>
        <w:widowControl w:val="0"/>
        <w:pBdr>
          <w:top w:space="0" w:sz="0" w:val="nil"/>
          <w:left w:space="0" w:sz="0" w:val="nil"/>
          <w:bottom w:space="0" w:sz="0" w:val="nil"/>
          <w:right w:space="0" w:sz="0" w:val="nil"/>
          <w:between w:space="0" w:sz="0" w:val="nil"/>
        </w:pBdr>
        <w:spacing w:after="0" w:line="480" w:lineRule="auto"/>
        <w:ind w:left="440" w:hanging="440"/>
        <w:rPr>
          <w:color w:val="000000"/>
        </w:rPr>
      </w:pPr>
      <w:r w:rsidDel="00000000" w:rsidR="00000000" w:rsidRPr="00000000">
        <w:rPr>
          <w:color w:val="000000"/>
          <w:rtl w:val="0"/>
        </w:rPr>
        <w:t xml:space="preserve">145.</w:t>
        <w:tab/>
      </w:r>
      <w:hyperlink r:id="rId1054">
        <w:r w:rsidDel="00000000" w:rsidR="00000000" w:rsidRPr="00000000">
          <w:rPr>
            <w:color w:val="000000"/>
            <w:rtl w:val="0"/>
          </w:rPr>
          <w:t xml:space="preserve">Wang, C.-C. </w:t>
        </w:r>
      </w:hyperlink>
      <w:hyperlink r:id="rId1055">
        <w:r w:rsidDel="00000000" w:rsidR="00000000" w:rsidRPr="00000000">
          <w:rPr>
            <w:i w:val="1"/>
            <w:color w:val="000000"/>
            <w:rtl w:val="0"/>
          </w:rPr>
          <w:t xml:space="preserve">et al.</w:t>
        </w:r>
      </w:hyperlink>
      <w:hyperlink r:id="rId1056">
        <w:r w:rsidDel="00000000" w:rsidR="00000000" w:rsidRPr="00000000">
          <w:rPr>
            <w:color w:val="000000"/>
            <w:rtl w:val="0"/>
          </w:rPr>
          <w:t xml:space="preserve"> Ancient human genome-wide data from a 3000-year interval in the Caucasus corresponds with eco-geographic regions. </w:t>
        </w:r>
      </w:hyperlink>
      <w:hyperlink r:id="rId1057">
        <w:r w:rsidDel="00000000" w:rsidR="00000000" w:rsidRPr="00000000">
          <w:rPr>
            <w:i w:val="1"/>
            <w:color w:val="000000"/>
            <w:rtl w:val="0"/>
          </w:rPr>
          <w:t xml:space="preserve">Nat. Commun.</w:t>
        </w:r>
      </w:hyperlink>
      <w:hyperlink r:id="rId1058">
        <w:r w:rsidDel="00000000" w:rsidR="00000000" w:rsidRPr="00000000">
          <w:rPr>
            <w:color w:val="000000"/>
            <w:rtl w:val="0"/>
          </w:rPr>
          <w:t xml:space="preserve"> </w:t>
        </w:r>
      </w:hyperlink>
      <w:hyperlink r:id="rId1059">
        <w:r w:rsidDel="00000000" w:rsidR="00000000" w:rsidRPr="00000000">
          <w:rPr>
            <w:b w:val="1"/>
            <w:color w:val="000000"/>
            <w:rtl w:val="0"/>
          </w:rPr>
          <w:t xml:space="preserve">10</w:t>
        </w:r>
      </w:hyperlink>
      <w:hyperlink r:id="rId1060">
        <w:r w:rsidDel="00000000" w:rsidR="00000000" w:rsidRPr="00000000">
          <w:rPr>
            <w:color w:val="000000"/>
            <w:rtl w:val="0"/>
          </w:rPr>
          <w:t xml:space="preserve">, 1–13 (2019).</w:t>
        </w:r>
      </w:hyperlink>
      <w:r w:rsidDel="00000000" w:rsidR="00000000" w:rsidRPr="00000000">
        <w:rPr>
          <w:rtl w:val="0"/>
        </w:rPr>
      </w:r>
    </w:p>
    <w:p w:rsidR="00000000" w:rsidDel="00000000" w:rsidP="00000000" w:rsidRDefault="00000000" w:rsidRPr="00000000" w14:paraId="00000967">
      <w:pPr>
        <w:widowControl w:val="0"/>
        <w:pBdr>
          <w:top w:space="0" w:sz="0" w:val="nil"/>
          <w:left w:space="0" w:sz="0" w:val="nil"/>
          <w:bottom w:space="0" w:sz="0" w:val="nil"/>
          <w:right w:space="0" w:sz="0" w:val="nil"/>
          <w:between w:space="0" w:sz="0" w:val="nil"/>
        </w:pBdr>
        <w:spacing w:after="0" w:line="480" w:lineRule="auto"/>
        <w:ind w:left="440" w:hanging="440"/>
        <w:rPr>
          <w:color w:val="000000"/>
        </w:rPr>
      </w:pPr>
      <w:r w:rsidDel="00000000" w:rsidR="00000000" w:rsidRPr="00000000">
        <w:rPr>
          <w:color w:val="000000"/>
          <w:rtl w:val="0"/>
        </w:rPr>
        <w:t xml:space="preserve">146.</w:t>
        <w:tab/>
      </w:r>
      <w:hyperlink r:id="rId1061">
        <w:r w:rsidDel="00000000" w:rsidR="00000000" w:rsidRPr="00000000">
          <w:rPr>
            <w:color w:val="000000"/>
            <w:rtl w:val="0"/>
          </w:rPr>
          <w:t xml:space="preserve">Semino, O. </w:t>
        </w:r>
      </w:hyperlink>
      <w:hyperlink r:id="rId1062">
        <w:r w:rsidDel="00000000" w:rsidR="00000000" w:rsidRPr="00000000">
          <w:rPr>
            <w:i w:val="1"/>
            <w:color w:val="000000"/>
            <w:rtl w:val="0"/>
          </w:rPr>
          <w:t xml:space="preserve">et al.</w:t>
        </w:r>
      </w:hyperlink>
      <w:hyperlink r:id="rId1063">
        <w:r w:rsidDel="00000000" w:rsidR="00000000" w:rsidRPr="00000000">
          <w:rPr>
            <w:color w:val="000000"/>
            <w:rtl w:val="0"/>
          </w:rPr>
          <w:t xml:space="preserve"> Origin, diffusion, and differentiation of Y-chromosome haplogroups E and J: inferences on the neolithization of Europe and later migratory events in the Mediterranean area. </w:t>
        </w:r>
      </w:hyperlink>
      <w:hyperlink r:id="rId1064">
        <w:r w:rsidDel="00000000" w:rsidR="00000000" w:rsidRPr="00000000">
          <w:rPr>
            <w:i w:val="1"/>
            <w:color w:val="000000"/>
            <w:rtl w:val="0"/>
          </w:rPr>
          <w:t xml:space="preserve">Am. J. Hum. Genet.</w:t>
        </w:r>
      </w:hyperlink>
      <w:hyperlink r:id="rId1065">
        <w:r w:rsidDel="00000000" w:rsidR="00000000" w:rsidRPr="00000000">
          <w:rPr>
            <w:color w:val="000000"/>
            <w:rtl w:val="0"/>
          </w:rPr>
          <w:t xml:space="preserve"> </w:t>
        </w:r>
      </w:hyperlink>
      <w:hyperlink r:id="rId1066">
        <w:r w:rsidDel="00000000" w:rsidR="00000000" w:rsidRPr="00000000">
          <w:rPr>
            <w:b w:val="1"/>
            <w:color w:val="000000"/>
            <w:rtl w:val="0"/>
          </w:rPr>
          <w:t xml:space="preserve">74</w:t>
        </w:r>
      </w:hyperlink>
      <w:hyperlink r:id="rId1067">
        <w:r w:rsidDel="00000000" w:rsidR="00000000" w:rsidRPr="00000000">
          <w:rPr>
            <w:color w:val="000000"/>
            <w:rtl w:val="0"/>
          </w:rPr>
          <w:t xml:space="preserve">, 1023–1034 (2004).</w:t>
        </w:r>
      </w:hyperlink>
      <w:r w:rsidDel="00000000" w:rsidR="00000000" w:rsidRPr="00000000">
        <w:rPr>
          <w:rtl w:val="0"/>
        </w:rPr>
      </w:r>
    </w:p>
    <w:p w:rsidR="00000000" w:rsidDel="00000000" w:rsidP="00000000" w:rsidRDefault="00000000" w:rsidRPr="00000000" w14:paraId="00000968">
      <w:pPr>
        <w:widowControl w:val="0"/>
        <w:pBdr>
          <w:top w:space="0" w:sz="0" w:val="nil"/>
          <w:left w:space="0" w:sz="0" w:val="nil"/>
          <w:bottom w:space="0" w:sz="0" w:val="nil"/>
          <w:right w:space="0" w:sz="0" w:val="nil"/>
          <w:between w:space="0" w:sz="0" w:val="nil"/>
        </w:pBdr>
        <w:spacing w:after="0" w:line="480" w:lineRule="auto"/>
        <w:ind w:left="440" w:hanging="440"/>
        <w:rPr>
          <w:color w:val="000000"/>
        </w:rPr>
      </w:pPr>
      <w:r w:rsidDel="00000000" w:rsidR="00000000" w:rsidRPr="00000000">
        <w:rPr>
          <w:color w:val="000000"/>
          <w:rtl w:val="0"/>
        </w:rPr>
        <w:t xml:space="preserve">147.</w:t>
        <w:tab/>
      </w:r>
      <w:hyperlink r:id="rId1068">
        <w:r w:rsidDel="00000000" w:rsidR="00000000" w:rsidRPr="00000000">
          <w:rPr>
            <w:color w:val="000000"/>
            <w:rtl w:val="0"/>
          </w:rPr>
          <w:t xml:space="preserve">Lipatov, M., Sanjeev, K., Patro, R. &amp; Veeramah, K. R. Maximum Likelihood Estimation of Biological Relatedness from Low Coverage Sequencing Data. </w:t>
        </w:r>
      </w:hyperlink>
      <w:hyperlink r:id="rId1069">
        <w:r w:rsidDel="00000000" w:rsidR="00000000" w:rsidRPr="00000000">
          <w:rPr>
            <w:i w:val="1"/>
            <w:color w:val="000000"/>
            <w:rtl w:val="0"/>
          </w:rPr>
          <w:t xml:space="preserve">bioRxiv</w:t>
        </w:r>
      </w:hyperlink>
      <w:hyperlink r:id="rId1070">
        <w:r w:rsidDel="00000000" w:rsidR="00000000" w:rsidRPr="00000000">
          <w:rPr>
            <w:color w:val="000000"/>
            <w:rtl w:val="0"/>
          </w:rPr>
          <w:t xml:space="preserve"> 023374 (2015) doi:</w:t>
        </w:r>
      </w:hyperlink>
      <w:hyperlink r:id="rId1071">
        <w:r w:rsidDel="00000000" w:rsidR="00000000" w:rsidRPr="00000000">
          <w:rPr>
            <w:color w:val="000000"/>
            <w:rtl w:val="0"/>
          </w:rPr>
          <w:t xml:space="preserve">10.1101/023374</w:t>
        </w:r>
      </w:hyperlink>
      <w:hyperlink r:id="rId1072">
        <w:r w:rsidDel="00000000" w:rsidR="00000000" w:rsidRPr="00000000">
          <w:rPr>
            <w:color w:val="000000"/>
            <w:rtl w:val="0"/>
          </w:rPr>
          <w:t xml:space="preserve">.</w:t>
        </w:r>
      </w:hyperlink>
      <w:r w:rsidDel="00000000" w:rsidR="00000000" w:rsidRPr="00000000">
        <w:rPr>
          <w:rtl w:val="0"/>
        </w:rPr>
      </w:r>
    </w:p>
    <w:p w:rsidR="00000000" w:rsidDel="00000000" w:rsidP="00000000" w:rsidRDefault="00000000" w:rsidRPr="00000000" w14:paraId="00000969">
      <w:pPr>
        <w:widowControl w:val="0"/>
        <w:pBdr>
          <w:top w:space="0" w:sz="0" w:val="nil"/>
          <w:left w:space="0" w:sz="0" w:val="nil"/>
          <w:bottom w:space="0" w:sz="0" w:val="nil"/>
          <w:right w:space="0" w:sz="0" w:val="nil"/>
          <w:between w:space="0" w:sz="0" w:val="nil"/>
        </w:pBdr>
        <w:spacing w:after="0" w:line="480" w:lineRule="auto"/>
        <w:ind w:left="440" w:hanging="440"/>
        <w:rPr>
          <w:color w:val="000000"/>
        </w:rPr>
      </w:pPr>
      <w:r w:rsidDel="00000000" w:rsidR="00000000" w:rsidRPr="00000000">
        <w:rPr>
          <w:color w:val="000000"/>
          <w:rtl w:val="0"/>
        </w:rPr>
        <w:t xml:space="preserve">148.</w:t>
        <w:tab/>
      </w:r>
      <w:hyperlink r:id="rId1073">
        <w:r w:rsidDel="00000000" w:rsidR="00000000" w:rsidRPr="00000000">
          <w:rPr>
            <w:color w:val="000000"/>
            <w:rtl w:val="0"/>
          </w:rPr>
          <w:t xml:space="preserve">Lall, G. M. </w:t>
        </w:r>
      </w:hyperlink>
      <w:hyperlink r:id="rId1074">
        <w:r w:rsidDel="00000000" w:rsidR="00000000" w:rsidRPr="00000000">
          <w:rPr>
            <w:i w:val="1"/>
            <w:color w:val="000000"/>
            <w:rtl w:val="0"/>
          </w:rPr>
          <w:t xml:space="preserve">et al.</w:t>
        </w:r>
      </w:hyperlink>
      <w:hyperlink r:id="rId1075">
        <w:r w:rsidDel="00000000" w:rsidR="00000000" w:rsidRPr="00000000">
          <w:rPr>
            <w:color w:val="000000"/>
            <w:rtl w:val="0"/>
          </w:rPr>
          <w:t xml:space="preserve"> Subdividing Y-chromosome haplogroup R1a1 reveals Norse Viking dispersal lineages in Britain. </w:t>
        </w:r>
      </w:hyperlink>
      <w:hyperlink r:id="rId1076">
        <w:r w:rsidDel="00000000" w:rsidR="00000000" w:rsidRPr="00000000">
          <w:rPr>
            <w:i w:val="1"/>
            <w:color w:val="000000"/>
            <w:rtl w:val="0"/>
          </w:rPr>
          <w:t xml:space="preserve">Eur. J. Hum. Genet.</w:t>
        </w:r>
      </w:hyperlink>
      <w:hyperlink r:id="rId1077">
        <w:r w:rsidDel="00000000" w:rsidR="00000000" w:rsidRPr="00000000">
          <w:rPr>
            <w:color w:val="000000"/>
            <w:rtl w:val="0"/>
          </w:rPr>
          <w:t xml:space="preserve"> </w:t>
        </w:r>
      </w:hyperlink>
      <w:hyperlink r:id="rId1078">
        <w:r w:rsidDel="00000000" w:rsidR="00000000" w:rsidRPr="00000000">
          <w:rPr>
            <w:b w:val="1"/>
            <w:color w:val="000000"/>
            <w:rtl w:val="0"/>
          </w:rPr>
          <w:t xml:space="preserve">29</w:t>
        </w:r>
      </w:hyperlink>
      <w:hyperlink r:id="rId1079">
        <w:r w:rsidDel="00000000" w:rsidR="00000000" w:rsidRPr="00000000">
          <w:rPr>
            <w:color w:val="000000"/>
            <w:rtl w:val="0"/>
          </w:rPr>
          <w:t xml:space="preserve">, 512–523 (2020).</w:t>
        </w:r>
      </w:hyperlink>
      <w:r w:rsidDel="00000000" w:rsidR="00000000" w:rsidRPr="00000000">
        <w:rPr>
          <w:rtl w:val="0"/>
        </w:rPr>
      </w:r>
    </w:p>
    <w:p w:rsidR="00000000" w:rsidDel="00000000" w:rsidP="00000000" w:rsidRDefault="00000000" w:rsidRPr="00000000" w14:paraId="0000096A">
      <w:pPr>
        <w:widowControl w:val="0"/>
        <w:pBdr>
          <w:top w:space="0" w:sz="0" w:val="nil"/>
          <w:left w:space="0" w:sz="0" w:val="nil"/>
          <w:bottom w:space="0" w:sz="0" w:val="nil"/>
          <w:right w:space="0" w:sz="0" w:val="nil"/>
          <w:between w:space="0" w:sz="0" w:val="nil"/>
        </w:pBdr>
        <w:spacing w:after="0" w:line="480" w:lineRule="auto"/>
        <w:ind w:left="440" w:hanging="440"/>
        <w:rPr>
          <w:color w:val="000000"/>
        </w:rPr>
      </w:pPr>
      <w:r w:rsidDel="00000000" w:rsidR="00000000" w:rsidRPr="00000000">
        <w:rPr>
          <w:color w:val="000000"/>
          <w:rtl w:val="0"/>
        </w:rPr>
        <w:t xml:space="preserve">149.</w:t>
        <w:tab/>
      </w:r>
      <w:hyperlink r:id="rId1080">
        <w:r w:rsidDel="00000000" w:rsidR="00000000" w:rsidRPr="00000000">
          <w:rPr>
            <w:color w:val="000000"/>
            <w:rtl w:val="0"/>
          </w:rPr>
          <w:t xml:space="preserve">Ingman, M. &amp; Gyllensten, U. A recent genetic link between Sami and the Volga-Ural region of Russia. </w:t>
        </w:r>
      </w:hyperlink>
      <w:hyperlink r:id="rId1081">
        <w:r w:rsidDel="00000000" w:rsidR="00000000" w:rsidRPr="00000000">
          <w:rPr>
            <w:i w:val="1"/>
            <w:color w:val="000000"/>
            <w:rtl w:val="0"/>
          </w:rPr>
          <w:t xml:space="preserve">Eur. J. Hum. Genet.</w:t>
        </w:r>
      </w:hyperlink>
      <w:hyperlink r:id="rId1082">
        <w:r w:rsidDel="00000000" w:rsidR="00000000" w:rsidRPr="00000000">
          <w:rPr>
            <w:color w:val="000000"/>
            <w:rtl w:val="0"/>
          </w:rPr>
          <w:t xml:space="preserve"> </w:t>
        </w:r>
      </w:hyperlink>
      <w:hyperlink r:id="rId1083">
        <w:r w:rsidDel="00000000" w:rsidR="00000000" w:rsidRPr="00000000">
          <w:rPr>
            <w:b w:val="1"/>
            <w:color w:val="000000"/>
            <w:rtl w:val="0"/>
          </w:rPr>
          <w:t xml:space="preserve">15</w:t>
        </w:r>
      </w:hyperlink>
      <w:hyperlink r:id="rId1084">
        <w:r w:rsidDel="00000000" w:rsidR="00000000" w:rsidRPr="00000000">
          <w:rPr>
            <w:color w:val="000000"/>
            <w:rtl w:val="0"/>
          </w:rPr>
          <w:t xml:space="preserve">, 115–120 (2006).</w:t>
        </w:r>
      </w:hyperlink>
      <w:r w:rsidDel="00000000" w:rsidR="00000000" w:rsidRPr="00000000">
        <w:rPr>
          <w:rtl w:val="0"/>
        </w:rPr>
      </w:r>
    </w:p>
    <w:p w:rsidR="00000000" w:rsidDel="00000000" w:rsidP="00000000" w:rsidRDefault="00000000" w:rsidRPr="00000000" w14:paraId="0000096B">
      <w:pPr>
        <w:widowControl w:val="0"/>
        <w:pBdr>
          <w:top w:space="0" w:sz="0" w:val="nil"/>
          <w:left w:space="0" w:sz="0" w:val="nil"/>
          <w:bottom w:space="0" w:sz="0" w:val="nil"/>
          <w:right w:space="0" w:sz="0" w:val="nil"/>
          <w:between w:space="0" w:sz="0" w:val="nil"/>
        </w:pBdr>
        <w:spacing w:after="0" w:line="480" w:lineRule="auto"/>
        <w:ind w:left="440" w:hanging="440"/>
        <w:rPr>
          <w:color w:val="000000"/>
        </w:rPr>
      </w:pPr>
      <w:r w:rsidDel="00000000" w:rsidR="00000000" w:rsidRPr="00000000">
        <w:rPr>
          <w:color w:val="000000"/>
          <w:rtl w:val="0"/>
        </w:rPr>
        <w:t xml:space="preserve">150.</w:t>
        <w:tab/>
      </w:r>
      <w:hyperlink r:id="rId1085">
        <w:r w:rsidDel="00000000" w:rsidR="00000000" w:rsidRPr="00000000">
          <w:rPr>
            <w:color w:val="000000"/>
            <w:rtl w:val="0"/>
          </w:rPr>
          <w:t xml:space="preserve">Rootsi, S. </w:t>
        </w:r>
      </w:hyperlink>
      <w:hyperlink r:id="rId1086">
        <w:r w:rsidDel="00000000" w:rsidR="00000000" w:rsidRPr="00000000">
          <w:rPr>
            <w:i w:val="1"/>
            <w:color w:val="000000"/>
            <w:rtl w:val="0"/>
          </w:rPr>
          <w:t xml:space="preserve">et al.</w:t>
        </w:r>
      </w:hyperlink>
      <w:hyperlink r:id="rId1087">
        <w:r w:rsidDel="00000000" w:rsidR="00000000" w:rsidRPr="00000000">
          <w:rPr>
            <w:color w:val="000000"/>
            <w:rtl w:val="0"/>
          </w:rPr>
          <w:t xml:space="preserve"> Phylogeography of Y-chromosome haplogroup I reveals distinct domains of prehistoric gene flow in europe. </w:t>
        </w:r>
      </w:hyperlink>
      <w:hyperlink r:id="rId1088">
        <w:r w:rsidDel="00000000" w:rsidR="00000000" w:rsidRPr="00000000">
          <w:rPr>
            <w:i w:val="1"/>
            <w:color w:val="000000"/>
            <w:rtl w:val="0"/>
          </w:rPr>
          <w:t xml:space="preserve">Am. J. Hum. Genet.</w:t>
        </w:r>
      </w:hyperlink>
      <w:hyperlink r:id="rId1089">
        <w:r w:rsidDel="00000000" w:rsidR="00000000" w:rsidRPr="00000000">
          <w:rPr>
            <w:color w:val="000000"/>
            <w:rtl w:val="0"/>
          </w:rPr>
          <w:t xml:space="preserve"> </w:t>
        </w:r>
      </w:hyperlink>
      <w:hyperlink r:id="rId1090">
        <w:r w:rsidDel="00000000" w:rsidR="00000000" w:rsidRPr="00000000">
          <w:rPr>
            <w:b w:val="1"/>
            <w:color w:val="000000"/>
            <w:rtl w:val="0"/>
          </w:rPr>
          <w:t xml:space="preserve">75</w:t>
        </w:r>
      </w:hyperlink>
      <w:hyperlink r:id="rId1091">
        <w:r w:rsidDel="00000000" w:rsidR="00000000" w:rsidRPr="00000000">
          <w:rPr>
            <w:color w:val="000000"/>
            <w:rtl w:val="0"/>
          </w:rPr>
          <w:t xml:space="preserve">, 128–137 (2004).</w:t>
        </w:r>
      </w:hyperlink>
      <w:r w:rsidDel="00000000" w:rsidR="00000000" w:rsidRPr="00000000">
        <w:rPr>
          <w:rtl w:val="0"/>
        </w:rPr>
      </w:r>
    </w:p>
    <w:p w:rsidR="00000000" w:rsidDel="00000000" w:rsidP="00000000" w:rsidRDefault="00000000" w:rsidRPr="00000000" w14:paraId="0000096C">
      <w:pPr>
        <w:widowControl w:val="0"/>
        <w:pBdr>
          <w:top w:space="0" w:sz="0" w:val="nil"/>
          <w:left w:space="0" w:sz="0" w:val="nil"/>
          <w:bottom w:space="0" w:sz="0" w:val="nil"/>
          <w:right w:space="0" w:sz="0" w:val="nil"/>
          <w:between w:space="0" w:sz="0" w:val="nil"/>
        </w:pBdr>
        <w:spacing w:after="0" w:line="480" w:lineRule="auto"/>
        <w:ind w:left="440" w:hanging="440"/>
        <w:rPr>
          <w:color w:val="000000"/>
        </w:rPr>
      </w:pPr>
      <w:r w:rsidDel="00000000" w:rsidR="00000000" w:rsidRPr="00000000">
        <w:rPr>
          <w:color w:val="000000"/>
          <w:rtl w:val="0"/>
        </w:rPr>
        <w:t xml:space="preserve">151.</w:t>
        <w:tab/>
      </w:r>
      <w:hyperlink r:id="rId1092">
        <w:r w:rsidDel="00000000" w:rsidR="00000000" w:rsidRPr="00000000">
          <w:rPr>
            <w:color w:val="000000"/>
            <w:rtl w:val="0"/>
          </w:rPr>
          <w:t xml:space="preserve">Myres, N. M. </w:t>
        </w:r>
      </w:hyperlink>
      <w:hyperlink r:id="rId1093">
        <w:r w:rsidDel="00000000" w:rsidR="00000000" w:rsidRPr="00000000">
          <w:rPr>
            <w:i w:val="1"/>
            <w:color w:val="000000"/>
            <w:rtl w:val="0"/>
          </w:rPr>
          <w:t xml:space="preserve">et al.</w:t>
        </w:r>
      </w:hyperlink>
      <w:hyperlink r:id="rId1094">
        <w:r w:rsidDel="00000000" w:rsidR="00000000" w:rsidRPr="00000000">
          <w:rPr>
            <w:color w:val="000000"/>
            <w:rtl w:val="0"/>
          </w:rPr>
          <w:t xml:space="preserve"> A major Y-chromosome haplogroup R1b Holocene era founder effect in Central and Western Europe. </w:t>
        </w:r>
      </w:hyperlink>
      <w:hyperlink r:id="rId1095">
        <w:r w:rsidDel="00000000" w:rsidR="00000000" w:rsidRPr="00000000">
          <w:rPr>
            <w:i w:val="1"/>
            <w:color w:val="000000"/>
            <w:rtl w:val="0"/>
          </w:rPr>
          <w:t xml:space="preserve">Eur. J. Hum. Genet.</w:t>
        </w:r>
      </w:hyperlink>
      <w:hyperlink r:id="rId1096">
        <w:r w:rsidDel="00000000" w:rsidR="00000000" w:rsidRPr="00000000">
          <w:rPr>
            <w:color w:val="000000"/>
            <w:rtl w:val="0"/>
          </w:rPr>
          <w:t xml:space="preserve"> </w:t>
        </w:r>
      </w:hyperlink>
      <w:hyperlink r:id="rId1097">
        <w:r w:rsidDel="00000000" w:rsidR="00000000" w:rsidRPr="00000000">
          <w:rPr>
            <w:b w:val="1"/>
            <w:color w:val="000000"/>
            <w:rtl w:val="0"/>
          </w:rPr>
          <w:t xml:space="preserve">19</w:t>
        </w:r>
      </w:hyperlink>
      <w:hyperlink r:id="rId1098">
        <w:r w:rsidDel="00000000" w:rsidR="00000000" w:rsidRPr="00000000">
          <w:rPr>
            <w:color w:val="000000"/>
            <w:rtl w:val="0"/>
          </w:rPr>
          <w:t xml:space="preserve">, 95–101 (2010).</w:t>
        </w:r>
      </w:hyperlink>
      <w:r w:rsidDel="00000000" w:rsidR="00000000" w:rsidRPr="00000000">
        <w:rPr>
          <w:rtl w:val="0"/>
        </w:rPr>
      </w:r>
    </w:p>
    <w:p w:rsidR="00000000" w:rsidDel="00000000" w:rsidP="00000000" w:rsidRDefault="00000000" w:rsidRPr="00000000" w14:paraId="0000096D">
      <w:pPr>
        <w:widowControl w:val="0"/>
        <w:pBdr>
          <w:top w:space="0" w:sz="0" w:val="nil"/>
          <w:left w:space="0" w:sz="0" w:val="nil"/>
          <w:bottom w:space="0" w:sz="0" w:val="nil"/>
          <w:right w:space="0" w:sz="0" w:val="nil"/>
          <w:between w:space="0" w:sz="0" w:val="nil"/>
        </w:pBdr>
        <w:spacing w:after="0" w:line="480" w:lineRule="auto"/>
        <w:ind w:left="440" w:hanging="440"/>
        <w:rPr>
          <w:color w:val="000000"/>
        </w:rPr>
      </w:pPr>
      <w:r w:rsidDel="00000000" w:rsidR="00000000" w:rsidRPr="00000000">
        <w:rPr>
          <w:color w:val="000000"/>
          <w:rtl w:val="0"/>
        </w:rPr>
        <w:t xml:space="preserve">152.</w:t>
        <w:tab/>
      </w:r>
      <w:hyperlink r:id="rId1099">
        <w:r w:rsidDel="00000000" w:rsidR="00000000" w:rsidRPr="00000000">
          <w:rPr>
            <w:color w:val="000000"/>
            <w:rtl w:val="0"/>
          </w:rPr>
          <w:t xml:space="preserve">Moore, L. T., McEvoy, B., Cape, E., Simms, K. &amp; Bradley, D. G. A Y-chromosome signature of hegemony in Gaelic Ireland. </w:t>
        </w:r>
      </w:hyperlink>
      <w:hyperlink r:id="rId1100">
        <w:r w:rsidDel="00000000" w:rsidR="00000000" w:rsidRPr="00000000">
          <w:rPr>
            <w:i w:val="1"/>
            <w:color w:val="000000"/>
            <w:rtl w:val="0"/>
          </w:rPr>
          <w:t xml:space="preserve">Am. J. Hum. Genet.</w:t>
        </w:r>
      </w:hyperlink>
      <w:hyperlink r:id="rId1101">
        <w:r w:rsidDel="00000000" w:rsidR="00000000" w:rsidRPr="00000000">
          <w:rPr>
            <w:color w:val="000000"/>
            <w:rtl w:val="0"/>
          </w:rPr>
          <w:t xml:space="preserve"> </w:t>
        </w:r>
      </w:hyperlink>
      <w:hyperlink r:id="rId1102">
        <w:r w:rsidDel="00000000" w:rsidR="00000000" w:rsidRPr="00000000">
          <w:rPr>
            <w:b w:val="1"/>
            <w:color w:val="000000"/>
            <w:rtl w:val="0"/>
          </w:rPr>
          <w:t xml:space="preserve">78</w:t>
        </w:r>
      </w:hyperlink>
      <w:hyperlink r:id="rId1103">
        <w:r w:rsidDel="00000000" w:rsidR="00000000" w:rsidRPr="00000000">
          <w:rPr>
            <w:color w:val="000000"/>
            <w:rtl w:val="0"/>
          </w:rPr>
          <w:t xml:space="preserve">, 334–338 (2006).</w:t>
        </w:r>
      </w:hyperlink>
      <w:r w:rsidDel="00000000" w:rsidR="00000000" w:rsidRPr="00000000">
        <w:rPr>
          <w:rtl w:val="0"/>
        </w:rPr>
      </w:r>
    </w:p>
    <w:p w:rsidR="00000000" w:rsidDel="00000000" w:rsidP="00000000" w:rsidRDefault="00000000" w:rsidRPr="00000000" w14:paraId="0000096E">
      <w:pPr>
        <w:widowControl w:val="0"/>
        <w:pBdr>
          <w:top w:space="0" w:sz="0" w:val="nil"/>
          <w:left w:space="0" w:sz="0" w:val="nil"/>
          <w:bottom w:space="0" w:sz="0" w:val="nil"/>
          <w:right w:space="0" w:sz="0" w:val="nil"/>
          <w:between w:space="0" w:sz="0" w:val="nil"/>
        </w:pBdr>
        <w:spacing w:after="0" w:line="480" w:lineRule="auto"/>
        <w:ind w:left="440" w:hanging="440"/>
        <w:rPr>
          <w:color w:val="000000"/>
        </w:rPr>
      </w:pPr>
      <w:r w:rsidDel="00000000" w:rsidR="00000000" w:rsidRPr="00000000">
        <w:rPr>
          <w:color w:val="000000"/>
          <w:rtl w:val="0"/>
        </w:rPr>
        <w:t xml:space="preserve">153.</w:t>
        <w:tab/>
      </w:r>
      <w:hyperlink r:id="rId1104">
        <w:r w:rsidDel="00000000" w:rsidR="00000000" w:rsidRPr="00000000">
          <w:rPr>
            <w:color w:val="000000"/>
            <w:rtl w:val="0"/>
          </w:rPr>
          <w:t xml:space="preserve">Busby, G. B. J. </w:t>
        </w:r>
      </w:hyperlink>
      <w:hyperlink r:id="rId1105">
        <w:r w:rsidDel="00000000" w:rsidR="00000000" w:rsidRPr="00000000">
          <w:rPr>
            <w:i w:val="1"/>
            <w:color w:val="000000"/>
            <w:rtl w:val="0"/>
          </w:rPr>
          <w:t xml:space="preserve">et al.</w:t>
        </w:r>
      </w:hyperlink>
      <w:hyperlink r:id="rId1106">
        <w:r w:rsidDel="00000000" w:rsidR="00000000" w:rsidRPr="00000000">
          <w:rPr>
            <w:color w:val="000000"/>
            <w:rtl w:val="0"/>
          </w:rPr>
          <w:t xml:space="preserve"> The peopling of Europe and the cautionary tale of Y chromosome lineage R-M269. </w:t>
        </w:r>
      </w:hyperlink>
      <w:hyperlink r:id="rId1107">
        <w:r w:rsidDel="00000000" w:rsidR="00000000" w:rsidRPr="00000000">
          <w:rPr>
            <w:i w:val="1"/>
            <w:color w:val="000000"/>
            <w:rtl w:val="0"/>
          </w:rPr>
          <w:t xml:space="preserve">Proceedings of the Royal Society B: Biological Sciences</w:t>
        </w:r>
      </w:hyperlink>
      <w:hyperlink r:id="rId1108">
        <w:r w:rsidDel="00000000" w:rsidR="00000000" w:rsidRPr="00000000">
          <w:rPr>
            <w:color w:val="000000"/>
            <w:rtl w:val="0"/>
          </w:rPr>
          <w:t xml:space="preserve"> </w:t>
        </w:r>
      </w:hyperlink>
      <w:hyperlink r:id="rId1109">
        <w:r w:rsidDel="00000000" w:rsidR="00000000" w:rsidRPr="00000000">
          <w:rPr>
            <w:b w:val="1"/>
            <w:color w:val="000000"/>
            <w:rtl w:val="0"/>
          </w:rPr>
          <w:t xml:space="preserve">279</w:t>
        </w:r>
      </w:hyperlink>
      <w:hyperlink r:id="rId1110">
        <w:r w:rsidDel="00000000" w:rsidR="00000000" w:rsidRPr="00000000">
          <w:rPr>
            <w:color w:val="000000"/>
            <w:rtl w:val="0"/>
          </w:rPr>
          <w:t xml:space="preserve">, 884–892 (2012).</w:t>
        </w:r>
      </w:hyperlink>
      <w:r w:rsidDel="00000000" w:rsidR="00000000" w:rsidRPr="00000000">
        <w:rPr>
          <w:rtl w:val="0"/>
        </w:rPr>
      </w:r>
    </w:p>
    <w:p w:rsidR="00000000" w:rsidDel="00000000" w:rsidP="00000000" w:rsidRDefault="00000000" w:rsidRPr="00000000" w14:paraId="0000096F">
      <w:pPr>
        <w:widowControl w:val="0"/>
        <w:pBdr>
          <w:top w:space="0" w:sz="0" w:val="nil"/>
          <w:left w:space="0" w:sz="0" w:val="nil"/>
          <w:bottom w:space="0" w:sz="0" w:val="nil"/>
          <w:right w:space="0" w:sz="0" w:val="nil"/>
          <w:between w:space="0" w:sz="0" w:val="nil"/>
        </w:pBdr>
        <w:spacing w:after="0" w:line="480" w:lineRule="auto"/>
        <w:ind w:left="440" w:hanging="440"/>
        <w:rPr>
          <w:color w:val="000000"/>
        </w:rPr>
      </w:pPr>
      <w:r w:rsidDel="00000000" w:rsidR="00000000" w:rsidRPr="00000000">
        <w:rPr>
          <w:color w:val="000000"/>
          <w:rtl w:val="0"/>
        </w:rPr>
        <w:t xml:space="preserve">154.</w:t>
        <w:tab/>
      </w:r>
      <w:hyperlink r:id="rId1111">
        <w:r w:rsidDel="00000000" w:rsidR="00000000" w:rsidRPr="00000000">
          <w:rPr>
            <w:color w:val="000000"/>
            <w:rtl w:val="0"/>
          </w:rPr>
          <w:t xml:space="preserve">Altena, E. </w:t>
        </w:r>
      </w:hyperlink>
      <w:hyperlink r:id="rId1112">
        <w:r w:rsidDel="00000000" w:rsidR="00000000" w:rsidRPr="00000000">
          <w:rPr>
            <w:i w:val="1"/>
            <w:color w:val="000000"/>
            <w:rtl w:val="0"/>
          </w:rPr>
          <w:t xml:space="preserve">et al.</w:t>
        </w:r>
      </w:hyperlink>
      <w:hyperlink r:id="rId1113">
        <w:r w:rsidDel="00000000" w:rsidR="00000000" w:rsidRPr="00000000">
          <w:rPr>
            <w:color w:val="000000"/>
            <w:rtl w:val="0"/>
          </w:rPr>
          <w:t xml:space="preserve"> The Dutch Y-chromosomal landscape. </w:t>
        </w:r>
      </w:hyperlink>
      <w:hyperlink r:id="rId1114">
        <w:r w:rsidDel="00000000" w:rsidR="00000000" w:rsidRPr="00000000">
          <w:rPr>
            <w:i w:val="1"/>
            <w:color w:val="000000"/>
            <w:rtl w:val="0"/>
          </w:rPr>
          <w:t xml:space="preserve">Eur. J. Hum. Genet.</w:t>
        </w:r>
      </w:hyperlink>
      <w:hyperlink r:id="rId1115">
        <w:r w:rsidDel="00000000" w:rsidR="00000000" w:rsidRPr="00000000">
          <w:rPr>
            <w:color w:val="000000"/>
            <w:rtl w:val="0"/>
          </w:rPr>
          <w:t xml:space="preserve"> </w:t>
        </w:r>
      </w:hyperlink>
      <w:hyperlink r:id="rId1116">
        <w:r w:rsidDel="00000000" w:rsidR="00000000" w:rsidRPr="00000000">
          <w:rPr>
            <w:b w:val="1"/>
            <w:color w:val="000000"/>
            <w:rtl w:val="0"/>
          </w:rPr>
          <w:t xml:space="preserve">28</w:t>
        </w:r>
      </w:hyperlink>
      <w:hyperlink r:id="rId1117">
        <w:r w:rsidDel="00000000" w:rsidR="00000000" w:rsidRPr="00000000">
          <w:rPr>
            <w:color w:val="000000"/>
            <w:rtl w:val="0"/>
          </w:rPr>
          <w:t xml:space="preserve">, 287–299 (2019).</w:t>
        </w:r>
      </w:hyperlink>
      <w:r w:rsidDel="00000000" w:rsidR="00000000" w:rsidRPr="00000000">
        <w:rPr>
          <w:rtl w:val="0"/>
        </w:rPr>
      </w:r>
    </w:p>
    <w:p w:rsidR="00000000" w:rsidDel="00000000" w:rsidP="00000000" w:rsidRDefault="00000000" w:rsidRPr="00000000" w14:paraId="00000970">
      <w:pPr>
        <w:widowControl w:val="0"/>
        <w:pBdr>
          <w:top w:space="0" w:sz="0" w:val="nil"/>
          <w:left w:space="0" w:sz="0" w:val="nil"/>
          <w:bottom w:space="0" w:sz="0" w:val="nil"/>
          <w:right w:space="0" w:sz="0" w:val="nil"/>
          <w:between w:space="0" w:sz="0" w:val="nil"/>
        </w:pBdr>
        <w:spacing w:after="0" w:line="480" w:lineRule="auto"/>
        <w:ind w:left="440" w:hanging="440"/>
        <w:rPr>
          <w:color w:val="000000"/>
        </w:rPr>
      </w:pPr>
      <w:r w:rsidDel="00000000" w:rsidR="00000000" w:rsidRPr="00000000">
        <w:rPr>
          <w:color w:val="000000"/>
          <w:rtl w:val="0"/>
        </w:rPr>
        <w:t xml:space="preserve">155.</w:t>
        <w:tab/>
      </w:r>
      <w:hyperlink r:id="rId1118">
        <w:r w:rsidDel="00000000" w:rsidR="00000000" w:rsidRPr="00000000">
          <w:rPr>
            <w:color w:val="000000"/>
            <w:rtl w:val="0"/>
          </w:rPr>
          <w:t xml:space="preserve">Cruciani, F. </w:t>
        </w:r>
      </w:hyperlink>
      <w:hyperlink r:id="rId1119">
        <w:r w:rsidDel="00000000" w:rsidR="00000000" w:rsidRPr="00000000">
          <w:rPr>
            <w:i w:val="1"/>
            <w:color w:val="000000"/>
            <w:rtl w:val="0"/>
          </w:rPr>
          <w:t xml:space="preserve">et al.</w:t>
        </w:r>
      </w:hyperlink>
      <w:hyperlink r:id="rId1120">
        <w:r w:rsidDel="00000000" w:rsidR="00000000" w:rsidRPr="00000000">
          <w:rPr>
            <w:color w:val="000000"/>
            <w:rtl w:val="0"/>
          </w:rPr>
          <w:t xml:space="preserve"> Strong intra- and inter-continental differentiation revealed by Y chromosome SNPs M269, U106 and U152. </w:t>
        </w:r>
      </w:hyperlink>
      <w:hyperlink r:id="rId1121">
        <w:r w:rsidDel="00000000" w:rsidR="00000000" w:rsidRPr="00000000">
          <w:rPr>
            <w:i w:val="1"/>
            <w:color w:val="000000"/>
            <w:rtl w:val="0"/>
          </w:rPr>
          <w:t xml:space="preserve">Forensic Sci. Int. Genet.</w:t>
        </w:r>
      </w:hyperlink>
      <w:hyperlink r:id="rId1122">
        <w:r w:rsidDel="00000000" w:rsidR="00000000" w:rsidRPr="00000000">
          <w:rPr>
            <w:color w:val="000000"/>
            <w:rtl w:val="0"/>
          </w:rPr>
          <w:t xml:space="preserve"> </w:t>
        </w:r>
      </w:hyperlink>
      <w:hyperlink r:id="rId1123">
        <w:r w:rsidDel="00000000" w:rsidR="00000000" w:rsidRPr="00000000">
          <w:rPr>
            <w:b w:val="1"/>
            <w:color w:val="000000"/>
            <w:rtl w:val="0"/>
          </w:rPr>
          <w:t xml:space="preserve">5</w:t>
        </w:r>
      </w:hyperlink>
      <w:hyperlink r:id="rId1124">
        <w:r w:rsidDel="00000000" w:rsidR="00000000" w:rsidRPr="00000000">
          <w:rPr>
            <w:color w:val="000000"/>
            <w:rtl w:val="0"/>
          </w:rPr>
          <w:t xml:space="preserve">, e49–52 (2011).</w:t>
        </w:r>
      </w:hyperlink>
      <w:r w:rsidDel="00000000" w:rsidR="00000000" w:rsidRPr="00000000">
        <w:rPr>
          <w:rtl w:val="0"/>
        </w:rPr>
      </w:r>
    </w:p>
    <w:p w:rsidR="00000000" w:rsidDel="00000000" w:rsidP="00000000" w:rsidRDefault="00000000" w:rsidRPr="00000000" w14:paraId="00000971">
      <w:pPr>
        <w:widowControl w:val="0"/>
        <w:pBdr>
          <w:top w:space="0" w:sz="0" w:val="nil"/>
          <w:left w:space="0" w:sz="0" w:val="nil"/>
          <w:bottom w:space="0" w:sz="0" w:val="nil"/>
          <w:right w:space="0" w:sz="0" w:val="nil"/>
          <w:between w:space="0" w:sz="0" w:val="nil"/>
        </w:pBdr>
        <w:spacing w:after="0" w:line="480" w:lineRule="auto"/>
        <w:ind w:left="440" w:hanging="440"/>
        <w:rPr>
          <w:color w:val="000000"/>
        </w:rPr>
      </w:pPr>
      <w:r w:rsidDel="00000000" w:rsidR="00000000" w:rsidRPr="00000000">
        <w:rPr>
          <w:color w:val="000000"/>
          <w:rtl w:val="0"/>
        </w:rPr>
        <w:t xml:space="preserve">156.</w:t>
        <w:tab/>
      </w:r>
      <w:hyperlink r:id="rId1125">
        <w:r w:rsidDel="00000000" w:rsidR="00000000" w:rsidRPr="00000000">
          <w:rPr>
            <w:color w:val="000000"/>
            <w:rtl w:val="0"/>
          </w:rPr>
          <w:t xml:space="preserve">Weale, M. E., Weiss, D. A., Jager, R. F., Bradman, N. &amp; Thomas, M. G. Y chromosome evidence for Anglo-Saxon mass migration. </w:t>
        </w:r>
      </w:hyperlink>
      <w:hyperlink r:id="rId1126">
        <w:r w:rsidDel="00000000" w:rsidR="00000000" w:rsidRPr="00000000">
          <w:rPr>
            <w:i w:val="1"/>
            <w:color w:val="000000"/>
            <w:rtl w:val="0"/>
          </w:rPr>
          <w:t xml:space="preserve">Mol. Biol. Evol.</w:t>
        </w:r>
      </w:hyperlink>
      <w:hyperlink r:id="rId1127">
        <w:r w:rsidDel="00000000" w:rsidR="00000000" w:rsidRPr="00000000">
          <w:rPr>
            <w:color w:val="000000"/>
            <w:rtl w:val="0"/>
          </w:rPr>
          <w:t xml:space="preserve"> </w:t>
        </w:r>
      </w:hyperlink>
      <w:hyperlink r:id="rId1128">
        <w:r w:rsidDel="00000000" w:rsidR="00000000" w:rsidRPr="00000000">
          <w:rPr>
            <w:b w:val="1"/>
            <w:color w:val="000000"/>
            <w:rtl w:val="0"/>
          </w:rPr>
          <w:t xml:space="preserve">19</w:t>
        </w:r>
      </w:hyperlink>
      <w:hyperlink r:id="rId1129">
        <w:r w:rsidDel="00000000" w:rsidR="00000000" w:rsidRPr="00000000">
          <w:rPr>
            <w:color w:val="000000"/>
            <w:rtl w:val="0"/>
          </w:rPr>
          <w:t xml:space="preserve">, 1008–1021 (2002).</w:t>
        </w:r>
      </w:hyperlink>
      <w:r w:rsidDel="00000000" w:rsidR="00000000" w:rsidRPr="00000000">
        <w:rPr>
          <w:rtl w:val="0"/>
        </w:rPr>
      </w:r>
    </w:p>
    <w:p w:rsidR="00000000" w:rsidDel="00000000" w:rsidP="00000000" w:rsidRDefault="00000000" w:rsidRPr="00000000" w14:paraId="00000972">
      <w:pPr>
        <w:widowControl w:val="0"/>
        <w:pBdr>
          <w:top w:space="0" w:sz="0" w:val="nil"/>
          <w:left w:space="0" w:sz="0" w:val="nil"/>
          <w:bottom w:space="0" w:sz="0" w:val="nil"/>
          <w:right w:space="0" w:sz="0" w:val="nil"/>
          <w:between w:space="0" w:sz="0" w:val="nil"/>
        </w:pBdr>
        <w:spacing w:after="0" w:line="480" w:lineRule="auto"/>
        <w:ind w:left="440" w:hanging="440"/>
        <w:rPr>
          <w:color w:val="000000"/>
        </w:rPr>
      </w:pPr>
      <w:r w:rsidDel="00000000" w:rsidR="00000000" w:rsidRPr="00000000">
        <w:rPr>
          <w:color w:val="000000"/>
          <w:rtl w:val="0"/>
        </w:rPr>
        <w:t xml:space="preserve">157.</w:t>
        <w:tab/>
      </w:r>
      <w:hyperlink r:id="rId1130">
        <w:r w:rsidDel="00000000" w:rsidR="00000000" w:rsidRPr="00000000">
          <w:rPr>
            <w:color w:val="000000"/>
            <w:rtl w:val="0"/>
          </w:rPr>
          <w:t xml:space="preserve">Capelli, C. </w:t>
        </w:r>
      </w:hyperlink>
      <w:hyperlink r:id="rId1131">
        <w:r w:rsidDel="00000000" w:rsidR="00000000" w:rsidRPr="00000000">
          <w:rPr>
            <w:i w:val="1"/>
            <w:color w:val="000000"/>
            <w:rtl w:val="0"/>
          </w:rPr>
          <w:t xml:space="preserve">et al.</w:t>
        </w:r>
      </w:hyperlink>
      <w:hyperlink r:id="rId1132">
        <w:r w:rsidDel="00000000" w:rsidR="00000000" w:rsidRPr="00000000">
          <w:rPr>
            <w:color w:val="000000"/>
            <w:rtl w:val="0"/>
          </w:rPr>
          <w:t xml:space="preserve"> A Y chromosome census of the British Isles. </w:t>
        </w:r>
      </w:hyperlink>
      <w:hyperlink r:id="rId1133">
        <w:r w:rsidDel="00000000" w:rsidR="00000000" w:rsidRPr="00000000">
          <w:rPr>
            <w:i w:val="1"/>
            <w:color w:val="000000"/>
            <w:rtl w:val="0"/>
          </w:rPr>
          <w:t xml:space="preserve">Curr. Biol.</w:t>
        </w:r>
      </w:hyperlink>
      <w:hyperlink r:id="rId1134">
        <w:r w:rsidDel="00000000" w:rsidR="00000000" w:rsidRPr="00000000">
          <w:rPr>
            <w:color w:val="000000"/>
            <w:rtl w:val="0"/>
          </w:rPr>
          <w:t xml:space="preserve"> </w:t>
        </w:r>
      </w:hyperlink>
      <w:hyperlink r:id="rId1135">
        <w:r w:rsidDel="00000000" w:rsidR="00000000" w:rsidRPr="00000000">
          <w:rPr>
            <w:b w:val="1"/>
            <w:color w:val="000000"/>
            <w:rtl w:val="0"/>
          </w:rPr>
          <w:t xml:space="preserve">13</w:t>
        </w:r>
      </w:hyperlink>
      <w:hyperlink r:id="rId1136">
        <w:r w:rsidDel="00000000" w:rsidR="00000000" w:rsidRPr="00000000">
          <w:rPr>
            <w:color w:val="000000"/>
            <w:rtl w:val="0"/>
          </w:rPr>
          <w:t xml:space="preserve">, 979–984 (2003).</w:t>
        </w:r>
      </w:hyperlink>
      <w:r w:rsidDel="00000000" w:rsidR="00000000" w:rsidRPr="00000000">
        <w:rPr>
          <w:rtl w:val="0"/>
        </w:rPr>
      </w:r>
    </w:p>
    <w:p w:rsidR="00000000" w:rsidDel="00000000" w:rsidP="00000000" w:rsidRDefault="00000000" w:rsidRPr="00000000" w14:paraId="00000973">
      <w:pPr>
        <w:widowControl w:val="0"/>
        <w:pBdr>
          <w:top w:space="0" w:sz="0" w:val="nil"/>
          <w:left w:space="0" w:sz="0" w:val="nil"/>
          <w:bottom w:space="0" w:sz="0" w:val="nil"/>
          <w:right w:space="0" w:sz="0" w:val="nil"/>
          <w:between w:space="0" w:sz="0" w:val="nil"/>
        </w:pBdr>
        <w:spacing w:after="0" w:line="480" w:lineRule="auto"/>
        <w:ind w:left="440" w:hanging="440"/>
        <w:rPr>
          <w:color w:val="000000"/>
        </w:rPr>
      </w:pPr>
      <w:r w:rsidDel="00000000" w:rsidR="00000000" w:rsidRPr="00000000">
        <w:rPr>
          <w:color w:val="000000"/>
          <w:rtl w:val="0"/>
        </w:rPr>
        <w:t xml:space="preserve">158.</w:t>
        <w:tab/>
      </w:r>
      <w:hyperlink r:id="rId1137">
        <w:r w:rsidDel="00000000" w:rsidR="00000000" w:rsidRPr="00000000">
          <w:rPr>
            <w:color w:val="000000"/>
            <w:rtl w:val="0"/>
          </w:rPr>
          <w:t xml:space="preserve">Karlsson, A. O., Wallerström, T., Götherström, A. &amp; Holmlund, G. Y-chromosome diversity in Sweden - a long-time perspective. </w:t>
        </w:r>
      </w:hyperlink>
      <w:hyperlink r:id="rId1138">
        <w:r w:rsidDel="00000000" w:rsidR="00000000" w:rsidRPr="00000000">
          <w:rPr>
            <w:i w:val="1"/>
            <w:color w:val="000000"/>
            <w:rtl w:val="0"/>
          </w:rPr>
          <w:t xml:space="preserve">Eur. J. Hum. Genet.</w:t>
        </w:r>
      </w:hyperlink>
      <w:hyperlink r:id="rId1139">
        <w:r w:rsidDel="00000000" w:rsidR="00000000" w:rsidRPr="00000000">
          <w:rPr>
            <w:color w:val="000000"/>
            <w:rtl w:val="0"/>
          </w:rPr>
          <w:t xml:space="preserve"> </w:t>
        </w:r>
      </w:hyperlink>
      <w:hyperlink r:id="rId1140">
        <w:r w:rsidDel="00000000" w:rsidR="00000000" w:rsidRPr="00000000">
          <w:rPr>
            <w:b w:val="1"/>
            <w:color w:val="000000"/>
            <w:rtl w:val="0"/>
          </w:rPr>
          <w:t xml:space="preserve">14</w:t>
        </w:r>
      </w:hyperlink>
      <w:hyperlink r:id="rId1141">
        <w:r w:rsidDel="00000000" w:rsidR="00000000" w:rsidRPr="00000000">
          <w:rPr>
            <w:color w:val="000000"/>
            <w:rtl w:val="0"/>
          </w:rPr>
          <w:t xml:space="preserve">, 963–970 (2006).</w:t>
        </w:r>
      </w:hyperlink>
      <w:r w:rsidDel="00000000" w:rsidR="00000000" w:rsidRPr="00000000">
        <w:rPr>
          <w:rtl w:val="0"/>
        </w:rPr>
      </w:r>
    </w:p>
    <w:p w:rsidR="00000000" w:rsidDel="00000000" w:rsidP="00000000" w:rsidRDefault="00000000" w:rsidRPr="00000000" w14:paraId="00000974">
      <w:pPr>
        <w:widowControl w:val="0"/>
        <w:pBdr>
          <w:top w:space="0" w:sz="0" w:val="nil"/>
          <w:left w:space="0" w:sz="0" w:val="nil"/>
          <w:bottom w:space="0" w:sz="0" w:val="nil"/>
          <w:right w:space="0" w:sz="0" w:val="nil"/>
          <w:between w:space="0" w:sz="0" w:val="nil"/>
        </w:pBdr>
        <w:spacing w:after="0" w:line="480" w:lineRule="auto"/>
        <w:ind w:left="440" w:hanging="440"/>
        <w:rPr>
          <w:color w:val="000000"/>
        </w:rPr>
      </w:pPr>
      <w:r w:rsidDel="00000000" w:rsidR="00000000" w:rsidRPr="00000000">
        <w:rPr>
          <w:color w:val="000000"/>
          <w:rtl w:val="0"/>
        </w:rPr>
        <w:t xml:space="preserve">159.</w:t>
        <w:tab/>
      </w:r>
      <w:hyperlink r:id="rId1142">
        <w:r w:rsidDel="00000000" w:rsidR="00000000" w:rsidRPr="00000000">
          <w:rPr>
            <w:color w:val="000000"/>
            <w:rtl w:val="0"/>
          </w:rPr>
          <w:t xml:space="preserve">Lappalainen, T. </w:t>
        </w:r>
      </w:hyperlink>
      <w:hyperlink r:id="rId1143">
        <w:r w:rsidDel="00000000" w:rsidR="00000000" w:rsidRPr="00000000">
          <w:rPr>
            <w:i w:val="1"/>
            <w:color w:val="000000"/>
            <w:rtl w:val="0"/>
          </w:rPr>
          <w:t xml:space="preserve">et al.</w:t>
        </w:r>
      </w:hyperlink>
      <w:hyperlink r:id="rId1144">
        <w:r w:rsidDel="00000000" w:rsidR="00000000" w:rsidRPr="00000000">
          <w:rPr>
            <w:color w:val="000000"/>
            <w:rtl w:val="0"/>
          </w:rPr>
          <w:t xml:space="preserve"> Population structure in contemporary Sweden--a Y-chromosomal and mitochondrial DNA analysis. </w:t>
        </w:r>
      </w:hyperlink>
      <w:hyperlink r:id="rId1145">
        <w:r w:rsidDel="00000000" w:rsidR="00000000" w:rsidRPr="00000000">
          <w:rPr>
            <w:i w:val="1"/>
            <w:color w:val="000000"/>
            <w:rtl w:val="0"/>
          </w:rPr>
          <w:t xml:space="preserve">Ann. Hum. Genet.</w:t>
        </w:r>
      </w:hyperlink>
      <w:hyperlink r:id="rId1146">
        <w:r w:rsidDel="00000000" w:rsidR="00000000" w:rsidRPr="00000000">
          <w:rPr>
            <w:color w:val="000000"/>
            <w:rtl w:val="0"/>
          </w:rPr>
          <w:t xml:space="preserve"> </w:t>
        </w:r>
      </w:hyperlink>
      <w:hyperlink r:id="rId1147">
        <w:r w:rsidDel="00000000" w:rsidR="00000000" w:rsidRPr="00000000">
          <w:rPr>
            <w:b w:val="1"/>
            <w:color w:val="000000"/>
            <w:rtl w:val="0"/>
          </w:rPr>
          <w:t xml:space="preserve">73</w:t>
        </w:r>
      </w:hyperlink>
      <w:hyperlink r:id="rId1148">
        <w:r w:rsidDel="00000000" w:rsidR="00000000" w:rsidRPr="00000000">
          <w:rPr>
            <w:color w:val="000000"/>
            <w:rtl w:val="0"/>
          </w:rPr>
          <w:t xml:space="preserve">, 61–73 (2009).</w:t>
        </w:r>
      </w:hyperlink>
      <w:r w:rsidDel="00000000" w:rsidR="00000000" w:rsidRPr="00000000">
        <w:rPr>
          <w:rtl w:val="0"/>
        </w:rPr>
      </w:r>
    </w:p>
    <w:p w:rsidR="00000000" w:rsidDel="00000000" w:rsidP="00000000" w:rsidRDefault="00000000" w:rsidRPr="00000000" w14:paraId="00000975">
      <w:pPr>
        <w:widowControl w:val="0"/>
        <w:pBdr>
          <w:top w:space="0" w:sz="0" w:val="nil"/>
          <w:left w:space="0" w:sz="0" w:val="nil"/>
          <w:bottom w:space="0" w:sz="0" w:val="nil"/>
          <w:right w:space="0" w:sz="0" w:val="nil"/>
          <w:between w:space="0" w:sz="0" w:val="nil"/>
        </w:pBdr>
        <w:spacing w:after="0" w:line="480" w:lineRule="auto"/>
        <w:ind w:left="440" w:hanging="440"/>
        <w:rPr>
          <w:color w:val="000000"/>
        </w:rPr>
      </w:pPr>
      <w:r w:rsidDel="00000000" w:rsidR="00000000" w:rsidRPr="00000000">
        <w:rPr>
          <w:color w:val="000000"/>
          <w:rtl w:val="0"/>
        </w:rPr>
        <w:t xml:space="preserve">160.</w:t>
        <w:tab/>
      </w:r>
      <w:hyperlink r:id="rId1149">
        <w:r w:rsidDel="00000000" w:rsidR="00000000" w:rsidRPr="00000000">
          <w:rPr>
            <w:color w:val="000000"/>
            <w:rtl w:val="0"/>
          </w:rPr>
          <w:t xml:space="preserve">Dulias, K. </w:t>
        </w:r>
      </w:hyperlink>
      <w:hyperlink r:id="rId1150">
        <w:r w:rsidDel="00000000" w:rsidR="00000000" w:rsidRPr="00000000">
          <w:rPr>
            <w:i w:val="1"/>
            <w:color w:val="000000"/>
            <w:rtl w:val="0"/>
          </w:rPr>
          <w:t xml:space="preserve">et al.</w:t>
        </w:r>
      </w:hyperlink>
      <w:hyperlink r:id="rId1151">
        <w:r w:rsidDel="00000000" w:rsidR="00000000" w:rsidRPr="00000000">
          <w:rPr>
            <w:color w:val="000000"/>
            <w:rtl w:val="0"/>
          </w:rPr>
          <w:t xml:space="preserve"> Ancient DNA at the edge of the world: Continental immigration and the persistence of Neolithic male lineages in Bronze Age Orkney. </w:t>
        </w:r>
      </w:hyperlink>
      <w:hyperlink r:id="rId1152">
        <w:r w:rsidDel="00000000" w:rsidR="00000000" w:rsidRPr="00000000">
          <w:rPr>
            <w:i w:val="1"/>
            <w:color w:val="000000"/>
            <w:rtl w:val="0"/>
          </w:rPr>
          <w:t xml:space="preserve">Proceedings of the National Academy of Sciences</w:t>
        </w:r>
      </w:hyperlink>
      <w:hyperlink r:id="rId1153">
        <w:r w:rsidDel="00000000" w:rsidR="00000000" w:rsidRPr="00000000">
          <w:rPr>
            <w:color w:val="000000"/>
            <w:rtl w:val="0"/>
          </w:rPr>
          <w:t xml:space="preserve"> </w:t>
        </w:r>
      </w:hyperlink>
      <w:hyperlink r:id="rId1154">
        <w:r w:rsidDel="00000000" w:rsidR="00000000" w:rsidRPr="00000000">
          <w:rPr>
            <w:b w:val="1"/>
            <w:color w:val="000000"/>
            <w:rtl w:val="0"/>
          </w:rPr>
          <w:t xml:space="preserve">119</w:t>
        </w:r>
      </w:hyperlink>
      <w:hyperlink r:id="rId1155">
        <w:r w:rsidDel="00000000" w:rsidR="00000000" w:rsidRPr="00000000">
          <w:rPr>
            <w:color w:val="000000"/>
            <w:rtl w:val="0"/>
          </w:rPr>
          <w:t xml:space="preserve">, e2108001119 (2022).</w:t>
        </w:r>
      </w:hyperlink>
      <w:r w:rsidDel="00000000" w:rsidR="00000000" w:rsidRPr="00000000">
        <w:rPr>
          <w:rtl w:val="0"/>
        </w:rPr>
      </w:r>
    </w:p>
    <w:p w:rsidR="00000000" w:rsidDel="00000000" w:rsidP="00000000" w:rsidRDefault="00000000" w:rsidRPr="00000000" w14:paraId="00000976">
      <w:pPr>
        <w:widowControl w:val="0"/>
        <w:pBdr>
          <w:top w:space="0" w:sz="0" w:val="nil"/>
          <w:left w:space="0" w:sz="0" w:val="nil"/>
          <w:bottom w:space="0" w:sz="0" w:val="nil"/>
          <w:right w:space="0" w:sz="0" w:val="nil"/>
          <w:between w:space="0" w:sz="0" w:val="nil"/>
        </w:pBdr>
        <w:spacing w:after="0" w:line="480" w:lineRule="auto"/>
        <w:ind w:left="440" w:hanging="440"/>
        <w:rPr>
          <w:color w:val="000000"/>
        </w:rPr>
      </w:pPr>
      <w:r w:rsidDel="00000000" w:rsidR="00000000" w:rsidRPr="00000000">
        <w:rPr>
          <w:color w:val="000000"/>
          <w:rtl w:val="0"/>
        </w:rPr>
        <w:t xml:space="preserve">161.</w:t>
        <w:tab/>
      </w:r>
      <w:hyperlink r:id="rId1156">
        <w:r w:rsidDel="00000000" w:rsidR="00000000" w:rsidRPr="00000000">
          <w:rPr>
            <w:color w:val="000000"/>
            <w:rtl w:val="0"/>
          </w:rPr>
          <w:t xml:space="preserve">Underhill, P. A. </w:t>
        </w:r>
      </w:hyperlink>
      <w:hyperlink r:id="rId1157">
        <w:r w:rsidDel="00000000" w:rsidR="00000000" w:rsidRPr="00000000">
          <w:rPr>
            <w:i w:val="1"/>
            <w:color w:val="000000"/>
            <w:rtl w:val="0"/>
          </w:rPr>
          <w:t xml:space="preserve">et al.</w:t>
        </w:r>
      </w:hyperlink>
      <w:hyperlink r:id="rId1158">
        <w:r w:rsidDel="00000000" w:rsidR="00000000" w:rsidRPr="00000000">
          <w:rPr>
            <w:color w:val="000000"/>
            <w:rtl w:val="0"/>
          </w:rPr>
          <w:t xml:space="preserve"> The phylogenetic and geographic structure of Y-chromosome haplogroup R1a. </w:t>
        </w:r>
      </w:hyperlink>
      <w:hyperlink r:id="rId1159">
        <w:r w:rsidDel="00000000" w:rsidR="00000000" w:rsidRPr="00000000">
          <w:rPr>
            <w:i w:val="1"/>
            <w:color w:val="000000"/>
            <w:rtl w:val="0"/>
          </w:rPr>
          <w:t xml:space="preserve">Eur. J. Hum. Genet.</w:t>
        </w:r>
      </w:hyperlink>
      <w:hyperlink r:id="rId1160">
        <w:r w:rsidDel="00000000" w:rsidR="00000000" w:rsidRPr="00000000">
          <w:rPr>
            <w:color w:val="000000"/>
            <w:rtl w:val="0"/>
          </w:rPr>
          <w:t xml:space="preserve"> </w:t>
        </w:r>
      </w:hyperlink>
      <w:hyperlink r:id="rId1161">
        <w:r w:rsidDel="00000000" w:rsidR="00000000" w:rsidRPr="00000000">
          <w:rPr>
            <w:b w:val="1"/>
            <w:color w:val="000000"/>
            <w:rtl w:val="0"/>
          </w:rPr>
          <w:t xml:space="preserve">23</w:t>
        </w:r>
      </w:hyperlink>
      <w:hyperlink r:id="rId1162">
        <w:r w:rsidDel="00000000" w:rsidR="00000000" w:rsidRPr="00000000">
          <w:rPr>
            <w:color w:val="000000"/>
            <w:rtl w:val="0"/>
          </w:rPr>
          <w:t xml:space="preserve">, 124–131 (2014).</w:t>
        </w:r>
      </w:hyperlink>
      <w:r w:rsidDel="00000000" w:rsidR="00000000" w:rsidRPr="00000000">
        <w:rPr>
          <w:rtl w:val="0"/>
        </w:rPr>
      </w:r>
    </w:p>
    <w:p w:rsidR="00000000" w:rsidDel="00000000" w:rsidP="00000000" w:rsidRDefault="00000000" w:rsidRPr="00000000" w14:paraId="00000977">
      <w:pPr>
        <w:widowControl w:val="0"/>
        <w:pBdr>
          <w:top w:space="0" w:sz="0" w:val="nil"/>
          <w:left w:space="0" w:sz="0" w:val="nil"/>
          <w:bottom w:space="0" w:sz="0" w:val="nil"/>
          <w:right w:space="0" w:sz="0" w:val="nil"/>
          <w:between w:space="0" w:sz="0" w:val="nil"/>
        </w:pBdr>
        <w:spacing w:after="0" w:line="480" w:lineRule="auto"/>
        <w:ind w:left="440" w:hanging="440"/>
        <w:rPr>
          <w:color w:val="000000"/>
        </w:rPr>
      </w:pPr>
      <w:r w:rsidDel="00000000" w:rsidR="00000000" w:rsidRPr="00000000">
        <w:rPr>
          <w:color w:val="000000"/>
          <w:rtl w:val="0"/>
        </w:rPr>
        <w:t xml:space="preserve">162.</w:t>
        <w:tab/>
      </w:r>
      <w:hyperlink r:id="rId1163">
        <w:r w:rsidDel="00000000" w:rsidR="00000000" w:rsidRPr="00000000">
          <w:rPr>
            <w:color w:val="000000"/>
            <w:rtl w:val="0"/>
          </w:rPr>
          <w:t xml:space="preserve">Wilson, J. F. </w:t>
        </w:r>
      </w:hyperlink>
      <w:hyperlink r:id="rId1164">
        <w:r w:rsidDel="00000000" w:rsidR="00000000" w:rsidRPr="00000000">
          <w:rPr>
            <w:i w:val="1"/>
            <w:color w:val="000000"/>
            <w:rtl w:val="0"/>
          </w:rPr>
          <w:t xml:space="preserve">et al.</w:t>
        </w:r>
      </w:hyperlink>
      <w:hyperlink r:id="rId1165">
        <w:r w:rsidDel="00000000" w:rsidR="00000000" w:rsidRPr="00000000">
          <w:rPr>
            <w:color w:val="000000"/>
            <w:rtl w:val="0"/>
          </w:rPr>
          <w:t xml:space="preserve"> Genetic evidence for different male and female roles during cultural transitions in the British Isles. </w:t>
        </w:r>
      </w:hyperlink>
      <w:hyperlink r:id="rId1166">
        <w:r w:rsidDel="00000000" w:rsidR="00000000" w:rsidRPr="00000000">
          <w:rPr>
            <w:i w:val="1"/>
            <w:color w:val="000000"/>
            <w:rtl w:val="0"/>
          </w:rPr>
          <w:t xml:space="preserve">Proc. Natl. Acad. Sci. U. S. A.</w:t>
        </w:r>
      </w:hyperlink>
      <w:hyperlink r:id="rId1167">
        <w:r w:rsidDel="00000000" w:rsidR="00000000" w:rsidRPr="00000000">
          <w:rPr>
            <w:color w:val="000000"/>
            <w:rtl w:val="0"/>
          </w:rPr>
          <w:t xml:space="preserve"> </w:t>
        </w:r>
      </w:hyperlink>
      <w:hyperlink r:id="rId1168">
        <w:r w:rsidDel="00000000" w:rsidR="00000000" w:rsidRPr="00000000">
          <w:rPr>
            <w:b w:val="1"/>
            <w:color w:val="000000"/>
            <w:rtl w:val="0"/>
          </w:rPr>
          <w:t xml:space="preserve">98</w:t>
        </w:r>
      </w:hyperlink>
      <w:hyperlink r:id="rId1169">
        <w:r w:rsidDel="00000000" w:rsidR="00000000" w:rsidRPr="00000000">
          <w:rPr>
            <w:color w:val="000000"/>
            <w:rtl w:val="0"/>
          </w:rPr>
          <w:t xml:space="preserve">, 5078–5083 (2001).</w:t>
        </w:r>
      </w:hyperlink>
      <w:r w:rsidDel="00000000" w:rsidR="00000000" w:rsidRPr="00000000">
        <w:rPr>
          <w:rtl w:val="0"/>
        </w:rPr>
      </w:r>
    </w:p>
    <w:p w:rsidR="00000000" w:rsidDel="00000000" w:rsidP="00000000" w:rsidRDefault="00000000" w:rsidRPr="00000000" w14:paraId="00000978">
      <w:pPr>
        <w:widowControl w:val="0"/>
        <w:pBdr>
          <w:top w:space="0" w:sz="0" w:val="nil"/>
          <w:left w:space="0" w:sz="0" w:val="nil"/>
          <w:bottom w:space="0" w:sz="0" w:val="nil"/>
          <w:right w:space="0" w:sz="0" w:val="nil"/>
          <w:between w:space="0" w:sz="0" w:val="nil"/>
        </w:pBdr>
        <w:spacing w:after="0" w:line="480" w:lineRule="auto"/>
        <w:ind w:left="440" w:hanging="440"/>
        <w:rPr>
          <w:color w:val="000000"/>
        </w:rPr>
      </w:pPr>
      <w:r w:rsidDel="00000000" w:rsidR="00000000" w:rsidRPr="00000000">
        <w:rPr>
          <w:color w:val="000000"/>
          <w:rtl w:val="0"/>
        </w:rPr>
        <w:t xml:space="preserve">163.</w:t>
        <w:tab/>
      </w:r>
      <w:hyperlink r:id="rId1170">
        <w:r w:rsidDel="00000000" w:rsidR="00000000" w:rsidRPr="00000000">
          <w:rPr>
            <w:color w:val="000000"/>
            <w:rtl w:val="0"/>
          </w:rPr>
          <w:t xml:space="preserve">Battaglia, V. </w:t>
        </w:r>
      </w:hyperlink>
      <w:hyperlink r:id="rId1171">
        <w:r w:rsidDel="00000000" w:rsidR="00000000" w:rsidRPr="00000000">
          <w:rPr>
            <w:i w:val="1"/>
            <w:color w:val="000000"/>
            <w:rtl w:val="0"/>
          </w:rPr>
          <w:t xml:space="preserve">et al.</w:t>
        </w:r>
      </w:hyperlink>
      <w:hyperlink r:id="rId1172">
        <w:r w:rsidDel="00000000" w:rsidR="00000000" w:rsidRPr="00000000">
          <w:rPr>
            <w:color w:val="000000"/>
            <w:rtl w:val="0"/>
          </w:rPr>
          <w:t xml:space="preserve"> Y-chromosomal evidence of the cultural diffusion of agriculture in Southeast Europe. </w:t>
        </w:r>
      </w:hyperlink>
      <w:hyperlink r:id="rId1173">
        <w:r w:rsidDel="00000000" w:rsidR="00000000" w:rsidRPr="00000000">
          <w:rPr>
            <w:i w:val="1"/>
            <w:color w:val="000000"/>
            <w:rtl w:val="0"/>
          </w:rPr>
          <w:t xml:space="preserve">Eur. J. Hum. Genet.</w:t>
        </w:r>
      </w:hyperlink>
      <w:hyperlink r:id="rId1174">
        <w:r w:rsidDel="00000000" w:rsidR="00000000" w:rsidRPr="00000000">
          <w:rPr>
            <w:color w:val="000000"/>
            <w:rtl w:val="0"/>
          </w:rPr>
          <w:t xml:space="preserve"> </w:t>
        </w:r>
      </w:hyperlink>
      <w:hyperlink r:id="rId1175">
        <w:r w:rsidDel="00000000" w:rsidR="00000000" w:rsidRPr="00000000">
          <w:rPr>
            <w:b w:val="1"/>
            <w:color w:val="000000"/>
            <w:rtl w:val="0"/>
          </w:rPr>
          <w:t xml:space="preserve">17</w:t>
        </w:r>
      </w:hyperlink>
      <w:hyperlink r:id="rId1176">
        <w:r w:rsidDel="00000000" w:rsidR="00000000" w:rsidRPr="00000000">
          <w:rPr>
            <w:color w:val="000000"/>
            <w:rtl w:val="0"/>
          </w:rPr>
          <w:t xml:space="preserve">, 820–830 (2009).</w:t>
        </w:r>
      </w:hyperlink>
      <w:r w:rsidDel="00000000" w:rsidR="00000000" w:rsidRPr="00000000">
        <w:rPr>
          <w:rtl w:val="0"/>
        </w:rPr>
      </w:r>
    </w:p>
    <w:p w:rsidR="00000000" w:rsidDel="00000000" w:rsidP="00000000" w:rsidRDefault="00000000" w:rsidRPr="00000000" w14:paraId="00000979">
      <w:pPr>
        <w:widowControl w:val="0"/>
        <w:pBdr>
          <w:top w:space="0" w:sz="0" w:val="nil"/>
          <w:left w:space="0" w:sz="0" w:val="nil"/>
          <w:bottom w:space="0" w:sz="0" w:val="nil"/>
          <w:right w:space="0" w:sz="0" w:val="nil"/>
          <w:between w:space="0" w:sz="0" w:val="nil"/>
        </w:pBdr>
        <w:spacing w:after="0" w:line="480" w:lineRule="auto"/>
        <w:ind w:left="440" w:hanging="440"/>
        <w:rPr>
          <w:color w:val="000000"/>
        </w:rPr>
      </w:pPr>
      <w:r w:rsidDel="00000000" w:rsidR="00000000" w:rsidRPr="00000000">
        <w:rPr>
          <w:color w:val="000000"/>
          <w:rtl w:val="0"/>
        </w:rPr>
        <w:t xml:space="preserve">164.</w:t>
        <w:tab/>
      </w:r>
      <w:hyperlink r:id="rId1177">
        <w:r w:rsidDel="00000000" w:rsidR="00000000" w:rsidRPr="00000000">
          <w:rPr>
            <w:color w:val="000000"/>
            <w:rtl w:val="0"/>
          </w:rPr>
          <w:t xml:space="preserve">Mendez, F. L. </w:t>
        </w:r>
      </w:hyperlink>
      <w:hyperlink r:id="rId1178">
        <w:r w:rsidDel="00000000" w:rsidR="00000000" w:rsidRPr="00000000">
          <w:rPr>
            <w:i w:val="1"/>
            <w:color w:val="000000"/>
            <w:rtl w:val="0"/>
          </w:rPr>
          <w:t xml:space="preserve">et al.</w:t>
        </w:r>
      </w:hyperlink>
      <w:hyperlink r:id="rId1179">
        <w:r w:rsidDel="00000000" w:rsidR="00000000" w:rsidRPr="00000000">
          <w:rPr>
            <w:color w:val="000000"/>
            <w:rtl w:val="0"/>
          </w:rPr>
          <w:t xml:space="preserve"> Increased resolution of Y chromosome haplogroup T defines relationships among populations of the Near East, Europe, and Africa. </w:t>
        </w:r>
      </w:hyperlink>
      <w:hyperlink r:id="rId1180">
        <w:r w:rsidDel="00000000" w:rsidR="00000000" w:rsidRPr="00000000">
          <w:rPr>
            <w:i w:val="1"/>
            <w:color w:val="000000"/>
            <w:rtl w:val="0"/>
          </w:rPr>
          <w:t xml:space="preserve">Hum. Biol.</w:t>
        </w:r>
      </w:hyperlink>
      <w:hyperlink r:id="rId1181">
        <w:r w:rsidDel="00000000" w:rsidR="00000000" w:rsidRPr="00000000">
          <w:rPr>
            <w:color w:val="000000"/>
            <w:rtl w:val="0"/>
          </w:rPr>
          <w:t xml:space="preserve"> </w:t>
        </w:r>
      </w:hyperlink>
      <w:hyperlink r:id="rId1182">
        <w:r w:rsidDel="00000000" w:rsidR="00000000" w:rsidRPr="00000000">
          <w:rPr>
            <w:b w:val="1"/>
            <w:color w:val="000000"/>
            <w:rtl w:val="0"/>
          </w:rPr>
          <w:t xml:space="preserve">83</w:t>
        </w:r>
      </w:hyperlink>
      <w:hyperlink r:id="rId1183">
        <w:r w:rsidDel="00000000" w:rsidR="00000000" w:rsidRPr="00000000">
          <w:rPr>
            <w:color w:val="000000"/>
            <w:rtl w:val="0"/>
          </w:rPr>
          <w:t xml:space="preserve">, 39–53 (2011).</w:t>
        </w:r>
      </w:hyperlink>
      <w:r w:rsidDel="00000000" w:rsidR="00000000" w:rsidRPr="00000000">
        <w:rPr>
          <w:rtl w:val="0"/>
        </w:rPr>
      </w:r>
    </w:p>
    <w:p w:rsidR="00000000" w:rsidDel="00000000" w:rsidP="00000000" w:rsidRDefault="00000000" w:rsidRPr="00000000" w14:paraId="0000097A">
      <w:pPr>
        <w:widowControl w:val="0"/>
        <w:pBdr>
          <w:top w:space="0" w:sz="0" w:val="nil"/>
          <w:left w:space="0" w:sz="0" w:val="nil"/>
          <w:bottom w:space="0" w:sz="0" w:val="nil"/>
          <w:right w:space="0" w:sz="0" w:val="nil"/>
          <w:between w:space="0" w:sz="0" w:val="nil"/>
        </w:pBdr>
        <w:spacing w:after="0" w:line="480" w:lineRule="auto"/>
        <w:ind w:left="440" w:hanging="440"/>
        <w:rPr>
          <w:color w:val="000000"/>
        </w:rPr>
      </w:pPr>
      <w:r w:rsidDel="00000000" w:rsidR="00000000" w:rsidRPr="00000000">
        <w:rPr>
          <w:color w:val="000000"/>
          <w:rtl w:val="0"/>
        </w:rPr>
        <w:t xml:space="preserve">165.</w:t>
        <w:tab/>
      </w:r>
      <w:hyperlink r:id="rId1184">
        <w:r w:rsidDel="00000000" w:rsidR="00000000" w:rsidRPr="00000000">
          <w:rPr>
            <w:color w:val="000000"/>
            <w:rtl w:val="0"/>
          </w:rPr>
          <w:t xml:space="preserve">Sanchez, J. J., Børsting, C., Hernandez, A., Mengel-Jørgensen, J. &amp; Morling, N. Y chromosome SNP haplogroups in Danes, Greenlanders and Somalis. </w:t>
        </w:r>
      </w:hyperlink>
      <w:hyperlink r:id="rId1185">
        <w:r w:rsidDel="00000000" w:rsidR="00000000" w:rsidRPr="00000000">
          <w:rPr>
            <w:i w:val="1"/>
            <w:color w:val="000000"/>
            <w:rtl w:val="0"/>
          </w:rPr>
          <w:t xml:space="preserve">Int. Congr. Ser.</w:t>
        </w:r>
      </w:hyperlink>
      <w:hyperlink r:id="rId1186">
        <w:r w:rsidDel="00000000" w:rsidR="00000000" w:rsidRPr="00000000">
          <w:rPr>
            <w:color w:val="000000"/>
            <w:rtl w:val="0"/>
          </w:rPr>
          <w:t xml:space="preserve"> </w:t>
        </w:r>
      </w:hyperlink>
      <w:hyperlink r:id="rId1187">
        <w:r w:rsidDel="00000000" w:rsidR="00000000" w:rsidRPr="00000000">
          <w:rPr>
            <w:b w:val="1"/>
            <w:color w:val="000000"/>
            <w:rtl w:val="0"/>
          </w:rPr>
          <w:t xml:space="preserve">1261</w:t>
        </w:r>
      </w:hyperlink>
      <w:hyperlink r:id="rId1188">
        <w:r w:rsidDel="00000000" w:rsidR="00000000" w:rsidRPr="00000000">
          <w:rPr>
            <w:color w:val="000000"/>
            <w:rtl w:val="0"/>
          </w:rPr>
          <w:t xml:space="preserve">, 347–349 (2004).</w:t>
        </w:r>
      </w:hyperlink>
      <w:r w:rsidDel="00000000" w:rsidR="00000000" w:rsidRPr="00000000">
        <w:rPr>
          <w:rtl w:val="0"/>
        </w:rPr>
      </w:r>
    </w:p>
    <w:p w:rsidR="00000000" w:rsidDel="00000000" w:rsidP="00000000" w:rsidRDefault="00000000" w:rsidRPr="00000000" w14:paraId="0000097B">
      <w:pPr>
        <w:widowControl w:val="0"/>
        <w:pBdr>
          <w:top w:space="0" w:sz="0" w:val="nil"/>
          <w:left w:space="0" w:sz="0" w:val="nil"/>
          <w:bottom w:space="0" w:sz="0" w:val="nil"/>
          <w:right w:space="0" w:sz="0" w:val="nil"/>
          <w:between w:space="0" w:sz="0" w:val="nil"/>
        </w:pBdr>
        <w:spacing w:after="0" w:line="480" w:lineRule="auto"/>
        <w:ind w:left="440" w:hanging="440"/>
        <w:rPr>
          <w:color w:val="000000"/>
        </w:rPr>
      </w:pPr>
      <w:r w:rsidDel="00000000" w:rsidR="00000000" w:rsidRPr="00000000">
        <w:rPr>
          <w:color w:val="000000"/>
          <w:rtl w:val="0"/>
        </w:rPr>
        <w:t xml:space="preserve">166.</w:t>
        <w:tab/>
      </w:r>
      <w:hyperlink r:id="rId1189">
        <w:r w:rsidDel="00000000" w:rsidR="00000000" w:rsidRPr="00000000">
          <w:rPr>
            <w:color w:val="000000"/>
            <w:rtl w:val="0"/>
          </w:rPr>
          <w:t xml:space="preserve">Brown, L. D., Tony Cai, T. &amp; DasGupta, A. Interval Estimation for a Binomial Proportion. </w:t>
        </w:r>
      </w:hyperlink>
      <w:hyperlink r:id="rId1190">
        <w:r w:rsidDel="00000000" w:rsidR="00000000" w:rsidRPr="00000000">
          <w:rPr>
            <w:i w:val="1"/>
            <w:color w:val="000000"/>
            <w:rtl w:val="0"/>
          </w:rPr>
          <w:t xml:space="preserve">SSO Schweiz. Monatsschr. Zahnheilkd.</w:t>
        </w:r>
      </w:hyperlink>
      <w:hyperlink r:id="rId1191">
        <w:r w:rsidDel="00000000" w:rsidR="00000000" w:rsidRPr="00000000">
          <w:rPr>
            <w:color w:val="000000"/>
            <w:rtl w:val="0"/>
          </w:rPr>
          <w:t xml:space="preserve"> </w:t>
        </w:r>
      </w:hyperlink>
      <w:hyperlink r:id="rId1192">
        <w:r w:rsidDel="00000000" w:rsidR="00000000" w:rsidRPr="00000000">
          <w:rPr>
            <w:b w:val="1"/>
            <w:color w:val="000000"/>
            <w:rtl w:val="0"/>
          </w:rPr>
          <w:t xml:space="preserve">16</w:t>
        </w:r>
      </w:hyperlink>
      <w:hyperlink r:id="rId1193">
        <w:r w:rsidDel="00000000" w:rsidR="00000000" w:rsidRPr="00000000">
          <w:rPr>
            <w:color w:val="000000"/>
            <w:rtl w:val="0"/>
          </w:rPr>
          <w:t xml:space="preserve">, 101–133 (2001).</w:t>
        </w:r>
      </w:hyperlink>
      <w:r w:rsidDel="00000000" w:rsidR="00000000" w:rsidRPr="00000000">
        <w:rPr>
          <w:rtl w:val="0"/>
        </w:rPr>
      </w:r>
    </w:p>
    <w:p w:rsidR="00000000" w:rsidDel="00000000" w:rsidP="00000000" w:rsidRDefault="00000000" w:rsidRPr="00000000" w14:paraId="0000097C">
      <w:pPr>
        <w:widowControl w:val="0"/>
        <w:pBdr>
          <w:top w:space="0" w:sz="0" w:val="nil"/>
          <w:left w:space="0" w:sz="0" w:val="nil"/>
          <w:bottom w:space="0" w:sz="0" w:val="nil"/>
          <w:right w:space="0" w:sz="0" w:val="nil"/>
          <w:between w:space="0" w:sz="0" w:val="nil"/>
        </w:pBdr>
        <w:spacing w:after="0" w:line="480" w:lineRule="auto"/>
        <w:ind w:left="440" w:hanging="440"/>
        <w:rPr>
          <w:color w:val="000000"/>
        </w:rPr>
      </w:pPr>
      <w:r w:rsidDel="00000000" w:rsidR="00000000" w:rsidRPr="00000000">
        <w:rPr>
          <w:color w:val="000000"/>
          <w:rtl w:val="0"/>
        </w:rPr>
        <w:t xml:space="preserve">167.</w:t>
        <w:tab/>
      </w:r>
      <w:hyperlink r:id="rId1194">
        <w:r w:rsidDel="00000000" w:rsidR="00000000" w:rsidRPr="00000000">
          <w:rPr>
            <w:color w:val="000000"/>
            <w:rtl w:val="0"/>
          </w:rPr>
          <w:t xml:space="preserve">Agresti, A. &amp; Coull, B. A. Approximate Is Better than ‘Exact’ for Interval Estimation of Binomial Proportions. </w:t>
        </w:r>
      </w:hyperlink>
      <w:hyperlink r:id="rId1195">
        <w:r w:rsidDel="00000000" w:rsidR="00000000" w:rsidRPr="00000000">
          <w:rPr>
            <w:i w:val="1"/>
            <w:color w:val="000000"/>
            <w:rtl w:val="0"/>
          </w:rPr>
          <w:t xml:space="preserve">Am. Stat.</w:t>
        </w:r>
      </w:hyperlink>
      <w:hyperlink r:id="rId1196">
        <w:r w:rsidDel="00000000" w:rsidR="00000000" w:rsidRPr="00000000">
          <w:rPr>
            <w:color w:val="000000"/>
            <w:rtl w:val="0"/>
          </w:rPr>
          <w:t xml:space="preserve"> </w:t>
        </w:r>
      </w:hyperlink>
      <w:hyperlink r:id="rId1197">
        <w:r w:rsidDel="00000000" w:rsidR="00000000" w:rsidRPr="00000000">
          <w:rPr>
            <w:b w:val="1"/>
            <w:color w:val="000000"/>
            <w:rtl w:val="0"/>
          </w:rPr>
          <w:t xml:space="preserve">52</w:t>
        </w:r>
      </w:hyperlink>
      <w:hyperlink r:id="rId1198">
        <w:r w:rsidDel="00000000" w:rsidR="00000000" w:rsidRPr="00000000">
          <w:rPr>
            <w:color w:val="000000"/>
            <w:rtl w:val="0"/>
          </w:rPr>
          <w:t xml:space="preserve">, 119–126 (1998).</w:t>
        </w:r>
      </w:hyperlink>
      <w:r w:rsidDel="00000000" w:rsidR="00000000" w:rsidRPr="00000000">
        <w:rPr>
          <w:rtl w:val="0"/>
        </w:rPr>
      </w:r>
    </w:p>
    <w:p w:rsidR="00000000" w:rsidDel="00000000" w:rsidP="00000000" w:rsidRDefault="00000000" w:rsidRPr="00000000" w14:paraId="0000097D">
      <w:pPr>
        <w:widowControl w:val="0"/>
        <w:pBdr>
          <w:top w:space="0" w:sz="0" w:val="nil"/>
          <w:left w:space="0" w:sz="0" w:val="nil"/>
          <w:bottom w:space="0" w:sz="0" w:val="nil"/>
          <w:right w:space="0" w:sz="0" w:val="nil"/>
          <w:between w:space="0" w:sz="0" w:val="nil"/>
        </w:pBdr>
        <w:spacing w:after="0" w:line="480" w:lineRule="auto"/>
        <w:ind w:left="440" w:hanging="440"/>
        <w:rPr>
          <w:color w:val="000000"/>
        </w:rPr>
      </w:pPr>
      <w:r w:rsidDel="00000000" w:rsidR="00000000" w:rsidRPr="00000000">
        <w:rPr>
          <w:color w:val="000000"/>
          <w:rtl w:val="0"/>
        </w:rPr>
        <w:t xml:space="preserve">168.</w:t>
        <w:tab/>
      </w:r>
      <w:hyperlink r:id="rId1199">
        <w:r w:rsidDel="00000000" w:rsidR="00000000" w:rsidRPr="00000000">
          <w:rPr>
            <w:color w:val="000000"/>
            <w:rtl w:val="0"/>
          </w:rPr>
          <w:t xml:space="preserve">Goldberg, A., Günther, T., Rosenberg, N. A. &amp; Jakobsson, M. Ancient X chromosomes reveal contrasting sex bias in Neolithic and Bronze Age Eurasian migrations. </w:t>
        </w:r>
      </w:hyperlink>
      <w:hyperlink r:id="rId1200">
        <w:r w:rsidDel="00000000" w:rsidR="00000000" w:rsidRPr="00000000">
          <w:rPr>
            <w:i w:val="1"/>
            <w:color w:val="000000"/>
            <w:rtl w:val="0"/>
          </w:rPr>
          <w:t xml:space="preserve">Proc. Natl. Acad. Sci. U. S. A.</w:t>
        </w:r>
      </w:hyperlink>
      <w:hyperlink r:id="rId1201">
        <w:r w:rsidDel="00000000" w:rsidR="00000000" w:rsidRPr="00000000">
          <w:rPr>
            <w:color w:val="000000"/>
            <w:rtl w:val="0"/>
          </w:rPr>
          <w:t xml:space="preserve"> </w:t>
        </w:r>
      </w:hyperlink>
      <w:hyperlink r:id="rId1202">
        <w:r w:rsidDel="00000000" w:rsidR="00000000" w:rsidRPr="00000000">
          <w:rPr>
            <w:b w:val="1"/>
            <w:color w:val="000000"/>
            <w:rtl w:val="0"/>
          </w:rPr>
          <w:t xml:space="preserve">114</w:t>
        </w:r>
      </w:hyperlink>
      <w:hyperlink r:id="rId1203">
        <w:r w:rsidDel="00000000" w:rsidR="00000000" w:rsidRPr="00000000">
          <w:rPr>
            <w:color w:val="000000"/>
            <w:rtl w:val="0"/>
          </w:rPr>
          <w:t xml:space="preserve">, 2657–2662 (2017).</w:t>
        </w:r>
      </w:hyperlink>
      <w:r w:rsidDel="00000000" w:rsidR="00000000" w:rsidRPr="00000000">
        <w:rPr>
          <w:rtl w:val="0"/>
        </w:rPr>
      </w:r>
    </w:p>
    <w:p w:rsidR="00000000" w:rsidDel="00000000" w:rsidP="00000000" w:rsidRDefault="00000000" w:rsidRPr="00000000" w14:paraId="0000097E">
      <w:pPr>
        <w:widowControl w:val="0"/>
        <w:pBdr>
          <w:top w:space="0" w:sz="0" w:val="nil"/>
          <w:left w:space="0" w:sz="0" w:val="nil"/>
          <w:bottom w:space="0" w:sz="0" w:val="nil"/>
          <w:right w:space="0" w:sz="0" w:val="nil"/>
          <w:between w:space="0" w:sz="0" w:val="nil"/>
        </w:pBdr>
        <w:spacing w:after="0" w:line="480" w:lineRule="auto"/>
        <w:ind w:left="440" w:hanging="440"/>
        <w:rPr>
          <w:color w:val="000000"/>
        </w:rPr>
      </w:pPr>
      <w:r w:rsidDel="00000000" w:rsidR="00000000" w:rsidRPr="00000000">
        <w:rPr>
          <w:color w:val="000000"/>
          <w:rtl w:val="0"/>
        </w:rPr>
        <w:t xml:space="preserve">169.</w:t>
        <w:tab/>
      </w:r>
      <w:hyperlink r:id="rId1204">
        <w:r w:rsidDel="00000000" w:rsidR="00000000" w:rsidRPr="00000000">
          <w:rPr>
            <w:color w:val="000000"/>
            <w:rtl w:val="0"/>
          </w:rPr>
          <w:t xml:space="preserve">Keinan, A., Mullikin, J. C., Patterson, N. &amp; Reich, D. Accelerated genetic drift on chromosome X during the human dispersal out of Africa. </w:t>
        </w:r>
      </w:hyperlink>
      <w:hyperlink r:id="rId1205">
        <w:r w:rsidDel="00000000" w:rsidR="00000000" w:rsidRPr="00000000">
          <w:rPr>
            <w:i w:val="1"/>
            <w:color w:val="000000"/>
            <w:rtl w:val="0"/>
          </w:rPr>
          <w:t xml:space="preserve">Nat. Genet.</w:t>
        </w:r>
      </w:hyperlink>
      <w:hyperlink r:id="rId1206">
        <w:r w:rsidDel="00000000" w:rsidR="00000000" w:rsidRPr="00000000">
          <w:rPr>
            <w:color w:val="000000"/>
            <w:rtl w:val="0"/>
          </w:rPr>
          <w:t xml:space="preserve"> </w:t>
        </w:r>
      </w:hyperlink>
      <w:hyperlink r:id="rId1207">
        <w:r w:rsidDel="00000000" w:rsidR="00000000" w:rsidRPr="00000000">
          <w:rPr>
            <w:b w:val="1"/>
            <w:color w:val="000000"/>
            <w:rtl w:val="0"/>
          </w:rPr>
          <w:t xml:space="preserve">41</w:t>
        </w:r>
      </w:hyperlink>
      <w:hyperlink r:id="rId1208">
        <w:r w:rsidDel="00000000" w:rsidR="00000000" w:rsidRPr="00000000">
          <w:rPr>
            <w:color w:val="000000"/>
            <w:rtl w:val="0"/>
          </w:rPr>
          <w:t xml:space="preserve">, 66–70 (2009).</w:t>
        </w:r>
      </w:hyperlink>
      <w:r w:rsidDel="00000000" w:rsidR="00000000" w:rsidRPr="00000000">
        <w:rPr>
          <w:rtl w:val="0"/>
        </w:rPr>
      </w:r>
    </w:p>
    <w:p w:rsidR="00000000" w:rsidDel="00000000" w:rsidP="00000000" w:rsidRDefault="00000000" w:rsidRPr="00000000" w14:paraId="0000097F">
      <w:pPr>
        <w:widowControl w:val="0"/>
        <w:pBdr>
          <w:top w:space="0" w:sz="0" w:val="nil"/>
          <w:left w:space="0" w:sz="0" w:val="nil"/>
          <w:bottom w:space="0" w:sz="0" w:val="nil"/>
          <w:right w:space="0" w:sz="0" w:val="nil"/>
          <w:between w:space="0" w:sz="0" w:val="nil"/>
        </w:pBdr>
        <w:spacing w:after="0" w:line="480" w:lineRule="auto"/>
        <w:ind w:left="440" w:hanging="440"/>
        <w:rPr>
          <w:color w:val="000000"/>
        </w:rPr>
      </w:pPr>
      <w:r w:rsidDel="00000000" w:rsidR="00000000" w:rsidRPr="00000000">
        <w:rPr>
          <w:color w:val="000000"/>
          <w:rtl w:val="0"/>
        </w:rPr>
        <w:t xml:space="preserve">170.</w:t>
        <w:tab/>
      </w:r>
      <w:hyperlink r:id="rId1209">
        <w:r w:rsidDel="00000000" w:rsidR="00000000" w:rsidRPr="00000000">
          <w:rPr>
            <w:color w:val="000000"/>
            <w:rtl w:val="0"/>
          </w:rPr>
          <w:t xml:space="preserve">Waldman, Y. Y. </w:t>
        </w:r>
      </w:hyperlink>
      <w:hyperlink r:id="rId1210">
        <w:r w:rsidDel="00000000" w:rsidR="00000000" w:rsidRPr="00000000">
          <w:rPr>
            <w:i w:val="1"/>
            <w:color w:val="000000"/>
            <w:rtl w:val="0"/>
          </w:rPr>
          <w:t xml:space="preserve">et al.</w:t>
        </w:r>
      </w:hyperlink>
      <w:hyperlink r:id="rId1211">
        <w:r w:rsidDel="00000000" w:rsidR="00000000" w:rsidRPr="00000000">
          <w:rPr>
            <w:color w:val="000000"/>
            <w:rtl w:val="0"/>
          </w:rPr>
          <w:t xml:space="preserve"> The Genetics of Bene Israel from India Reveals Both Substantial Jewish and Indian Ancestry. </w:t>
        </w:r>
      </w:hyperlink>
      <w:hyperlink r:id="rId1212">
        <w:r w:rsidDel="00000000" w:rsidR="00000000" w:rsidRPr="00000000">
          <w:rPr>
            <w:i w:val="1"/>
            <w:color w:val="000000"/>
            <w:rtl w:val="0"/>
          </w:rPr>
          <w:t xml:space="preserve">PLoS One</w:t>
        </w:r>
      </w:hyperlink>
      <w:hyperlink r:id="rId1213">
        <w:r w:rsidDel="00000000" w:rsidR="00000000" w:rsidRPr="00000000">
          <w:rPr>
            <w:color w:val="000000"/>
            <w:rtl w:val="0"/>
          </w:rPr>
          <w:t xml:space="preserve"> </w:t>
        </w:r>
      </w:hyperlink>
      <w:hyperlink r:id="rId1214">
        <w:r w:rsidDel="00000000" w:rsidR="00000000" w:rsidRPr="00000000">
          <w:rPr>
            <w:b w:val="1"/>
            <w:color w:val="000000"/>
            <w:rtl w:val="0"/>
          </w:rPr>
          <w:t xml:space="preserve">11</w:t>
        </w:r>
      </w:hyperlink>
      <w:hyperlink r:id="rId1215">
        <w:r w:rsidDel="00000000" w:rsidR="00000000" w:rsidRPr="00000000">
          <w:rPr>
            <w:color w:val="000000"/>
            <w:rtl w:val="0"/>
          </w:rPr>
          <w:t xml:space="preserve">, e0152056 (2016).</w:t>
        </w:r>
      </w:hyperlink>
      <w:r w:rsidDel="00000000" w:rsidR="00000000" w:rsidRPr="00000000">
        <w:rPr>
          <w:rtl w:val="0"/>
        </w:rPr>
      </w:r>
    </w:p>
    <w:p w:rsidR="00000000" w:rsidDel="00000000" w:rsidP="00000000" w:rsidRDefault="00000000" w:rsidRPr="00000000" w14:paraId="00000980">
      <w:pPr>
        <w:widowControl w:val="0"/>
        <w:pBdr>
          <w:top w:space="0" w:sz="0" w:val="nil"/>
          <w:left w:space="0" w:sz="0" w:val="nil"/>
          <w:bottom w:space="0" w:sz="0" w:val="nil"/>
          <w:right w:space="0" w:sz="0" w:val="nil"/>
          <w:between w:space="0" w:sz="0" w:val="nil"/>
        </w:pBdr>
        <w:spacing w:after="0" w:line="480" w:lineRule="auto"/>
        <w:ind w:left="440" w:hanging="440"/>
        <w:rPr>
          <w:color w:val="000000"/>
        </w:rPr>
      </w:pPr>
      <w:r w:rsidDel="00000000" w:rsidR="00000000" w:rsidRPr="00000000">
        <w:rPr>
          <w:color w:val="000000"/>
          <w:rtl w:val="0"/>
        </w:rPr>
        <w:t xml:space="preserve">171.</w:t>
        <w:tab/>
      </w:r>
      <w:hyperlink r:id="rId1216">
        <w:r w:rsidDel="00000000" w:rsidR="00000000" w:rsidRPr="00000000">
          <w:rPr>
            <w:color w:val="000000"/>
            <w:rtl w:val="0"/>
          </w:rPr>
          <w:t xml:space="preserve">Haak, W. </w:t>
        </w:r>
      </w:hyperlink>
      <w:hyperlink r:id="rId1217">
        <w:r w:rsidDel="00000000" w:rsidR="00000000" w:rsidRPr="00000000">
          <w:rPr>
            <w:i w:val="1"/>
            <w:color w:val="000000"/>
            <w:rtl w:val="0"/>
          </w:rPr>
          <w:t xml:space="preserve">et al.</w:t>
        </w:r>
      </w:hyperlink>
      <w:hyperlink r:id="rId1218">
        <w:r w:rsidDel="00000000" w:rsidR="00000000" w:rsidRPr="00000000">
          <w:rPr>
            <w:color w:val="000000"/>
            <w:rtl w:val="0"/>
          </w:rPr>
          <w:t xml:space="preserve"> Massive migration from the steppe was a source for Indo-European languages in Europe. </w:t>
        </w:r>
      </w:hyperlink>
      <w:hyperlink r:id="rId1219">
        <w:r w:rsidDel="00000000" w:rsidR="00000000" w:rsidRPr="00000000">
          <w:rPr>
            <w:i w:val="1"/>
            <w:color w:val="000000"/>
            <w:rtl w:val="0"/>
          </w:rPr>
          <w:t xml:space="preserve">Nature</w:t>
        </w:r>
      </w:hyperlink>
      <w:hyperlink r:id="rId1220">
        <w:r w:rsidDel="00000000" w:rsidR="00000000" w:rsidRPr="00000000">
          <w:rPr>
            <w:color w:val="000000"/>
            <w:rtl w:val="0"/>
          </w:rPr>
          <w:t xml:space="preserve"> </w:t>
        </w:r>
      </w:hyperlink>
      <w:hyperlink r:id="rId1221">
        <w:r w:rsidDel="00000000" w:rsidR="00000000" w:rsidRPr="00000000">
          <w:rPr>
            <w:b w:val="1"/>
            <w:color w:val="000000"/>
            <w:rtl w:val="0"/>
          </w:rPr>
          <w:t xml:space="preserve">522</w:t>
        </w:r>
      </w:hyperlink>
      <w:hyperlink r:id="rId1222">
        <w:r w:rsidDel="00000000" w:rsidR="00000000" w:rsidRPr="00000000">
          <w:rPr>
            <w:color w:val="000000"/>
            <w:rtl w:val="0"/>
          </w:rPr>
          <w:t xml:space="preserve">, 207–211 (2015).</w:t>
        </w:r>
      </w:hyperlink>
      <w:r w:rsidDel="00000000" w:rsidR="00000000" w:rsidRPr="00000000">
        <w:rPr>
          <w:rtl w:val="0"/>
        </w:rPr>
      </w:r>
    </w:p>
    <w:p w:rsidR="00000000" w:rsidDel="00000000" w:rsidP="00000000" w:rsidRDefault="00000000" w:rsidRPr="00000000" w14:paraId="00000981">
      <w:pPr>
        <w:widowControl w:val="0"/>
        <w:pBdr>
          <w:top w:space="0" w:sz="0" w:val="nil"/>
          <w:left w:space="0" w:sz="0" w:val="nil"/>
          <w:bottom w:space="0" w:sz="0" w:val="nil"/>
          <w:right w:space="0" w:sz="0" w:val="nil"/>
          <w:between w:space="0" w:sz="0" w:val="nil"/>
        </w:pBdr>
        <w:spacing w:after="0" w:line="480" w:lineRule="auto"/>
        <w:ind w:left="440" w:hanging="440"/>
        <w:rPr>
          <w:color w:val="000000"/>
        </w:rPr>
      </w:pPr>
      <w:r w:rsidDel="00000000" w:rsidR="00000000" w:rsidRPr="00000000">
        <w:rPr>
          <w:color w:val="000000"/>
          <w:rtl w:val="0"/>
        </w:rPr>
        <w:t xml:space="preserve">172.</w:t>
        <w:tab/>
      </w:r>
      <w:hyperlink r:id="rId1223">
        <w:r w:rsidDel="00000000" w:rsidR="00000000" w:rsidRPr="00000000">
          <w:rPr>
            <w:color w:val="000000"/>
            <w:rtl w:val="0"/>
          </w:rPr>
          <w:t xml:space="preserve">Alexander, D. H., Novembre, J. &amp; Lange, K. Fast model-based estimation of ancestry in unrelated individuals. </w:t>
        </w:r>
      </w:hyperlink>
      <w:hyperlink r:id="rId1224">
        <w:r w:rsidDel="00000000" w:rsidR="00000000" w:rsidRPr="00000000">
          <w:rPr>
            <w:i w:val="1"/>
            <w:color w:val="000000"/>
            <w:rtl w:val="0"/>
          </w:rPr>
          <w:t xml:space="preserve">Genome Res.</w:t>
        </w:r>
      </w:hyperlink>
      <w:hyperlink r:id="rId1225">
        <w:r w:rsidDel="00000000" w:rsidR="00000000" w:rsidRPr="00000000">
          <w:rPr>
            <w:color w:val="000000"/>
            <w:rtl w:val="0"/>
          </w:rPr>
          <w:t xml:space="preserve"> </w:t>
        </w:r>
      </w:hyperlink>
      <w:hyperlink r:id="rId1226">
        <w:r w:rsidDel="00000000" w:rsidR="00000000" w:rsidRPr="00000000">
          <w:rPr>
            <w:b w:val="1"/>
            <w:color w:val="000000"/>
            <w:rtl w:val="0"/>
          </w:rPr>
          <w:t xml:space="preserve">19</w:t>
        </w:r>
      </w:hyperlink>
      <w:hyperlink r:id="rId1227">
        <w:r w:rsidDel="00000000" w:rsidR="00000000" w:rsidRPr="00000000">
          <w:rPr>
            <w:color w:val="000000"/>
            <w:rtl w:val="0"/>
          </w:rPr>
          <w:t xml:space="preserve">, 1655–1664 (2009).</w:t>
        </w:r>
      </w:hyperlink>
      <w:r w:rsidDel="00000000" w:rsidR="00000000" w:rsidRPr="00000000">
        <w:rPr>
          <w:rtl w:val="0"/>
        </w:rPr>
      </w:r>
    </w:p>
    <w:p w:rsidR="00000000" w:rsidDel="00000000" w:rsidP="00000000" w:rsidRDefault="00000000" w:rsidRPr="00000000" w14:paraId="00000982">
      <w:pPr>
        <w:widowControl w:val="0"/>
        <w:pBdr>
          <w:top w:space="0" w:sz="0" w:val="nil"/>
          <w:left w:space="0" w:sz="0" w:val="nil"/>
          <w:bottom w:space="0" w:sz="0" w:val="nil"/>
          <w:right w:space="0" w:sz="0" w:val="nil"/>
          <w:between w:space="0" w:sz="0" w:val="nil"/>
        </w:pBdr>
        <w:spacing w:after="0" w:line="480" w:lineRule="auto"/>
        <w:ind w:left="440" w:hanging="440"/>
        <w:rPr>
          <w:color w:val="000000"/>
        </w:rPr>
      </w:pPr>
      <w:r w:rsidDel="00000000" w:rsidR="00000000" w:rsidRPr="00000000">
        <w:rPr>
          <w:color w:val="000000"/>
          <w:rtl w:val="0"/>
        </w:rPr>
        <w:t xml:space="preserve">173.</w:t>
        <w:tab/>
      </w:r>
      <w:hyperlink r:id="rId1228">
        <w:r w:rsidDel="00000000" w:rsidR="00000000" w:rsidRPr="00000000">
          <w:rPr>
            <w:color w:val="000000"/>
            <w:rtl w:val="0"/>
          </w:rPr>
          <w:t xml:space="preserve">Shringarpure, S. S., Bustamante, C. D., Lange, K. &amp; Alexander, D. H. Efficient analysis of large datasets and sex bias with ADMIXTURE. </w:t>
        </w:r>
      </w:hyperlink>
      <w:hyperlink r:id="rId1229">
        <w:r w:rsidDel="00000000" w:rsidR="00000000" w:rsidRPr="00000000">
          <w:rPr>
            <w:i w:val="1"/>
            <w:color w:val="000000"/>
            <w:rtl w:val="0"/>
          </w:rPr>
          <w:t xml:space="preserve">BMC Bioinformatics</w:t>
        </w:r>
      </w:hyperlink>
      <w:hyperlink r:id="rId1230">
        <w:r w:rsidDel="00000000" w:rsidR="00000000" w:rsidRPr="00000000">
          <w:rPr>
            <w:color w:val="000000"/>
            <w:rtl w:val="0"/>
          </w:rPr>
          <w:t xml:space="preserve"> </w:t>
        </w:r>
      </w:hyperlink>
      <w:hyperlink r:id="rId1231">
        <w:r w:rsidDel="00000000" w:rsidR="00000000" w:rsidRPr="00000000">
          <w:rPr>
            <w:b w:val="1"/>
            <w:color w:val="000000"/>
            <w:rtl w:val="0"/>
          </w:rPr>
          <w:t xml:space="preserve">17</w:t>
        </w:r>
      </w:hyperlink>
      <w:hyperlink r:id="rId1232">
        <w:r w:rsidDel="00000000" w:rsidR="00000000" w:rsidRPr="00000000">
          <w:rPr>
            <w:color w:val="000000"/>
            <w:rtl w:val="0"/>
          </w:rPr>
          <w:t xml:space="preserve">, 218 (2016).</w:t>
        </w:r>
      </w:hyperlink>
      <w:r w:rsidDel="00000000" w:rsidR="00000000" w:rsidRPr="00000000">
        <w:rPr>
          <w:rtl w:val="0"/>
        </w:rPr>
      </w:r>
    </w:p>
    <w:p w:rsidR="00000000" w:rsidDel="00000000" w:rsidP="00000000" w:rsidRDefault="00000000" w:rsidRPr="00000000" w14:paraId="00000983">
      <w:pPr>
        <w:widowControl w:val="0"/>
        <w:pBdr>
          <w:top w:space="0" w:sz="0" w:val="nil"/>
          <w:left w:space="0" w:sz="0" w:val="nil"/>
          <w:bottom w:space="0" w:sz="0" w:val="nil"/>
          <w:right w:space="0" w:sz="0" w:val="nil"/>
          <w:between w:space="0" w:sz="0" w:val="nil"/>
        </w:pBdr>
        <w:spacing w:after="0" w:line="480" w:lineRule="auto"/>
        <w:ind w:left="440" w:hanging="440"/>
        <w:rPr>
          <w:color w:val="000000"/>
        </w:rPr>
      </w:pPr>
      <w:r w:rsidDel="00000000" w:rsidR="00000000" w:rsidRPr="00000000">
        <w:rPr>
          <w:color w:val="000000"/>
          <w:rtl w:val="0"/>
        </w:rPr>
        <w:t xml:space="preserve">174.</w:t>
        <w:tab/>
      </w:r>
      <w:hyperlink r:id="rId1233">
        <w:r w:rsidDel="00000000" w:rsidR="00000000" w:rsidRPr="00000000">
          <w:rPr>
            <w:color w:val="000000"/>
            <w:rtl w:val="0"/>
          </w:rPr>
          <w:t xml:space="preserve">Patterson, N. </w:t>
        </w:r>
      </w:hyperlink>
      <w:hyperlink r:id="rId1234">
        <w:r w:rsidDel="00000000" w:rsidR="00000000" w:rsidRPr="00000000">
          <w:rPr>
            <w:i w:val="1"/>
            <w:color w:val="000000"/>
            <w:rtl w:val="0"/>
          </w:rPr>
          <w:t xml:space="preserve">et al.</w:t>
        </w:r>
      </w:hyperlink>
      <w:hyperlink r:id="rId1235">
        <w:r w:rsidDel="00000000" w:rsidR="00000000" w:rsidRPr="00000000">
          <w:rPr>
            <w:color w:val="000000"/>
            <w:rtl w:val="0"/>
          </w:rPr>
          <w:t xml:space="preserve"> Ancient admixture in human history. </w:t>
        </w:r>
      </w:hyperlink>
      <w:hyperlink r:id="rId1236">
        <w:r w:rsidDel="00000000" w:rsidR="00000000" w:rsidRPr="00000000">
          <w:rPr>
            <w:i w:val="1"/>
            <w:color w:val="000000"/>
            <w:rtl w:val="0"/>
          </w:rPr>
          <w:t xml:space="preserve">Genetics</w:t>
        </w:r>
      </w:hyperlink>
      <w:hyperlink r:id="rId1237">
        <w:r w:rsidDel="00000000" w:rsidR="00000000" w:rsidRPr="00000000">
          <w:rPr>
            <w:color w:val="000000"/>
            <w:rtl w:val="0"/>
          </w:rPr>
          <w:t xml:space="preserve"> </w:t>
        </w:r>
      </w:hyperlink>
      <w:hyperlink r:id="rId1238">
        <w:r w:rsidDel="00000000" w:rsidR="00000000" w:rsidRPr="00000000">
          <w:rPr>
            <w:b w:val="1"/>
            <w:color w:val="000000"/>
            <w:rtl w:val="0"/>
          </w:rPr>
          <w:t xml:space="preserve">192</w:t>
        </w:r>
      </w:hyperlink>
      <w:hyperlink r:id="rId1239">
        <w:r w:rsidDel="00000000" w:rsidR="00000000" w:rsidRPr="00000000">
          <w:rPr>
            <w:color w:val="000000"/>
            <w:rtl w:val="0"/>
          </w:rPr>
          <w:t xml:space="preserve">, 1065–1093 (2012).</w:t>
        </w:r>
      </w:hyperlink>
      <w:r w:rsidDel="00000000" w:rsidR="00000000" w:rsidRPr="00000000">
        <w:rPr>
          <w:rtl w:val="0"/>
        </w:rPr>
      </w:r>
    </w:p>
    <w:p w:rsidR="00000000" w:rsidDel="00000000" w:rsidP="00000000" w:rsidRDefault="00000000" w:rsidRPr="00000000" w14:paraId="00000984">
      <w:pPr>
        <w:widowControl w:val="0"/>
        <w:pBdr>
          <w:top w:space="0" w:sz="0" w:val="nil"/>
          <w:left w:space="0" w:sz="0" w:val="nil"/>
          <w:bottom w:space="0" w:sz="0" w:val="nil"/>
          <w:right w:space="0" w:sz="0" w:val="nil"/>
          <w:between w:space="0" w:sz="0" w:val="nil"/>
        </w:pBdr>
        <w:spacing w:after="0" w:line="480" w:lineRule="auto"/>
        <w:ind w:left="440" w:hanging="440"/>
        <w:rPr>
          <w:color w:val="000000"/>
        </w:rPr>
      </w:pPr>
      <w:r w:rsidDel="00000000" w:rsidR="00000000" w:rsidRPr="00000000">
        <w:rPr>
          <w:color w:val="000000"/>
          <w:rtl w:val="0"/>
        </w:rPr>
        <w:t xml:space="preserve">175.</w:t>
        <w:tab/>
      </w:r>
      <w:hyperlink r:id="rId1240">
        <w:r w:rsidDel="00000000" w:rsidR="00000000" w:rsidRPr="00000000">
          <w:rPr>
            <w:color w:val="000000"/>
            <w:rtl w:val="0"/>
          </w:rPr>
          <w:t xml:space="preserve">Reich, D. </w:t>
        </w:r>
      </w:hyperlink>
      <w:hyperlink r:id="rId1241">
        <w:r w:rsidDel="00000000" w:rsidR="00000000" w:rsidRPr="00000000">
          <w:rPr>
            <w:i w:val="1"/>
            <w:color w:val="000000"/>
            <w:rtl w:val="0"/>
          </w:rPr>
          <w:t xml:space="preserve">et al.</w:t>
        </w:r>
      </w:hyperlink>
      <w:hyperlink r:id="rId1242">
        <w:r w:rsidDel="00000000" w:rsidR="00000000" w:rsidRPr="00000000">
          <w:rPr>
            <w:color w:val="000000"/>
            <w:rtl w:val="0"/>
          </w:rPr>
          <w:t xml:space="preserve"> Reconstructing Native American population history. </w:t>
        </w:r>
      </w:hyperlink>
      <w:hyperlink r:id="rId1243">
        <w:r w:rsidDel="00000000" w:rsidR="00000000" w:rsidRPr="00000000">
          <w:rPr>
            <w:i w:val="1"/>
            <w:color w:val="000000"/>
            <w:rtl w:val="0"/>
          </w:rPr>
          <w:t xml:space="preserve">Nature</w:t>
        </w:r>
      </w:hyperlink>
      <w:hyperlink r:id="rId1244">
        <w:r w:rsidDel="00000000" w:rsidR="00000000" w:rsidRPr="00000000">
          <w:rPr>
            <w:color w:val="000000"/>
            <w:rtl w:val="0"/>
          </w:rPr>
          <w:t xml:space="preserve"> </w:t>
        </w:r>
      </w:hyperlink>
      <w:hyperlink r:id="rId1245">
        <w:r w:rsidDel="00000000" w:rsidR="00000000" w:rsidRPr="00000000">
          <w:rPr>
            <w:b w:val="1"/>
            <w:color w:val="000000"/>
            <w:rtl w:val="0"/>
          </w:rPr>
          <w:t xml:space="preserve">488</w:t>
        </w:r>
      </w:hyperlink>
      <w:hyperlink r:id="rId1246">
        <w:r w:rsidDel="00000000" w:rsidR="00000000" w:rsidRPr="00000000">
          <w:rPr>
            <w:color w:val="000000"/>
            <w:rtl w:val="0"/>
          </w:rPr>
          <w:t xml:space="preserve">, 370–374 (2012).</w:t>
        </w:r>
      </w:hyperlink>
      <w:r w:rsidDel="00000000" w:rsidR="00000000" w:rsidRPr="00000000">
        <w:rPr>
          <w:rtl w:val="0"/>
        </w:rPr>
      </w:r>
    </w:p>
    <w:p w:rsidR="00000000" w:rsidDel="00000000" w:rsidP="00000000" w:rsidRDefault="00000000" w:rsidRPr="00000000" w14:paraId="00000985">
      <w:pPr>
        <w:widowControl w:val="0"/>
        <w:pBdr>
          <w:top w:space="0" w:sz="0" w:val="nil"/>
          <w:left w:space="0" w:sz="0" w:val="nil"/>
          <w:bottom w:space="0" w:sz="0" w:val="nil"/>
          <w:right w:space="0" w:sz="0" w:val="nil"/>
          <w:between w:space="0" w:sz="0" w:val="nil"/>
        </w:pBdr>
        <w:spacing w:after="0" w:line="480" w:lineRule="auto"/>
        <w:ind w:left="440" w:hanging="440"/>
        <w:rPr>
          <w:color w:val="000000"/>
        </w:rPr>
      </w:pPr>
      <w:r w:rsidDel="00000000" w:rsidR="00000000" w:rsidRPr="00000000">
        <w:rPr>
          <w:color w:val="000000"/>
          <w:rtl w:val="0"/>
        </w:rPr>
        <w:t xml:space="preserve">176.</w:t>
        <w:tab/>
      </w:r>
      <w:hyperlink r:id="rId1247">
        <w:r w:rsidDel="00000000" w:rsidR="00000000" w:rsidRPr="00000000">
          <w:rPr>
            <w:color w:val="000000"/>
            <w:rtl w:val="0"/>
          </w:rPr>
          <w:t xml:space="preserve">Benjamini, Y. &amp; Hochberg, Y. Controlling the False Discovery Rate: A Practical and Powerful Approach to Multiple Testing. </w:t>
        </w:r>
      </w:hyperlink>
      <w:hyperlink r:id="rId1248">
        <w:r w:rsidDel="00000000" w:rsidR="00000000" w:rsidRPr="00000000">
          <w:rPr>
            <w:i w:val="1"/>
            <w:color w:val="000000"/>
            <w:rtl w:val="0"/>
          </w:rPr>
          <w:t xml:space="preserve">J. R. Stat. Soc. Series B Stat. Methodol.</w:t>
        </w:r>
      </w:hyperlink>
      <w:hyperlink r:id="rId1249">
        <w:r w:rsidDel="00000000" w:rsidR="00000000" w:rsidRPr="00000000">
          <w:rPr>
            <w:color w:val="000000"/>
            <w:rtl w:val="0"/>
          </w:rPr>
          <w:t xml:space="preserve"> </w:t>
        </w:r>
      </w:hyperlink>
      <w:hyperlink r:id="rId1250">
        <w:r w:rsidDel="00000000" w:rsidR="00000000" w:rsidRPr="00000000">
          <w:rPr>
            <w:b w:val="1"/>
            <w:color w:val="000000"/>
            <w:rtl w:val="0"/>
          </w:rPr>
          <w:t xml:space="preserve">57</w:t>
        </w:r>
      </w:hyperlink>
      <w:hyperlink r:id="rId1251">
        <w:r w:rsidDel="00000000" w:rsidR="00000000" w:rsidRPr="00000000">
          <w:rPr>
            <w:color w:val="000000"/>
            <w:rtl w:val="0"/>
          </w:rPr>
          <w:t xml:space="preserve">, 289–300 (1995).</w:t>
        </w:r>
      </w:hyperlink>
      <w:r w:rsidDel="00000000" w:rsidR="00000000" w:rsidRPr="00000000">
        <w:rPr>
          <w:rtl w:val="0"/>
        </w:rPr>
      </w:r>
    </w:p>
    <w:p w:rsidR="00000000" w:rsidDel="00000000" w:rsidP="00000000" w:rsidRDefault="00000000" w:rsidRPr="00000000" w14:paraId="00000986">
      <w:pPr>
        <w:widowControl w:val="0"/>
        <w:pBdr>
          <w:top w:space="0" w:sz="0" w:val="nil"/>
          <w:left w:space="0" w:sz="0" w:val="nil"/>
          <w:bottom w:space="0" w:sz="0" w:val="nil"/>
          <w:right w:space="0" w:sz="0" w:val="nil"/>
          <w:between w:space="0" w:sz="0" w:val="nil"/>
        </w:pBdr>
        <w:spacing w:after="0" w:line="480" w:lineRule="auto"/>
        <w:ind w:left="440" w:hanging="440"/>
        <w:rPr>
          <w:color w:val="000000"/>
        </w:rPr>
      </w:pPr>
      <w:r w:rsidDel="00000000" w:rsidR="00000000" w:rsidRPr="00000000">
        <w:rPr>
          <w:color w:val="000000"/>
          <w:rtl w:val="0"/>
        </w:rPr>
        <w:t xml:space="preserve">177.</w:t>
        <w:tab/>
      </w:r>
      <w:hyperlink r:id="rId1252">
        <w:r w:rsidDel="00000000" w:rsidR="00000000" w:rsidRPr="00000000">
          <w:rPr>
            <w:color w:val="000000"/>
            <w:rtl w:val="0"/>
          </w:rPr>
          <w:t xml:space="preserve">Athanasiadis, G. </w:t>
        </w:r>
      </w:hyperlink>
      <w:hyperlink r:id="rId1253">
        <w:r w:rsidDel="00000000" w:rsidR="00000000" w:rsidRPr="00000000">
          <w:rPr>
            <w:i w:val="1"/>
            <w:color w:val="000000"/>
            <w:rtl w:val="0"/>
          </w:rPr>
          <w:t xml:space="preserve">et al.</w:t>
        </w:r>
      </w:hyperlink>
      <w:hyperlink r:id="rId1254">
        <w:r w:rsidDel="00000000" w:rsidR="00000000" w:rsidRPr="00000000">
          <w:rPr>
            <w:color w:val="000000"/>
            <w:rtl w:val="0"/>
          </w:rPr>
          <w:t xml:space="preserve"> Nationwide Genomic Study in Denmark Reveals Remarkable Population Homogeneity. </w:t>
        </w:r>
      </w:hyperlink>
      <w:hyperlink r:id="rId1255">
        <w:r w:rsidDel="00000000" w:rsidR="00000000" w:rsidRPr="00000000">
          <w:rPr>
            <w:i w:val="1"/>
            <w:color w:val="000000"/>
            <w:rtl w:val="0"/>
          </w:rPr>
          <w:t xml:space="preserve">Genetics</w:t>
        </w:r>
      </w:hyperlink>
      <w:hyperlink r:id="rId1256">
        <w:r w:rsidDel="00000000" w:rsidR="00000000" w:rsidRPr="00000000">
          <w:rPr>
            <w:color w:val="000000"/>
            <w:rtl w:val="0"/>
          </w:rPr>
          <w:t xml:space="preserve"> </w:t>
        </w:r>
      </w:hyperlink>
      <w:hyperlink r:id="rId1257">
        <w:r w:rsidDel="00000000" w:rsidR="00000000" w:rsidRPr="00000000">
          <w:rPr>
            <w:b w:val="1"/>
            <w:color w:val="000000"/>
            <w:rtl w:val="0"/>
          </w:rPr>
          <w:t xml:space="preserve">204</w:t>
        </w:r>
      </w:hyperlink>
      <w:hyperlink r:id="rId1258">
        <w:r w:rsidDel="00000000" w:rsidR="00000000" w:rsidRPr="00000000">
          <w:rPr>
            <w:color w:val="000000"/>
            <w:rtl w:val="0"/>
          </w:rPr>
          <w:t xml:space="preserve">, 711–722 (2016).</w:t>
        </w:r>
      </w:hyperlink>
      <w:r w:rsidDel="00000000" w:rsidR="00000000" w:rsidRPr="00000000">
        <w:rPr>
          <w:rtl w:val="0"/>
        </w:rPr>
      </w:r>
    </w:p>
    <w:p w:rsidR="00000000" w:rsidDel="00000000" w:rsidP="00000000" w:rsidRDefault="00000000" w:rsidRPr="00000000" w14:paraId="00000987">
      <w:pPr>
        <w:widowControl w:val="0"/>
        <w:pBdr>
          <w:top w:space="0" w:sz="0" w:val="nil"/>
          <w:left w:space="0" w:sz="0" w:val="nil"/>
          <w:bottom w:space="0" w:sz="0" w:val="nil"/>
          <w:right w:space="0" w:sz="0" w:val="nil"/>
          <w:between w:space="0" w:sz="0" w:val="nil"/>
        </w:pBdr>
        <w:spacing w:after="0" w:line="480" w:lineRule="auto"/>
        <w:ind w:left="440" w:hanging="440"/>
        <w:rPr>
          <w:color w:val="000000"/>
        </w:rPr>
      </w:pPr>
      <w:r w:rsidDel="00000000" w:rsidR="00000000" w:rsidRPr="00000000">
        <w:rPr>
          <w:color w:val="000000"/>
          <w:rtl w:val="0"/>
        </w:rPr>
        <w:t xml:space="preserve">178.</w:t>
        <w:tab/>
      </w:r>
      <w:hyperlink r:id="rId1259">
        <w:r w:rsidDel="00000000" w:rsidR="00000000" w:rsidRPr="00000000">
          <w:rPr>
            <w:color w:val="000000"/>
            <w:rtl w:val="0"/>
          </w:rPr>
          <w:t xml:space="preserve">Byrne, R. P. </w:t>
        </w:r>
      </w:hyperlink>
      <w:hyperlink r:id="rId1260">
        <w:r w:rsidDel="00000000" w:rsidR="00000000" w:rsidRPr="00000000">
          <w:rPr>
            <w:i w:val="1"/>
            <w:color w:val="000000"/>
            <w:rtl w:val="0"/>
          </w:rPr>
          <w:t xml:space="preserve">et al.</w:t>
        </w:r>
      </w:hyperlink>
      <w:hyperlink r:id="rId1261">
        <w:r w:rsidDel="00000000" w:rsidR="00000000" w:rsidRPr="00000000">
          <w:rPr>
            <w:color w:val="000000"/>
            <w:rtl w:val="0"/>
          </w:rPr>
          <w:t xml:space="preserve"> Insular Celtic population structure and genomic footprints of migration. </w:t>
        </w:r>
      </w:hyperlink>
      <w:hyperlink r:id="rId1262">
        <w:r w:rsidDel="00000000" w:rsidR="00000000" w:rsidRPr="00000000">
          <w:rPr>
            <w:i w:val="1"/>
            <w:color w:val="000000"/>
            <w:rtl w:val="0"/>
          </w:rPr>
          <w:t xml:space="preserve">PLoS Genet.</w:t>
        </w:r>
      </w:hyperlink>
      <w:hyperlink r:id="rId1263">
        <w:r w:rsidDel="00000000" w:rsidR="00000000" w:rsidRPr="00000000">
          <w:rPr>
            <w:color w:val="000000"/>
            <w:rtl w:val="0"/>
          </w:rPr>
          <w:t xml:space="preserve"> </w:t>
        </w:r>
      </w:hyperlink>
      <w:hyperlink r:id="rId1264">
        <w:r w:rsidDel="00000000" w:rsidR="00000000" w:rsidRPr="00000000">
          <w:rPr>
            <w:b w:val="1"/>
            <w:color w:val="000000"/>
            <w:rtl w:val="0"/>
          </w:rPr>
          <w:t xml:space="preserve">14</w:t>
        </w:r>
      </w:hyperlink>
      <w:hyperlink r:id="rId1265">
        <w:r w:rsidDel="00000000" w:rsidR="00000000" w:rsidRPr="00000000">
          <w:rPr>
            <w:color w:val="000000"/>
            <w:rtl w:val="0"/>
          </w:rPr>
          <w:t xml:space="preserve">, e1007152 (2018).</w:t>
        </w:r>
      </w:hyperlink>
      <w:r w:rsidDel="00000000" w:rsidR="00000000" w:rsidRPr="00000000">
        <w:rPr>
          <w:rtl w:val="0"/>
        </w:rPr>
      </w:r>
    </w:p>
    <w:p w:rsidR="00000000" w:rsidDel="00000000" w:rsidP="00000000" w:rsidRDefault="00000000" w:rsidRPr="00000000" w14:paraId="00000988">
      <w:pPr>
        <w:widowControl w:val="0"/>
        <w:pBdr>
          <w:top w:space="0" w:sz="0" w:val="nil"/>
          <w:left w:space="0" w:sz="0" w:val="nil"/>
          <w:bottom w:space="0" w:sz="0" w:val="nil"/>
          <w:right w:space="0" w:sz="0" w:val="nil"/>
          <w:between w:space="0" w:sz="0" w:val="nil"/>
        </w:pBdr>
        <w:spacing w:after="0" w:line="480" w:lineRule="auto"/>
        <w:ind w:left="440" w:hanging="440"/>
        <w:rPr>
          <w:color w:val="000000"/>
        </w:rPr>
      </w:pPr>
      <w:r w:rsidDel="00000000" w:rsidR="00000000" w:rsidRPr="00000000">
        <w:rPr>
          <w:color w:val="000000"/>
          <w:rtl w:val="0"/>
        </w:rPr>
        <w:t xml:space="preserve">179.</w:t>
        <w:tab/>
      </w:r>
      <w:hyperlink r:id="rId1266">
        <w:r w:rsidDel="00000000" w:rsidR="00000000" w:rsidRPr="00000000">
          <w:rPr>
            <w:color w:val="000000"/>
            <w:rtl w:val="0"/>
          </w:rPr>
          <w:t xml:space="preserve">Gilbert, E. </w:t>
        </w:r>
      </w:hyperlink>
      <w:hyperlink r:id="rId1267">
        <w:r w:rsidDel="00000000" w:rsidR="00000000" w:rsidRPr="00000000">
          <w:rPr>
            <w:i w:val="1"/>
            <w:color w:val="000000"/>
            <w:rtl w:val="0"/>
          </w:rPr>
          <w:t xml:space="preserve">et al.</w:t>
        </w:r>
      </w:hyperlink>
      <w:hyperlink r:id="rId1268">
        <w:r w:rsidDel="00000000" w:rsidR="00000000" w:rsidRPr="00000000">
          <w:rPr>
            <w:color w:val="000000"/>
            <w:rtl w:val="0"/>
          </w:rPr>
          <w:t xml:space="preserve"> The Irish DNA Atlas: Revealing Fine-Scale Population Structure and History within Ireland. </w:t>
        </w:r>
      </w:hyperlink>
      <w:hyperlink r:id="rId1269">
        <w:r w:rsidDel="00000000" w:rsidR="00000000" w:rsidRPr="00000000">
          <w:rPr>
            <w:i w:val="1"/>
            <w:color w:val="000000"/>
            <w:rtl w:val="0"/>
          </w:rPr>
          <w:t xml:space="preserve">Sci. Rep.</w:t>
        </w:r>
      </w:hyperlink>
      <w:hyperlink r:id="rId1270">
        <w:r w:rsidDel="00000000" w:rsidR="00000000" w:rsidRPr="00000000">
          <w:rPr>
            <w:color w:val="000000"/>
            <w:rtl w:val="0"/>
          </w:rPr>
          <w:t xml:space="preserve"> </w:t>
        </w:r>
      </w:hyperlink>
      <w:hyperlink r:id="rId1271">
        <w:r w:rsidDel="00000000" w:rsidR="00000000" w:rsidRPr="00000000">
          <w:rPr>
            <w:b w:val="1"/>
            <w:color w:val="000000"/>
            <w:rtl w:val="0"/>
          </w:rPr>
          <w:t xml:space="preserve">7</w:t>
        </w:r>
      </w:hyperlink>
      <w:hyperlink r:id="rId1272">
        <w:r w:rsidDel="00000000" w:rsidR="00000000" w:rsidRPr="00000000">
          <w:rPr>
            <w:color w:val="000000"/>
            <w:rtl w:val="0"/>
          </w:rPr>
          <w:t xml:space="preserve">, 17199 (2017).</w:t>
        </w:r>
      </w:hyperlink>
      <w:r w:rsidDel="00000000" w:rsidR="00000000" w:rsidRPr="00000000">
        <w:rPr>
          <w:rtl w:val="0"/>
        </w:rPr>
      </w:r>
    </w:p>
    <w:p w:rsidR="00000000" w:rsidDel="00000000" w:rsidP="00000000" w:rsidRDefault="00000000" w:rsidRPr="00000000" w14:paraId="00000989">
      <w:pPr>
        <w:widowControl w:val="0"/>
        <w:pBdr>
          <w:top w:space="0" w:sz="0" w:val="nil"/>
          <w:left w:space="0" w:sz="0" w:val="nil"/>
          <w:bottom w:space="0" w:sz="0" w:val="nil"/>
          <w:right w:space="0" w:sz="0" w:val="nil"/>
          <w:between w:space="0" w:sz="0" w:val="nil"/>
        </w:pBdr>
        <w:spacing w:after="0" w:line="480" w:lineRule="auto"/>
        <w:ind w:left="440" w:hanging="440"/>
        <w:rPr>
          <w:color w:val="000000"/>
        </w:rPr>
      </w:pPr>
      <w:r w:rsidDel="00000000" w:rsidR="00000000" w:rsidRPr="00000000">
        <w:rPr>
          <w:color w:val="000000"/>
          <w:rtl w:val="0"/>
        </w:rPr>
        <w:t xml:space="preserve">180.</w:t>
        <w:tab/>
      </w:r>
      <w:hyperlink r:id="rId1273">
        <w:r w:rsidDel="00000000" w:rsidR="00000000" w:rsidRPr="00000000">
          <w:rPr>
            <w:color w:val="000000"/>
            <w:rtl w:val="0"/>
          </w:rPr>
          <w:t xml:space="preserve">Gilbert, E. </w:t>
        </w:r>
      </w:hyperlink>
      <w:hyperlink r:id="rId1274">
        <w:r w:rsidDel="00000000" w:rsidR="00000000" w:rsidRPr="00000000">
          <w:rPr>
            <w:i w:val="1"/>
            <w:color w:val="000000"/>
            <w:rtl w:val="0"/>
          </w:rPr>
          <w:t xml:space="preserve">et al.</w:t>
        </w:r>
      </w:hyperlink>
      <w:hyperlink r:id="rId1275">
        <w:r w:rsidDel="00000000" w:rsidR="00000000" w:rsidRPr="00000000">
          <w:rPr>
            <w:color w:val="000000"/>
            <w:rtl w:val="0"/>
          </w:rPr>
          <w:t xml:space="preserve"> The genetic landscape of Scotland and the Isles. </w:t>
        </w:r>
      </w:hyperlink>
      <w:hyperlink r:id="rId1276">
        <w:r w:rsidDel="00000000" w:rsidR="00000000" w:rsidRPr="00000000">
          <w:rPr>
            <w:i w:val="1"/>
            <w:color w:val="000000"/>
            <w:rtl w:val="0"/>
          </w:rPr>
          <w:t xml:space="preserve">Proc. Natl. Acad. Sci. U. S. A.</w:t>
        </w:r>
      </w:hyperlink>
      <w:hyperlink r:id="rId1277">
        <w:r w:rsidDel="00000000" w:rsidR="00000000" w:rsidRPr="00000000">
          <w:rPr>
            <w:color w:val="000000"/>
            <w:rtl w:val="0"/>
          </w:rPr>
          <w:t xml:space="preserve"> </w:t>
        </w:r>
      </w:hyperlink>
      <w:hyperlink r:id="rId1278">
        <w:r w:rsidDel="00000000" w:rsidR="00000000" w:rsidRPr="00000000">
          <w:rPr>
            <w:b w:val="1"/>
            <w:color w:val="000000"/>
            <w:rtl w:val="0"/>
          </w:rPr>
          <w:t xml:space="preserve">116</w:t>
        </w:r>
      </w:hyperlink>
      <w:hyperlink r:id="rId1279">
        <w:r w:rsidDel="00000000" w:rsidR="00000000" w:rsidRPr="00000000">
          <w:rPr>
            <w:color w:val="000000"/>
            <w:rtl w:val="0"/>
          </w:rPr>
          <w:t xml:space="preserve">, 19064–19070 (2019).</w:t>
        </w:r>
      </w:hyperlink>
      <w:r w:rsidDel="00000000" w:rsidR="00000000" w:rsidRPr="00000000">
        <w:rPr>
          <w:rtl w:val="0"/>
        </w:rPr>
      </w:r>
    </w:p>
    <w:p w:rsidR="00000000" w:rsidDel="00000000" w:rsidP="00000000" w:rsidRDefault="00000000" w:rsidRPr="00000000" w14:paraId="0000098A">
      <w:pPr>
        <w:widowControl w:val="0"/>
        <w:pBdr>
          <w:top w:space="0" w:sz="0" w:val="nil"/>
          <w:left w:space="0" w:sz="0" w:val="nil"/>
          <w:bottom w:space="0" w:sz="0" w:val="nil"/>
          <w:right w:space="0" w:sz="0" w:val="nil"/>
          <w:between w:space="0" w:sz="0" w:val="nil"/>
        </w:pBdr>
        <w:spacing w:after="0" w:line="480" w:lineRule="auto"/>
        <w:ind w:left="440" w:hanging="440"/>
        <w:rPr>
          <w:color w:val="000000"/>
        </w:rPr>
      </w:pPr>
      <w:r w:rsidDel="00000000" w:rsidR="00000000" w:rsidRPr="00000000">
        <w:rPr>
          <w:color w:val="000000"/>
          <w:rtl w:val="0"/>
        </w:rPr>
        <w:t xml:space="preserve">181.</w:t>
        <w:tab/>
      </w:r>
      <w:hyperlink r:id="rId1280">
        <w:r w:rsidDel="00000000" w:rsidR="00000000" w:rsidRPr="00000000">
          <w:rPr>
            <w:color w:val="000000"/>
            <w:rtl w:val="0"/>
          </w:rPr>
          <w:t xml:space="preserve">Töpf, A. L., Gilbert, M. T. P., Dumbacher, J. P. &amp; Hoelzel, A. R. Tracing the phylogeography of human populations in Britain based on 4th-11th century mtDNA genotypes. </w:t>
        </w:r>
      </w:hyperlink>
      <w:hyperlink r:id="rId1281">
        <w:r w:rsidDel="00000000" w:rsidR="00000000" w:rsidRPr="00000000">
          <w:rPr>
            <w:i w:val="1"/>
            <w:color w:val="000000"/>
            <w:rtl w:val="0"/>
          </w:rPr>
          <w:t xml:space="preserve">Mol. Biol. Evol.</w:t>
        </w:r>
      </w:hyperlink>
      <w:hyperlink r:id="rId1282">
        <w:r w:rsidDel="00000000" w:rsidR="00000000" w:rsidRPr="00000000">
          <w:rPr>
            <w:color w:val="000000"/>
            <w:rtl w:val="0"/>
          </w:rPr>
          <w:t xml:space="preserve"> </w:t>
        </w:r>
      </w:hyperlink>
      <w:hyperlink r:id="rId1283">
        <w:r w:rsidDel="00000000" w:rsidR="00000000" w:rsidRPr="00000000">
          <w:rPr>
            <w:b w:val="1"/>
            <w:color w:val="000000"/>
            <w:rtl w:val="0"/>
          </w:rPr>
          <w:t xml:space="preserve">23</w:t>
        </w:r>
      </w:hyperlink>
      <w:hyperlink r:id="rId1284">
        <w:r w:rsidDel="00000000" w:rsidR="00000000" w:rsidRPr="00000000">
          <w:rPr>
            <w:color w:val="000000"/>
            <w:rtl w:val="0"/>
          </w:rPr>
          <w:t xml:space="preserve">, 152–161 (2006).</w:t>
        </w:r>
      </w:hyperlink>
      <w:r w:rsidDel="00000000" w:rsidR="00000000" w:rsidRPr="00000000">
        <w:rPr>
          <w:rtl w:val="0"/>
        </w:rPr>
      </w:r>
    </w:p>
    <w:p w:rsidR="00000000" w:rsidDel="00000000" w:rsidP="00000000" w:rsidRDefault="00000000" w:rsidRPr="00000000" w14:paraId="0000098B">
      <w:pPr>
        <w:widowControl w:val="0"/>
        <w:pBdr>
          <w:top w:space="0" w:sz="0" w:val="nil"/>
          <w:left w:space="0" w:sz="0" w:val="nil"/>
          <w:bottom w:space="0" w:sz="0" w:val="nil"/>
          <w:right w:space="0" w:sz="0" w:val="nil"/>
          <w:between w:space="0" w:sz="0" w:val="nil"/>
        </w:pBdr>
        <w:spacing w:after="220" w:line="480" w:lineRule="auto"/>
        <w:ind w:left="440" w:hanging="440"/>
        <w:rPr>
          <w:color w:val="000000"/>
        </w:rPr>
      </w:pPr>
      <w:r w:rsidDel="00000000" w:rsidR="00000000" w:rsidRPr="00000000">
        <w:rPr>
          <w:color w:val="000000"/>
          <w:rtl w:val="0"/>
        </w:rPr>
        <w:t xml:space="preserve">182.</w:t>
        <w:tab/>
      </w:r>
      <w:hyperlink r:id="rId1285">
        <w:r w:rsidDel="00000000" w:rsidR="00000000" w:rsidRPr="00000000">
          <w:rPr>
            <w:color w:val="000000"/>
            <w:rtl w:val="0"/>
          </w:rPr>
          <w:t xml:space="preserve">Härke, H. Anglo-Saxon Immigration and Ethnogenesis. </w:t>
        </w:r>
      </w:hyperlink>
      <w:hyperlink r:id="rId1286">
        <w:r w:rsidDel="00000000" w:rsidR="00000000" w:rsidRPr="00000000">
          <w:rPr>
            <w:i w:val="1"/>
            <w:color w:val="000000"/>
            <w:rtl w:val="0"/>
          </w:rPr>
          <w:t xml:space="preserve">Mediev. Archaeol.</w:t>
        </w:r>
      </w:hyperlink>
      <w:hyperlink r:id="rId1287">
        <w:r w:rsidDel="00000000" w:rsidR="00000000" w:rsidRPr="00000000">
          <w:rPr>
            <w:color w:val="000000"/>
            <w:rtl w:val="0"/>
          </w:rPr>
          <w:t xml:space="preserve"> </w:t>
        </w:r>
      </w:hyperlink>
      <w:hyperlink r:id="rId1288">
        <w:r w:rsidDel="00000000" w:rsidR="00000000" w:rsidRPr="00000000">
          <w:rPr>
            <w:b w:val="1"/>
            <w:color w:val="000000"/>
            <w:rtl w:val="0"/>
          </w:rPr>
          <w:t xml:space="preserve">55</w:t>
        </w:r>
      </w:hyperlink>
      <w:hyperlink r:id="rId1289">
        <w:r w:rsidDel="00000000" w:rsidR="00000000" w:rsidRPr="00000000">
          <w:rPr>
            <w:color w:val="000000"/>
            <w:rtl w:val="0"/>
          </w:rPr>
          <w:t xml:space="preserve">, 1–28 (2011).</w:t>
        </w:r>
      </w:hyperlink>
      <w:r w:rsidDel="00000000" w:rsidR="00000000" w:rsidRPr="00000000">
        <w:rPr>
          <w:rtl w:val="0"/>
        </w:rPr>
      </w:r>
    </w:p>
    <w:p w:rsidR="00000000" w:rsidDel="00000000" w:rsidP="00000000" w:rsidRDefault="00000000" w:rsidRPr="00000000" w14:paraId="0000098C">
      <w:pPr>
        <w:widowControl w:val="0"/>
        <w:pBdr>
          <w:top w:space="0" w:sz="0" w:val="nil"/>
          <w:left w:space="0" w:sz="0" w:val="nil"/>
          <w:bottom w:space="0" w:sz="0" w:val="nil"/>
          <w:right w:space="0" w:sz="0" w:val="nil"/>
          <w:between w:space="0" w:sz="0" w:val="nil"/>
        </w:pBdr>
        <w:spacing w:after="0" w:line="276" w:lineRule="auto"/>
        <w:rPr/>
      </w:pPr>
      <w:r w:rsidDel="00000000" w:rsidR="00000000" w:rsidRPr="00000000">
        <w:rPr>
          <w:rtl w:val="0"/>
        </w:rPr>
      </w:r>
    </w:p>
    <w:sectPr>
      <w:footerReference r:id="rId1290" w:type="default"/>
      <w:pgSz w:h="16838" w:w="11906" w:orient="portrait"/>
      <w:pgMar w:bottom="1134"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Cambria"/>
  <w:font w:name="Arial"/>
  <w:font w:name="Times New Roman"/>
  <w:font w:name="Consolas"/>
  <w:font w:name="Courier New"/>
  <w:font w:name="Noto Sans Symbols"/>
  <w:font w:name="Cambria Math">
    <w:embedRegular w:fontKey="{00000000-0000-0000-0000-000000000000}" r:id="rId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98D">
    <w:pPr>
      <w:pBdr>
        <w:top w:space="0" w:sz="0" w:val="nil"/>
        <w:left w:space="0" w:sz="0" w:val="nil"/>
        <w:bottom w:space="0" w:sz="0" w:val="nil"/>
        <w:right w:space="0" w:sz="0" w:val="nil"/>
        <w:between w:space="0" w:sz="0" w:val="nil"/>
      </w:pBdr>
      <w:tabs>
        <w:tab w:val="center" w:pos="4536"/>
        <w:tab w:val="right" w:pos="9072"/>
      </w:tabs>
      <w:spacing w:after="0" w:line="240" w:lineRule="auto"/>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98E">
    <w:pPr>
      <w:pBdr>
        <w:top w:space="0" w:sz="0" w:val="nil"/>
        <w:left w:space="0" w:sz="0" w:val="nil"/>
        <w:bottom w:space="0" w:sz="0" w:val="nil"/>
        <w:right w:space="0" w:sz="0" w:val="nil"/>
        <w:between w:space="0" w:sz="0" w:val="nil"/>
      </w:pBdr>
      <w:tabs>
        <w:tab w:val="center" w:pos="4536"/>
        <w:tab w:val="right" w:pos="9072"/>
      </w:tabs>
      <w:spacing w:after="0" w:line="240" w:lineRule="auto"/>
      <w:rPr>
        <w:color w:val="000000"/>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lowerRoman"/>
      <w:lvlText w:val="%1)"/>
      <w:lvlJc w:val="left"/>
      <w:pPr>
        <w:ind w:left="1080" w:hanging="72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1079" w:hanging="360"/>
      </w:pPr>
      <w:rPr>
        <w:rFonts w:ascii="Noto Sans Symbols" w:cs="Noto Sans Symbols" w:eastAsia="Noto Sans Symbols" w:hAnsi="Noto Sans Symbols"/>
      </w:rPr>
    </w:lvl>
    <w:lvl w:ilvl="1">
      <w:start w:val="1"/>
      <w:numFmt w:val="bullet"/>
      <w:lvlText w:val="o"/>
      <w:lvlJc w:val="left"/>
      <w:pPr>
        <w:ind w:left="1799" w:hanging="360"/>
      </w:pPr>
      <w:rPr>
        <w:rFonts w:ascii="Courier New" w:cs="Courier New" w:eastAsia="Courier New" w:hAnsi="Courier New"/>
      </w:rPr>
    </w:lvl>
    <w:lvl w:ilvl="2">
      <w:start w:val="1"/>
      <w:numFmt w:val="bullet"/>
      <w:lvlText w:val="▪"/>
      <w:lvlJc w:val="left"/>
      <w:pPr>
        <w:ind w:left="2519" w:hanging="360"/>
      </w:pPr>
      <w:rPr>
        <w:rFonts w:ascii="Noto Sans Symbols" w:cs="Noto Sans Symbols" w:eastAsia="Noto Sans Symbols" w:hAnsi="Noto Sans Symbols"/>
      </w:rPr>
    </w:lvl>
    <w:lvl w:ilvl="3">
      <w:start w:val="1"/>
      <w:numFmt w:val="bullet"/>
      <w:lvlText w:val="●"/>
      <w:lvlJc w:val="left"/>
      <w:pPr>
        <w:ind w:left="3239" w:hanging="360"/>
      </w:pPr>
      <w:rPr>
        <w:rFonts w:ascii="Noto Sans Symbols" w:cs="Noto Sans Symbols" w:eastAsia="Noto Sans Symbols" w:hAnsi="Noto Sans Symbols"/>
      </w:rPr>
    </w:lvl>
    <w:lvl w:ilvl="4">
      <w:start w:val="1"/>
      <w:numFmt w:val="bullet"/>
      <w:lvlText w:val="o"/>
      <w:lvlJc w:val="left"/>
      <w:pPr>
        <w:ind w:left="3959" w:hanging="360"/>
      </w:pPr>
      <w:rPr>
        <w:rFonts w:ascii="Courier New" w:cs="Courier New" w:eastAsia="Courier New" w:hAnsi="Courier New"/>
      </w:rPr>
    </w:lvl>
    <w:lvl w:ilvl="5">
      <w:start w:val="1"/>
      <w:numFmt w:val="bullet"/>
      <w:lvlText w:val="▪"/>
      <w:lvlJc w:val="left"/>
      <w:pPr>
        <w:ind w:left="4679" w:hanging="360"/>
      </w:pPr>
      <w:rPr>
        <w:rFonts w:ascii="Noto Sans Symbols" w:cs="Noto Sans Symbols" w:eastAsia="Noto Sans Symbols" w:hAnsi="Noto Sans Symbols"/>
      </w:rPr>
    </w:lvl>
    <w:lvl w:ilvl="6">
      <w:start w:val="1"/>
      <w:numFmt w:val="bullet"/>
      <w:lvlText w:val="●"/>
      <w:lvlJc w:val="left"/>
      <w:pPr>
        <w:ind w:left="5399" w:hanging="360"/>
      </w:pPr>
      <w:rPr>
        <w:rFonts w:ascii="Noto Sans Symbols" w:cs="Noto Sans Symbols" w:eastAsia="Noto Sans Symbols" w:hAnsi="Noto Sans Symbols"/>
      </w:rPr>
    </w:lvl>
    <w:lvl w:ilvl="7">
      <w:start w:val="1"/>
      <w:numFmt w:val="bullet"/>
      <w:lvlText w:val="o"/>
      <w:lvlJc w:val="left"/>
      <w:pPr>
        <w:ind w:left="6119" w:hanging="360"/>
      </w:pPr>
      <w:rPr>
        <w:rFonts w:ascii="Courier New" w:cs="Courier New" w:eastAsia="Courier New" w:hAnsi="Courier New"/>
      </w:rPr>
    </w:lvl>
    <w:lvl w:ilvl="8">
      <w:start w:val="1"/>
      <w:numFmt w:val="bullet"/>
      <w:lvlText w:val="▪"/>
      <w:lvlJc w:val="left"/>
      <w:pPr>
        <w:ind w:left="6839" w:hanging="360"/>
      </w:pPr>
      <w:rPr>
        <w:rFonts w:ascii="Noto Sans Symbols" w:cs="Noto Sans Symbols" w:eastAsia="Noto Sans Symbols" w:hAnsi="Noto Sans Symbols"/>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GB"/>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color w:val="2f5496"/>
      <w:sz w:val="32"/>
      <w:szCs w:val="32"/>
    </w:rPr>
  </w:style>
  <w:style w:type="paragraph" w:styleId="Heading2">
    <w:name w:val="heading 2"/>
    <w:basedOn w:val="Normal"/>
    <w:next w:val="Normal"/>
    <w:pPr>
      <w:keepNext w:val="1"/>
      <w:keepLines w:val="1"/>
      <w:spacing w:after="0" w:before="40" w:lineRule="auto"/>
    </w:pPr>
    <w:rPr>
      <w:color w:val="2f5496"/>
      <w:sz w:val="26"/>
      <w:szCs w:val="26"/>
    </w:rPr>
  </w:style>
  <w:style w:type="paragraph" w:styleId="Heading3">
    <w:name w:val="heading 3"/>
    <w:basedOn w:val="Normal"/>
    <w:next w:val="Normal"/>
    <w:pPr>
      <w:keepNext w:val="1"/>
      <w:keepLines w:val="1"/>
      <w:spacing w:after="0" w:before="40" w:lineRule="auto"/>
    </w:pPr>
    <w:rPr>
      <w:color w:val="1f3863"/>
      <w:sz w:val="24"/>
      <w:szCs w:val="24"/>
    </w:rPr>
  </w:style>
  <w:style w:type="paragraph" w:styleId="Heading4">
    <w:name w:val="heading 4"/>
    <w:basedOn w:val="Normal"/>
    <w:next w:val="Normal"/>
    <w:pPr>
      <w:keepNext w:val="1"/>
      <w:keepLines w:val="1"/>
      <w:spacing w:after="0" w:before="40" w:lineRule="auto"/>
    </w:pPr>
    <w:rPr>
      <w:i w:val="1"/>
      <w:color w:val="2f5496"/>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spacing w:after="0" w:line="240" w:lineRule="auto"/>
    </w:pPr>
    <w:rPr>
      <w:sz w:val="56"/>
      <w:szCs w:val="56"/>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0" w:before="240"/>
      <w:outlineLvl w:val="0"/>
    </w:pPr>
    <w:rPr>
      <w:color w:val="2f5496"/>
      <w:sz w:val="32"/>
      <w:szCs w:val="32"/>
    </w:rPr>
  </w:style>
  <w:style w:type="paragraph" w:styleId="Heading2">
    <w:name w:val="heading 2"/>
    <w:basedOn w:val="Normal"/>
    <w:next w:val="Normal"/>
    <w:uiPriority w:val="9"/>
    <w:unhideWhenUsed w:val="1"/>
    <w:qFormat w:val="1"/>
    <w:pPr>
      <w:keepNext w:val="1"/>
      <w:keepLines w:val="1"/>
      <w:spacing w:after="0" w:before="40"/>
      <w:outlineLvl w:val="1"/>
    </w:pPr>
    <w:rPr>
      <w:color w:val="2f5496"/>
      <w:sz w:val="26"/>
      <w:szCs w:val="26"/>
    </w:rPr>
  </w:style>
  <w:style w:type="paragraph" w:styleId="Heading3">
    <w:name w:val="heading 3"/>
    <w:basedOn w:val="Normal"/>
    <w:next w:val="Normal"/>
    <w:uiPriority w:val="9"/>
    <w:unhideWhenUsed w:val="1"/>
    <w:qFormat w:val="1"/>
    <w:pPr>
      <w:keepNext w:val="1"/>
      <w:keepLines w:val="1"/>
      <w:spacing w:after="0" w:before="40"/>
      <w:outlineLvl w:val="2"/>
    </w:pPr>
    <w:rPr>
      <w:color w:val="1f3863"/>
      <w:sz w:val="24"/>
      <w:szCs w:val="24"/>
    </w:rPr>
  </w:style>
  <w:style w:type="paragraph" w:styleId="Heading4">
    <w:name w:val="heading 4"/>
    <w:basedOn w:val="Normal"/>
    <w:next w:val="Normal"/>
    <w:uiPriority w:val="9"/>
    <w:unhideWhenUsed w:val="1"/>
    <w:qFormat w:val="1"/>
    <w:pPr>
      <w:keepNext w:val="1"/>
      <w:keepLines w:val="1"/>
      <w:spacing w:after="0" w:before="40"/>
      <w:outlineLvl w:val="3"/>
    </w:pPr>
    <w:rPr>
      <w:i w:val="1"/>
      <w:color w:val="2f5496"/>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spacing w:after="0" w:line="240" w:lineRule="auto"/>
    </w:pPr>
    <w:rPr>
      <w:sz w:val="56"/>
      <w:szCs w:val="56"/>
    </w:r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leNormal"/>
    <w:tblPr>
      <w:tblStyleRowBandSize w:val="1"/>
      <w:tblStyleColBandSize w:val="1"/>
      <w:tblCellMar>
        <w:left w:w="115.0" w:type="dxa"/>
        <w:right w:w="115.0" w:type="dxa"/>
      </w:tblCellMar>
    </w:tblPr>
  </w:style>
  <w:style w:type="table" w:styleId="a0" w:customStyle="1">
    <w:basedOn w:val="TableNormal"/>
    <w:tblPr>
      <w:tblStyleRowBandSize w:val="1"/>
      <w:tblStyleColBandSize w:val="1"/>
      <w:tblCellMar>
        <w:left w:w="115.0" w:type="dxa"/>
        <w:right w:w="115.0" w:type="dxa"/>
      </w:tblCellMar>
    </w:tblPr>
  </w:style>
  <w:style w:type="table" w:styleId="a1" w:customStyle="1">
    <w:basedOn w:val="TableNormal"/>
    <w:tblPr>
      <w:tblStyleRowBandSize w:val="1"/>
      <w:tblStyleColBandSize w:val="1"/>
      <w:tblCellMar>
        <w:left w:w="115.0" w:type="dxa"/>
        <w:right w:w="115.0" w:type="dxa"/>
      </w:tblCellMar>
    </w:tblPr>
  </w:style>
  <w:style w:type="table" w:styleId="a2" w:customStyle="1">
    <w:basedOn w:val="TableNormal"/>
    <w:tblPr>
      <w:tblStyleRowBandSize w:val="1"/>
      <w:tblStyleColBandSize w:val="1"/>
      <w:tblCellMar>
        <w:left w:w="115.0" w:type="dxa"/>
        <w:right w:w="115.0" w:type="dxa"/>
      </w:tblCellMar>
    </w:tblPr>
  </w:style>
  <w:style w:type="table" w:styleId="a3" w:customStyle="1">
    <w:basedOn w:val="TableNormal"/>
    <w:tblPr>
      <w:tblStyleRowBandSize w:val="1"/>
      <w:tblStyleColBandSize w:val="1"/>
      <w:tblCellMar>
        <w:left w:w="115.0" w:type="dxa"/>
        <w:right w:w="115.0" w:type="dxa"/>
      </w:tblCellMar>
    </w:tblPr>
  </w:style>
  <w:style w:type="table" w:styleId="a4" w:customStyle="1">
    <w:basedOn w:val="TableNormal"/>
    <w:tblPr>
      <w:tblStyleRowBandSize w:val="1"/>
      <w:tblStyleColBandSize w:val="1"/>
      <w:tblCellMar>
        <w:left w:w="115.0" w:type="dxa"/>
        <w:right w:w="115.0" w:type="dxa"/>
      </w:tblCellMar>
    </w:tblPr>
  </w:style>
  <w:style w:type="paragraph" w:styleId="TOC1">
    <w:name w:val="toc 1"/>
    <w:basedOn w:val="Normal"/>
    <w:next w:val="Normal"/>
    <w:autoRedefine w:val="1"/>
    <w:uiPriority w:val="39"/>
    <w:unhideWhenUsed w:val="1"/>
    <w:rsid w:val="00F846B1"/>
    <w:pPr>
      <w:spacing w:after="100"/>
    </w:pPr>
  </w:style>
  <w:style w:type="paragraph" w:styleId="TOC2">
    <w:name w:val="toc 2"/>
    <w:basedOn w:val="Normal"/>
    <w:next w:val="Normal"/>
    <w:autoRedefine w:val="1"/>
    <w:uiPriority w:val="39"/>
    <w:unhideWhenUsed w:val="1"/>
    <w:rsid w:val="00F846B1"/>
    <w:pPr>
      <w:spacing w:after="100"/>
      <w:ind w:left="220"/>
    </w:pPr>
  </w:style>
  <w:style w:type="paragraph" w:styleId="TOC4">
    <w:name w:val="toc 4"/>
    <w:basedOn w:val="Normal"/>
    <w:next w:val="Normal"/>
    <w:autoRedefine w:val="1"/>
    <w:uiPriority w:val="39"/>
    <w:unhideWhenUsed w:val="1"/>
    <w:rsid w:val="00F846B1"/>
    <w:pPr>
      <w:spacing w:after="100"/>
      <w:ind w:left="660"/>
    </w:pPr>
  </w:style>
  <w:style w:type="paragraph" w:styleId="TOC3">
    <w:name w:val="toc 3"/>
    <w:basedOn w:val="Normal"/>
    <w:next w:val="Normal"/>
    <w:autoRedefine w:val="1"/>
    <w:uiPriority w:val="39"/>
    <w:unhideWhenUsed w:val="1"/>
    <w:rsid w:val="00F846B1"/>
    <w:pPr>
      <w:spacing w:after="100"/>
      <w:ind w:left="440"/>
    </w:pPr>
  </w:style>
  <w:style w:type="character" w:styleId="Hyperlink">
    <w:name w:val="Hyperlink"/>
    <w:basedOn w:val="DefaultParagraphFont"/>
    <w:uiPriority w:val="99"/>
    <w:unhideWhenUsed w:val="1"/>
    <w:rsid w:val="00F846B1"/>
    <w:rPr>
      <w:color w:val="0000ff" w:themeColor="hyperlink"/>
      <w:u w:val="single"/>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90" Type="http://schemas.openxmlformats.org/officeDocument/2006/relationships/hyperlink" Target="https://paperpile.com/c/hqnLqQ/vtUXz" TargetMode="External"/><Relationship Id="rId194" Type="http://schemas.openxmlformats.org/officeDocument/2006/relationships/image" Target="media/image49.png"/><Relationship Id="rId193" Type="http://schemas.openxmlformats.org/officeDocument/2006/relationships/image" Target="media/image39.png"/><Relationship Id="rId192" Type="http://schemas.openxmlformats.org/officeDocument/2006/relationships/image" Target="media/image11.png"/><Relationship Id="rId191" Type="http://schemas.openxmlformats.org/officeDocument/2006/relationships/image" Target="media/image16.png"/><Relationship Id="rId187" Type="http://schemas.openxmlformats.org/officeDocument/2006/relationships/hyperlink" Target="https://paperpile.com/c/hqnLqQ/eLLr1+spmY" TargetMode="External"/><Relationship Id="rId186" Type="http://schemas.openxmlformats.org/officeDocument/2006/relationships/hyperlink" Target="https://paperpile.com/c/hqnLqQ/eLLr1+jnKBm" TargetMode="External"/><Relationship Id="rId185" Type="http://schemas.openxmlformats.org/officeDocument/2006/relationships/hyperlink" Target="https://paperpile.com/c/hqnLqQ/eLLr1+qyDmA" TargetMode="External"/><Relationship Id="rId184" Type="http://schemas.openxmlformats.org/officeDocument/2006/relationships/hyperlink" Target="https://paperpile.com/c/hqnLqQ/eLLr1+2b2nD+0Jl9L+qyDmA" TargetMode="External"/><Relationship Id="rId189" Type="http://schemas.openxmlformats.org/officeDocument/2006/relationships/hyperlink" Target="https://paperpile.com/c/hqnLqQ/I6Awn+jnKBm" TargetMode="External"/><Relationship Id="rId188" Type="http://schemas.openxmlformats.org/officeDocument/2006/relationships/image" Target="media/image6.png"/><Relationship Id="rId183" Type="http://schemas.openxmlformats.org/officeDocument/2006/relationships/image" Target="media/image17.png"/><Relationship Id="rId182" Type="http://schemas.openxmlformats.org/officeDocument/2006/relationships/image" Target="media/image14.png"/><Relationship Id="rId181" Type="http://schemas.openxmlformats.org/officeDocument/2006/relationships/image" Target="media/image3.png"/><Relationship Id="rId180" Type="http://schemas.openxmlformats.org/officeDocument/2006/relationships/image" Target="media/image10.png"/><Relationship Id="rId176" Type="http://schemas.openxmlformats.org/officeDocument/2006/relationships/image" Target="media/image12.png"/><Relationship Id="rId175" Type="http://schemas.openxmlformats.org/officeDocument/2006/relationships/image" Target="media/image20.png"/><Relationship Id="rId174" Type="http://schemas.openxmlformats.org/officeDocument/2006/relationships/hyperlink" Target="https://paperpile.com/c/hqnLqQ/DEho3" TargetMode="External"/><Relationship Id="rId173" Type="http://schemas.openxmlformats.org/officeDocument/2006/relationships/hyperlink" Target="https://paperpile.com/c/hqnLqQ/spmY+4dRfU" TargetMode="External"/><Relationship Id="rId179" Type="http://schemas.openxmlformats.org/officeDocument/2006/relationships/hyperlink" Target="https://paperpile.com/c/hqnLqQ/5aYUV" TargetMode="External"/><Relationship Id="rId178" Type="http://schemas.openxmlformats.org/officeDocument/2006/relationships/hyperlink" Target="https://paperpile.com/c/hqnLqQ/eK1xv" TargetMode="External"/><Relationship Id="rId177" Type="http://schemas.openxmlformats.org/officeDocument/2006/relationships/image" Target="media/image7.png"/><Relationship Id="rId198" Type="http://schemas.openxmlformats.org/officeDocument/2006/relationships/hyperlink" Target="https://paperpile.com/c/hqnLqQ/spmY" TargetMode="External"/><Relationship Id="rId197" Type="http://schemas.openxmlformats.org/officeDocument/2006/relationships/image" Target="media/image46.png"/><Relationship Id="rId196" Type="http://schemas.openxmlformats.org/officeDocument/2006/relationships/image" Target="media/image48.png"/><Relationship Id="rId195" Type="http://schemas.openxmlformats.org/officeDocument/2006/relationships/hyperlink" Target="https://paperpile.com/c/hqnLqQ/3Th9" TargetMode="External"/><Relationship Id="rId199" Type="http://schemas.openxmlformats.org/officeDocument/2006/relationships/hyperlink" Target="https://paperpile.com/c/hqnLqQ/vtUXz+eLLr1+spmY" TargetMode="External"/><Relationship Id="rId150" Type="http://schemas.openxmlformats.org/officeDocument/2006/relationships/image" Target="media/image38.png"/><Relationship Id="rId392" Type="http://schemas.openxmlformats.org/officeDocument/2006/relationships/hyperlink" Target="http://paperpile.com/b/hqnLqQ/8BEum" TargetMode="External"/><Relationship Id="rId391" Type="http://schemas.openxmlformats.org/officeDocument/2006/relationships/hyperlink" Target="http://paperpile.com/b/hqnLqQ/8BEum" TargetMode="External"/><Relationship Id="rId390" Type="http://schemas.openxmlformats.org/officeDocument/2006/relationships/hyperlink" Target="http://paperpile.com/b/hqnLqQ/8BEum"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149" Type="http://schemas.openxmlformats.org/officeDocument/2006/relationships/hyperlink" Target="https://paperpile.com/c/hqnLqQ/5aYUV" TargetMode="External"/><Relationship Id="rId4" Type="http://schemas.openxmlformats.org/officeDocument/2006/relationships/numbering" Target="numbering.xml"/><Relationship Id="rId148" Type="http://schemas.openxmlformats.org/officeDocument/2006/relationships/image" Target="media/image31.png"/><Relationship Id="rId1090" Type="http://schemas.openxmlformats.org/officeDocument/2006/relationships/hyperlink" Target="http://paperpile.com/b/hqnLqQ/gzbxt" TargetMode="External"/><Relationship Id="rId1091" Type="http://schemas.openxmlformats.org/officeDocument/2006/relationships/hyperlink" Target="http://paperpile.com/b/hqnLqQ/gzbxt" TargetMode="External"/><Relationship Id="rId1092" Type="http://schemas.openxmlformats.org/officeDocument/2006/relationships/hyperlink" Target="http://paperpile.com/b/hqnLqQ/ewRM1" TargetMode="External"/><Relationship Id="rId1093" Type="http://schemas.openxmlformats.org/officeDocument/2006/relationships/hyperlink" Target="http://paperpile.com/b/hqnLqQ/ewRM1" TargetMode="External"/><Relationship Id="rId1094" Type="http://schemas.openxmlformats.org/officeDocument/2006/relationships/hyperlink" Target="http://paperpile.com/b/hqnLqQ/ewRM1" TargetMode="External"/><Relationship Id="rId9" Type="http://schemas.openxmlformats.org/officeDocument/2006/relationships/image" Target="media/image35.png"/><Relationship Id="rId143" Type="http://schemas.openxmlformats.org/officeDocument/2006/relationships/image" Target="media/image28.png"/><Relationship Id="rId385" Type="http://schemas.openxmlformats.org/officeDocument/2006/relationships/hyperlink" Target="http://paperpile.com/b/hqnLqQ/PMaX0" TargetMode="External"/><Relationship Id="rId1095" Type="http://schemas.openxmlformats.org/officeDocument/2006/relationships/hyperlink" Target="http://paperpile.com/b/hqnLqQ/ewRM1" TargetMode="External"/><Relationship Id="rId142" Type="http://schemas.openxmlformats.org/officeDocument/2006/relationships/image" Target="media/image30.png"/><Relationship Id="rId384" Type="http://schemas.openxmlformats.org/officeDocument/2006/relationships/hyperlink" Target="http://paperpile.com/b/hqnLqQ/1hpVp" TargetMode="External"/><Relationship Id="rId1096" Type="http://schemas.openxmlformats.org/officeDocument/2006/relationships/hyperlink" Target="http://paperpile.com/b/hqnLqQ/ewRM1" TargetMode="External"/><Relationship Id="rId141" Type="http://schemas.openxmlformats.org/officeDocument/2006/relationships/image" Target="media/image18.png"/><Relationship Id="rId383" Type="http://schemas.openxmlformats.org/officeDocument/2006/relationships/hyperlink" Target="http://paperpile.com/b/hqnLqQ/1hpVp" TargetMode="External"/><Relationship Id="rId1097" Type="http://schemas.openxmlformats.org/officeDocument/2006/relationships/hyperlink" Target="http://paperpile.com/b/hqnLqQ/ewRM1" TargetMode="External"/><Relationship Id="rId140" Type="http://schemas.openxmlformats.org/officeDocument/2006/relationships/image" Target="media/image19.png"/><Relationship Id="rId382" Type="http://schemas.openxmlformats.org/officeDocument/2006/relationships/hyperlink" Target="http://paperpile.com/b/hqnLqQ/1hpVp" TargetMode="External"/><Relationship Id="rId1098" Type="http://schemas.openxmlformats.org/officeDocument/2006/relationships/hyperlink" Target="http://paperpile.com/b/hqnLqQ/ewRM1" TargetMode="External"/><Relationship Id="rId5" Type="http://schemas.openxmlformats.org/officeDocument/2006/relationships/styles" Target="styles.xml"/><Relationship Id="rId147" Type="http://schemas.openxmlformats.org/officeDocument/2006/relationships/image" Target="media/image29.png"/><Relationship Id="rId389" Type="http://schemas.openxmlformats.org/officeDocument/2006/relationships/hyperlink" Target="http://paperpile.com/b/hqnLqQ/PMaX0" TargetMode="External"/><Relationship Id="rId1099" Type="http://schemas.openxmlformats.org/officeDocument/2006/relationships/hyperlink" Target="http://paperpile.com/b/hqnLqQ/71w4f" TargetMode="External"/><Relationship Id="rId6" Type="http://schemas.openxmlformats.org/officeDocument/2006/relationships/customXml" Target="../customXML/item1.xml"/><Relationship Id="rId146" Type="http://schemas.openxmlformats.org/officeDocument/2006/relationships/hyperlink" Target="https://paperpile.com/c/hqnLqQ/TNMqU" TargetMode="External"/><Relationship Id="rId388" Type="http://schemas.openxmlformats.org/officeDocument/2006/relationships/hyperlink" Target="http://paperpile.com/b/hqnLqQ/PMaX0" TargetMode="External"/><Relationship Id="rId7" Type="http://schemas.openxmlformats.org/officeDocument/2006/relationships/hyperlink" Target="https://paperpile.com/c/hqnLqQ/ZybRd" TargetMode="External"/><Relationship Id="rId145" Type="http://schemas.openxmlformats.org/officeDocument/2006/relationships/hyperlink" Target="https://paperpile.com/c/hqnLqQ/LPCGB" TargetMode="External"/><Relationship Id="rId387" Type="http://schemas.openxmlformats.org/officeDocument/2006/relationships/hyperlink" Target="http://paperpile.com/b/hqnLqQ/PMaX0" TargetMode="External"/><Relationship Id="rId8" Type="http://schemas.openxmlformats.org/officeDocument/2006/relationships/hyperlink" Target="https://paperpile.com/c/hqnLqQ/G8IaM" TargetMode="External"/><Relationship Id="rId144" Type="http://schemas.openxmlformats.org/officeDocument/2006/relationships/hyperlink" Target="https://github.com/stschiff/AngloSaxon_Y-chrom_sex-bias" TargetMode="External"/><Relationship Id="rId386" Type="http://schemas.openxmlformats.org/officeDocument/2006/relationships/hyperlink" Target="http://paperpile.com/b/hqnLqQ/PMaX0" TargetMode="External"/><Relationship Id="rId381" Type="http://schemas.openxmlformats.org/officeDocument/2006/relationships/hyperlink" Target="http://paperpile.com/b/hqnLqQ/1hpVp" TargetMode="External"/><Relationship Id="rId380" Type="http://schemas.openxmlformats.org/officeDocument/2006/relationships/hyperlink" Target="http://paperpile.com/b/hqnLqQ/1hpVp" TargetMode="External"/><Relationship Id="rId139" Type="http://schemas.openxmlformats.org/officeDocument/2006/relationships/image" Target="media/image24.jpg"/><Relationship Id="rId138" Type="http://schemas.openxmlformats.org/officeDocument/2006/relationships/image" Target="media/image22.jpg"/><Relationship Id="rId137" Type="http://schemas.openxmlformats.org/officeDocument/2006/relationships/image" Target="media/image67.jpg"/><Relationship Id="rId379" Type="http://schemas.openxmlformats.org/officeDocument/2006/relationships/hyperlink" Target="http://paperpile.com/b/hqnLqQ/hAGdN" TargetMode="External"/><Relationship Id="rId1080" Type="http://schemas.openxmlformats.org/officeDocument/2006/relationships/hyperlink" Target="http://paperpile.com/b/hqnLqQ/n85ZY" TargetMode="External"/><Relationship Id="rId1081" Type="http://schemas.openxmlformats.org/officeDocument/2006/relationships/hyperlink" Target="http://paperpile.com/b/hqnLqQ/n85ZY" TargetMode="External"/><Relationship Id="rId1082" Type="http://schemas.openxmlformats.org/officeDocument/2006/relationships/hyperlink" Target="http://paperpile.com/b/hqnLqQ/n85ZY" TargetMode="External"/><Relationship Id="rId1083" Type="http://schemas.openxmlformats.org/officeDocument/2006/relationships/hyperlink" Target="http://paperpile.com/b/hqnLqQ/n85ZY" TargetMode="External"/><Relationship Id="rId132" Type="http://schemas.openxmlformats.org/officeDocument/2006/relationships/hyperlink" Target="https://paperpile.com/c/hqnLqQ/TNMqU+AnR16+VgyN1" TargetMode="External"/><Relationship Id="rId374" Type="http://schemas.openxmlformats.org/officeDocument/2006/relationships/hyperlink" Target="http://paperpile.com/b/hqnLqQ/9nG37" TargetMode="External"/><Relationship Id="rId1084" Type="http://schemas.openxmlformats.org/officeDocument/2006/relationships/hyperlink" Target="http://paperpile.com/b/hqnLqQ/n85ZY" TargetMode="External"/><Relationship Id="rId131" Type="http://schemas.openxmlformats.org/officeDocument/2006/relationships/hyperlink" Target="https://paperpile.com/c/hqnLqQ/AnR16+VgyN1" TargetMode="External"/><Relationship Id="rId373" Type="http://schemas.openxmlformats.org/officeDocument/2006/relationships/hyperlink" Target="http://paperpile.com/b/hqnLqQ/9nG37" TargetMode="External"/><Relationship Id="rId1085" Type="http://schemas.openxmlformats.org/officeDocument/2006/relationships/hyperlink" Target="http://paperpile.com/b/hqnLqQ/gzbxt" TargetMode="External"/><Relationship Id="rId130" Type="http://schemas.openxmlformats.org/officeDocument/2006/relationships/hyperlink" Target="https://paperpile.com/c/hqnLqQ/TNMqU" TargetMode="External"/><Relationship Id="rId372" Type="http://schemas.openxmlformats.org/officeDocument/2006/relationships/hyperlink" Target="http://paperpile.com/b/hqnLqQ/9nG37" TargetMode="External"/><Relationship Id="rId1086" Type="http://schemas.openxmlformats.org/officeDocument/2006/relationships/hyperlink" Target="http://paperpile.com/b/hqnLqQ/gzbxt" TargetMode="External"/><Relationship Id="rId371" Type="http://schemas.openxmlformats.org/officeDocument/2006/relationships/hyperlink" Target="http://paperpile.com/b/hqnLqQ/RgQj9" TargetMode="External"/><Relationship Id="rId1087" Type="http://schemas.openxmlformats.org/officeDocument/2006/relationships/hyperlink" Target="http://paperpile.com/b/hqnLqQ/gzbxt" TargetMode="External"/><Relationship Id="rId136" Type="http://schemas.openxmlformats.org/officeDocument/2006/relationships/image" Target="media/image59.png"/><Relationship Id="rId378" Type="http://schemas.openxmlformats.org/officeDocument/2006/relationships/hyperlink" Target="http://paperpile.com/b/hqnLqQ/hAGdN" TargetMode="External"/><Relationship Id="rId1088" Type="http://schemas.openxmlformats.org/officeDocument/2006/relationships/hyperlink" Target="http://paperpile.com/b/hqnLqQ/gzbxt" TargetMode="External"/><Relationship Id="rId135" Type="http://schemas.openxmlformats.org/officeDocument/2006/relationships/image" Target="media/image62.png"/><Relationship Id="rId377" Type="http://schemas.openxmlformats.org/officeDocument/2006/relationships/hyperlink" Target="http://paperpile.com/b/hqnLqQ/hAGdN" TargetMode="External"/><Relationship Id="rId1089" Type="http://schemas.openxmlformats.org/officeDocument/2006/relationships/hyperlink" Target="http://paperpile.com/b/hqnLqQ/gzbxt" TargetMode="External"/><Relationship Id="rId134" Type="http://schemas.openxmlformats.org/officeDocument/2006/relationships/hyperlink" Target="https://paperpile.com/c/hqnLqQ/2oozR" TargetMode="External"/><Relationship Id="rId376" Type="http://schemas.openxmlformats.org/officeDocument/2006/relationships/hyperlink" Target="http://paperpile.com/b/hqnLqQ/9nG37" TargetMode="External"/><Relationship Id="rId133" Type="http://schemas.openxmlformats.org/officeDocument/2006/relationships/hyperlink" Target="https://paperpile.com/c/hqnLqQ/2oozR" TargetMode="External"/><Relationship Id="rId375" Type="http://schemas.openxmlformats.org/officeDocument/2006/relationships/hyperlink" Target="http://paperpile.com/b/hqnLqQ/9nG37" TargetMode="External"/><Relationship Id="rId172" Type="http://schemas.openxmlformats.org/officeDocument/2006/relationships/image" Target="media/image1.png"/><Relationship Id="rId171" Type="http://schemas.openxmlformats.org/officeDocument/2006/relationships/image" Target="media/image2.png"/><Relationship Id="rId170" Type="http://schemas.openxmlformats.org/officeDocument/2006/relationships/hyperlink" Target="https://paperpile.com/c/hqnLqQ/4dRfU" TargetMode="External"/><Relationship Id="rId165" Type="http://schemas.openxmlformats.org/officeDocument/2006/relationships/hyperlink" Target="https://paperpile.com/c/hqnLqQ/I6Awn+jnKBm" TargetMode="External"/><Relationship Id="rId164" Type="http://schemas.openxmlformats.org/officeDocument/2006/relationships/hyperlink" Target="https://paperpile.com/c/hqnLqQ/5aYUV" TargetMode="External"/><Relationship Id="rId163" Type="http://schemas.openxmlformats.org/officeDocument/2006/relationships/hyperlink" Target="https://paperpile.com/c/hqnLqQ/eK1xv" TargetMode="External"/><Relationship Id="rId162" Type="http://schemas.openxmlformats.org/officeDocument/2006/relationships/hyperlink" Target="https://paperpile.com/c/hqnLqQ/g6Vrb" TargetMode="External"/><Relationship Id="rId169" Type="http://schemas.openxmlformats.org/officeDocument/2006/relationships/hyperlink" Target="https://paperpile.com/c/hqnLqQ/TNMqU" TargetMode="External"/><Relationship Id="rId168" Type="http://schemas.openxmlformats.org/officeDocument/2006/relationships/image" Target="media/image69.png"/><Relationship Id="rId167" Type="http://schemas.openxmlformats.org/officeDocument/2006/relationships/image" Target="media/image13.png"/><Relationship Id="rId166" Type="http://schemas.openxmlformats.org/officeDocument/2006/relationships/image" Target="media/image68.png"/><Relationship Id="rId161" Type="http://schemas.openxmlformats.org/officeDocument/2006/relationships/image" Target="media/image9.png"/><Relationship Id="rId160" Type="http://schemas.openxmlformats.org/officeDocument/2006/relationships/hyperlink" Target="https://paperpile.com/c/hqnLqQ/egNye+eK1xv" TargetMode="External"/><Relationship Id="rId159" Type="http://schemas.openxmlformats.org/officeDocument/2006/relationships/image" Target="media/image5.png"/><Relationship Id="rId154" Type="http://schemas.openxmlformats.org/officeDocument/2006/relationships/hyperlink" Target="https://paperpile.com/c/hqnLqQ/5aYUV" TargetMode="External"/><Relationship Id="rId396" Type="http://schemas.openxmlformats.org/officeDocument/2006/relationships/hyperlink" Target="http://paperpile.com/b/hqnLqQ/Lkwvg" TargetMode="External"/><Relationship Id="rId153" Type="http://schemas.openxmlformats.org/officeDocument/2006/relationships/image" Target="media/image15.png"/><Relationship Id="rId395" Type="http://schemas.openxmlformats.org/officeDocument/2006/relationships/hyperlink" Target="http://paperpile.com/b/hqnLqQ/Lkwvg" TargetMode="External"/><Relationship Id="rId152" Type="http://schemas.openxmlformats.org/officeDocument/2006/relationships/hyperlink" Target="https://paperpile.com/c/hqnLqQ/TNMqU" TargetMode="External"/><Relationship Id="rId394" Type="http://schemas.openxmlformats.org/officeDocument/2006/relationships/hyperlink" Target="http://paperpile.com/b/hqnLqQ/8BEum" TargetMode="External"/><Relationship Id="rId151" Type="http://schemas.openxmlformats.org/officeDocument/2006/relationships/image" Target="media/image36.png"/><Relationship Id="rId393" Type="http://schemas.openxmlformats.org/officeDocument/2006/relationships/hyperlink" Target="http://paperpile.com/b/hqnLqQ/8BEum" TargetMode="External"/><Relationship Id="rId158" Type="http://schemas.openxmlformats.org/officeDocument/2006/relationships/image" Target="media/image4.png"/><Relationship Id="rId157" Type="http://schemas.openxmlformats.org/officeDocument/2006/relationships/image" Target="media/image8.png"/><Relationship Id="rId399" Type="http://schemas.openxmlformats.org/officeDocument/2006/relationships/hyperlink" Target="http://paperpile.com/b/hqnLqQ/Lkwvg" TargetMode="External"/><Relationship Id="rId156" Type="http://schemas.openxmlformats.org/officeDocument/2006/relationships/hyperlink" Target="https://paperpile.com/c/hqnLqQ/9O9CJ" TargetMode="External"/><Relationship Id="rId398" Type="http://schemas.openxmlformats.org/officeDocument/2006/relationships/hyperlink" Target="http://paperpile.com/b/hqnLqQ/Lkwvg" TargetMode="External"/><Relationship Id="rId155" Type="http://schemas.openxmlformats.org/officeDocument/2006/relationships/hyperlink" Target="https://paperpile.com/c/hqnLqQ/5aYUV" TargetMode="External"/><Relationship Id="rId397" Type="http://schemas.openxmlformats.org/officeDocument/2006/relationships/hyperlink" Target="http://paperpile.com/b/hqnLqQ/Lkwvg" TargetMode="External"/><Relationship Id="rId808" Type="http://schemas.openxmlformats.org/officeDocument/2006/relationships/hyperlink" Target="http://paperpile.com/b/hqnLqQ/cbdfo" TargetMode="External"/><Relationship Id="rId807" Type="http://schemas.openxmlformats.org/officeDocument/2006/relationships/hyperlink" Target="http://paperpile.com/b/hqnLqQ/cbdfo" TargetMode="External"/><Relationship Id="rId806" Type="http://schemas.openxmlformats.org/officeDocument/2006/relationships/hyperlink" Target="http://paperpile.com/b/hqnLqQ/cbdfo" TargetMode="External"/><Relationship Id="rId805" Type="http://schemas.openxmlformats.org/officeDocument/2006/relationships/hyperlink" Target="http://paperpile.com/b/hqnLqQ/cbdfo" TargetMode="External"/><Relationship Id="rId809" Type="http://schemas.openxmlformats.org/officeDocument/2006/relationships/hyperlink" Target="http://paperpile.com/b/hqnLqQ/knSCH" TargetMode="External"/><Relationship Id="rId800" Type="http://schemas.openxmlformats.org/officeDocument/2006/relationships/hyperlink" Target="http://paperpile.com/b/hqnLqQ/yqoEm" TargetMode="External"/><Relationship Id="rId804" Type="http://schemas.openxmlformats.org/officeDocument/2006/relationships/hyperlink" Target="http://paperpile.com/b/hqnLqQ/cbdfo" TargetMode="External"/><Relationship Id="rId803" Type="http://schemas.openxmlformats.org/officeDocument/2006/relationships/hyperlink" Target="http://paperpile.com/b/hqnLqQ/cbdfo" TargetMode="External"/><Relationship Id="rId802" Type="http://schemas.openxmlformats.org/officeDocument/2006/relationships/hyperlink" Target="http://paperpile.com/b/hqnLqQ/cbdfo" TargetMode="External"/><Relationship Id="rId801" Type="http://schemas.openxmlformats.org/officeDocument/2006/relationships/hyperlink" Target="http://paperpile.com/b/hqnLqQ/yqoEm" TargetMode="External"/><Relationship Id="rId40" Type="http://schemas.openxmlformats.org/officeDocument/2006/relationships/hyperlink" Target="https://paperpile.com/c/hqnLqQ/13R3k" TargetMode="External"/><Relationship Id="rId42" Type="http://schemas.openxmlformats.org/officeDocument/2006/relationships/hyperlink" Target="https://paperpile.com/c/hqnLqQ/XG0p9" TargetMode="External"/><Relationship Id="rId41" Type="http://schemas.openxmlformats.org/officeDocument/2006/relationships/hyperlink" Target="https://paperpile.com/c/hqnLqQ/2b9vP" TargetMode="External"/><Relationship Id="rId44" Type="http://schemas.openxmlformats.org/officeDocument/2006/relationships/hyperlink" Target="https://paperpile.com/c/hqnLqQ/7mnhI+zChYj+6aRU5+q00ad+RgQj9+9nG37" TargetMode="External"/><Relationship Id="rId43" Type="http://schemas.openxmlformats.org/officeDocument/2006/relationships/hyperlink" Target="https://paperpile.com/c/hqnLqQ/FlXoC+1kMDv+bjvX4+dbi4A+eB8OS+mzebk" TargetMode="External"/><Relationship Id="rId46" Type="http://schemas.openxmlformats.org/officeDocument/2006/relationships/hyperlink" Target="https://paperpile.com/c/hqnLqQ/hAGdN" TargetMode="External"/><Relationship Id="rId45" Type="http://schemas.openxmlformats.org/officeDocument/2006/relationships/hyperlink" Target="https://paperpile.com/c/hqnLqQ/q00ad" TargetMode="External"/><Relationship Id="rId509" Type="http://schemas.openxmlformats.org/officeDocument/2006/relationships/hyperlink" Target="http://paperpile.com/b/hqnLqQ/boRxi" TargetMode="External"/><Relationship Id="rId508" Type="http://schemas.openxmlformats.org/officeDocument/2006/relationships/hyperlink" Target="http://paperpile.com/b/hqnLqQ/3aPPV" TargetMode="External"/><Relationship Id="rId503" Type="http://schemas.openxmlformats.org/officeDocument/2006/relationships/hyperlink" Target="http://paperpile.com/b/hqnLqQ/eNteK" TargetMode="External"/><Relationship Id="rId745" Type="http://schemas.openxmlformats.org/officeDocument/2006/relationships/hyperlink" Target="http://paperpile.com/b/hqnLqQ/B5zdX" TargetMode="External"/><Relationship Id="rId987" Type="http://schemas.openxmlformats.org/officeDocument/2006/relationships/hyperlink" Target="http://paperpile.com/b/hqnLqQ/3Ms3X" TargetMode="External"/><Relationship Id="rId502" Type="http://schemas.openxmlformats.org/officeDocument/2006/relationships/hyperlink" Target="http://paperpile.com/b/hqnLqQ/eNteK" TargetMode="External"/><Relationship Id="rId744" Type="http://schemas.openxmlformats.org/officeDocument/2006/relationships/hyperlink" Target="http://paperpile.com/b/hqnLqQ/B5zdX" TargetMode="External"/><Relationship Id="rId986" Type="http://schemas.openxmlformats.org/officeDocument/2006/relationships/hyperlink" Target="http://paperpile.com/b/hqnLqQ/3Ms3X" TargetMode="External"/><Relationship Id="rId501" Type="http://schemas.openxmlformats.org/officeDocument/2006/relationships/hyperlink" Target="http://paperpile.com/b/hqnLqQ/eNteK" TargetMode="External"/><Relationship Id="rId743" Type="http://schemas.openxmlformats.org/officeDocument/2006/relationships/hyperlink" Target="http://paperpile.com/b/hqnLqQ/B5zdX" TargetMode="External"/><Relationship Id="rId985" Type="http://schemas.openxmlformats.org/officeDocument/2006/relationships/hyperlink" Target="http://paperpile.com/b/hqnLqQ/3Ms3X" TargetMode="External"/><Relationship Id="rId500" Type="http://schemas.openxmlformats.org/officeDocument/2006/relationships/hyperlink" Target="http://paperpile.com/b/hqnLqQ/eNteK" TargetMode="External"/><Relationship Id="rId742" Type="http://schemas.openxmlformats.org/officeDocument/2006/relationships/hyperlink" Target="http://paperpile.com/b/hqnLqQ/B5zdX" TargetMode="External"/><Relationship Id="rId984" Type="http://schemas.openxmlformats.org/officeDocument/2006/relationships/hyperlink" Target="http://paperpile.com/b/hqnLqQ/3Ms3X" TargetMode="External"/><Relationship Id="rId507" Type="http://schemas.openxmlformats.org/officeDocument/2006/relationships/hyperlink" Target="http://paperpile.com/b/hqnLqQ/3aPPV" TargetMode="External"/><Relationship Id="rId749" Type="http://schemas.openxmlformats.org/officeDocument/2006/relationships/hyperlink" Target="http://paperpile.com/b/hqnLqQ/n3TTx" TargetMode="External"/><Relationship Id="rId506" Type="http://schemas.openxmlformats.org/officeDocument/2006/relationships/hyperlink" Target="http://paperpile.com/b/hqnLqQ/3aPPV" TargetMode="External"/><Relationship Id="rId748" Type="http://schemas.openxmlformats.org/officeDocument/2006/relationships/hyperlink" Target="http://paperpile.com/b/hqnLqQ/n3TTx" TargetMode="External"/><Relationship Id="rId505" Type="http://schemas.openxmlformats.org/officeDocument/2006/relationships/hyperlink" Target="http://paperpile.com/b/hqnLqQ/3aPPV" TargetMode="External"/><Relationship Id="rId747" Type="http://schemas.openxmlformats.org/officeDocument/2006/relationships/hyperlink" Target="http://paperpile.com/b/hqnLqQ/n3TTx" TargetMode="External"/><Relationship Id="rId989" Type="http://schemas.openxmlformats.org/officeDocument/2006/relationships/hyperlink" Target="http://paperpile.com/b/hqnLqQ/3Ms3X" TargetMode="External"/><Relationship Id="rId504" Type="http://schemas.openxmlformats.org/officeDocument/2006/relationships/hyperlink" Target="http://paperpile.com/b/hqnLqQ/3aPPV" TargetMode="External"/><Relationship Id="rId746" Type="http://schemas.openxmlformats.org/officeDocument/2006/relationships/hyperlink" Target="http://paperpile.com/b/hqnLqQ/n3TTx" TargetMode="External"/><Relationship Id="rId988" Type="http://schemas.openxmlformats.org/officeDocument/2006/relationships/hyperlink" Target="http://paperpile.com/b/hqnLqQ/3Ms3X" TargetMode="External"/><Relationship Id="rId48" Type="http://schemas.openxmlformats.org/officeDocument/2006/relationships/hyperlink" Target="https://paperpile.com/c/hqnLqQ/hAGdN" TargetMode="External"/><Relationship Id="rId47" Type="http://schemas.openxmlformats.org/officeDocument/2006/relationships/hyperlink" Target="https://paperpile.com/c/hqnLqQ/1hpVp+PMaX0" TargetMode="External"/><Relationship Id="rId49" Type="http://schemas.openxmlformats.org/officeDocument/2006/relationships/hyperlink" Target="https://paperpile.com/c/hqnLqQ/8BEum" TargetMode="External"/><Relationship Id="rId741" Type="http://schemas.openxmlformats.org/officeDocument/2006/relationships/hyperlink" Target="http://paperpile.com/b/hqnLqQ/B5zdX" TargetMode="External"/><Relationship Id="rId983" Type="http://schemas.openxmlformats.org/officeDocument/2006/relationships/hyperlink" Target="http://paperpile.com/b/hqnLqQ/0gmAb" TargetMode="External"/><Relationship Id="rId740" Type="http://schemas.openxmlformats.org/officeDocument/2006/relationships/hyperlink" Target="http://paperpile.com/b/hqnLqQ/B5zdX" TargetMode="External"/><Relationship Id="rId982" Type="http://schemas.openxmlformats.org/officeDocument/2006/relationships/hyperlink" Target="http://paperpile.com/b/hqnLqQ/0gmAb" TargetMode="External"/><Relationship Id="rId981" Type="http://schemas.openxmlformats.org/officeDocument/2006/relationships/hyperlink" Target="http://paperpile.com/b/hqnLqQ/0gmAb" TargetMode="External"/><Relationship Id="rId980" Type="http://schemas.openxmlformats.org/officeDocument/2006/relationships/hyperlink" Target="http://paperpile.com/b/hqnLqQ/0gmAb" TargetMode="External"/><Relationship Id="rId31" Type="http://schemas.openxmlformats.org/officeDocument/2006/relationships/hyperlink" Target="https://paperpile.com/c/hqnLqQ/tn7C8" TargetMode="External"/><Relationship Id="rId30" Type="http://schemas.openxmlformats.org/officeDocument/2006/relationships/hyperlink" Target="https://paperpile.com/c/hqnLqQ/tn7C8" TargetMode="External"/><Relationship Id="rId33" Type="http://schemas.openxmlformats.org/officeDocument/2006/relationships/hyperlink" Target="https://paperpile.com/c/hqnLqQ/tBFMI" TargetMode="External"/><Relationship Id="rId32" Type="http://schemas.openxmlformats.org/officeDocument/2006/relationships/image" Target="media/image54.png"/><Relationship Id="rId35" Type="http://schemas.openxmlformats.org/officeDocument/2006/relationships/hyperlink" Target="https://paperpile.com/c/hqnLqQ/ZQhag+L0Ztk" TargetMode="External"/><Relationship Id="rId34" Type="http://schemas.openxmlformats.org/officeDocument/2006/relationships/hyperlink" Target="https://paperpile.com/c/hqnLqQ/tBFMI" TargetMode="External"/><Relationship Id="rId739" Type="http://schemas.openxmlformats.org/officeDocument/2006/relationships/hyperlink" Target="http://paperpile.com/b/hqnLqQ/B5zdX" TargetMode="External"/><Relationship Id="rId734" Type="http://schemas.openxmlformats.org/officeDocument/2006/relationships/hyperlink" Target="http://paperpile.com/b/hqnLqQ/rN0Dy" TargetMode="External"/><Relationship Id="rId976" Type="http://schemas.openxmlformats.org/officeDocument/2006/relationships/hyperlink" Target="http://paperpile.com/b/hqnLqQ/eyTW6" TargetMode="External"/><Relationship Id="rId733" Type="http://schemas.openxmlformats.org/officeDocument/2006/relationships/hyperlink" Target="http://paperpile.com/b/hqnLqQ/whx7F" TargetMode="External"/><Relationship Id="rId975" Type="http://schemas.openxmlformats.org/officeDocument/2006/relationships/hyperlink" Target="http://paperpile.com/b/hqnLqQ/eyTW6" TargetMode="External"/><Relationship Id="rId732" Type="http://schemas.openxmlformats.org/officeDocument/2006/relationships/hyperlink" Target="http://paperpile.com/b/hqnLqQ/whx7F" TargetMode="External"/><Relationship Id="rId974" Type="http://schemas.openxmlformats.org/officeDocument/2006/relationships/hyperlink" Target="http://paperpile.com/b/hqnLqQ/eyTW6" TargetMode="External"/><Relationship Id="rId731" Type="http://schemas.openxmlformats.org/officeDocument/2006/relationships/hyperlink" Target="http://paperpile.com/b/hqnLqQ/whx7F" TargetMode="External"/><Relationship Id="rId973" Type="http://schemas.openxmlformats.org/officeDocument/2006/relationships/hyperlink" Target="http://paperpile.com/b/hqnLqQ/eyTW6" TargetMode="External"/><Relationship Id="rId738" Type="http://schemas.openxmlformats.org/officeDocument/2006/relationships/hyperlink" Target="http://paperpile.com/b/hqnLqQ/rN0Dy" TargetMode="External"/><Relationship Id="rId737" Type="http://schemas.openxmlformats.org/officeDocument/2006/relationships/hyperlink" Target="http://paperpile.com/b/hqnLqQ/rN0Dy" TargetMode="External"/><Relationship Id="rId979" Type="http://schemas.openxmlformats.org/officeDocument/2006/relationships/hyperlink" Target="http://paperpile.com/b/hqnLqQ/0gmAb" TargetMode="External"/><Relationship Id="rId736" Type="http://schemas.openxmlformats.org/officeDocument/2006/relationships/hyperlink" Target="http://paperpile.com/b/hqnLqQ/rN0Dy" TargetMode="External"/><Relationship Id="rId978" Type="http://schemas.openxmlformats.org/officeDocument/2006/relationships/hyperlink" Target="http://paperpile.com/b/hqnLqQ/0gmAb" TargetMode="External"/><Relationship Id="rId735" Type="http://schemas.openxmlformats.org/officeDocument/2006/relationships/hyperlink" Target="http://paperpile.com/b/hqnLqQ/rN0Dy" TargetMode="External"/><Relationship Id="rId977" Type="http://schemas.openxmlformats.org/officeDocument/2006/relationships/hyperlink" Target="http://paperpile.com/b/hqnLqQ/0gmAb" TargetMode="External"/><Relationship Id="rId37" Type="http://schemas.openxmlformats.org/officeDocument/2006/relationships/hyperlink" Target="https://paperpile.com/c/hqnLqQ/4RbPH" TargetMode="External"/><Relationship Id="rId36" Type="http://schemas.openxmlformats.org/officeDocument/2006/relationships/hyperlink" Target="https://paperpile.com/c/hqnLqQ/1G4IX" TargetMode="External"/><Relationship Id="rId39" Type="http://schemas.openxmlformats.org/officeDocument/2006/relationships/hyperlink" Target="https://paperpile.com/c/hqnLqQ/hRn6w" TargetMode="External"/><Relationship Id="rId38" Type="http://schemas.openxmlformats.org/officeDocument/2006/relationships/hyperlink" Target="https://paperpile.com/c/hqnLqQ/e8UES" TargetMode="External"/><Relationship Id="rId730" Type="http://schemas.openxmlformats.org/officeDocument/2006/relationships/hyperlink" Target="http://paperpile.com/b/hqnLqQ/whx7F" TargetMode="External"/><Relationship Id="rId972" Type="http://schemas.openxmlformats.org/officeDocument/2006/relationships/hyperlink" Target="http://paperpile.com/b/hqnLqQ/eyTW6" TargetMode="External"/><Relationship Id="rId971" Type="http://schemas.openxmlformats.org/officeDocument/2006/relationships/hyperlink" Target="http://paperpile.com/b/hqnLqQ/eyTW6" TargetMode="External"/><Relationship Id="rId970" Type="http://schemas.openxmlformats.org/officeDocument/2006/relationships/hyperlink" Target="http://paperpile.com/b/hqnLqQ/eyTW6" TargetMode="External"/><Relationship Id="rId1114" Type="http://schemas.openxmlformats.org/officeDocument/2006/relationships/hyperlink" Target="http://paperpile.com/b/hqnLqQ/Ok2Cw" TargetMode="External"/><Relationship Id="rId1115" Type="http://schemas.openxmlformats.org/officeDocument/2006/relationships/hyperlink" Target="http://paperpile.com/b/hqnLqQ/Ok2Cw" TargetMode="External"/><Relationship Id="rId20" Type="http://schemas.openxmlformats.org/officeDocument/2006/relationships/hyperlink" Target="https://paperpile.com/c/hqnLqQ/Gy9n6" TargetMode="External"/><Relationship Id="rId1116" Type="http://schemas.openxmlformats.org/officeDocument/2006/relationships/hyperlink" Target="http://paperpile.com/b/hqnLqQ/Ok2Cw" TargetMode="External"/><Relationship Id="rId1117" Type="http://schemas.openxmlformats.org/officeDocument/2006/relationships/hyperlink" Target="http://paperpile.com/b/hqnLqQ/Ok2Cw" TargetMode="External"/><Relationship Id="rId22" Type="http://schemas.openxmlformats.org/officeDocument/2006/relationships/hyperlink" Target="https://paperpile.com/c/hqnLqQ/skTi8" TargetMode="External"/><Relationship Id="rId1118" Type="http://schemas.openxmlformats.org/officeDocument/2006/relationships/hyperlink" Target="http://paperpile.com/b/hqnLqQ/PsVeU" TargetMode="External"/><Relationship Id="rId21" Type="http://schemas.openxmlformats.org/officeDocument/2006/relationships/hyperlink" Target="https://paperpile.com/c/hqnLqQ/Lyhrp" TargetMode="External"/><Relationship Id="rId1119" Type="http://schemas.openxmlformats.org/officeDocument/2006/relationships/hyperlink" Target="http://paperpile.com/b/hqnLqQ/PsVeU" TargetMode="External"/><Relationship Id="rId24" Type="http://schemas.openxmlformats.org/officeDocument/2006/relationships/hyperlink" Target="https://paperpile.com/c/hqnLqQ/G8IaM" TargetMode="External"/><Relationship Id="rId23" Type="http://schemas.openxmlformats.org/officeDocument/2006/relationships/hyperlink" Target="https://paperpile.com/c/hqnLqQ/X64wa" TargetMode="External"/><Relationship Id="rId525" Type="http://schemas.openxmlformats.org/officeDocument/2006/relationships/hyperlink" Target="http://paperpile.com/b/hqnLqQ/D6a2V" TargetMode="External"/><Relationship Id="rId767" Type="http://schemas.openxmlformats.org/officeDocument/2006/relationships/hyperlink" Target="http://paperpile.com/b/hqnLqQ/HE65i" TargetMode="External"/><Relationship Id="rId524" Type="http://schemas.openxmlformats.org/officeDocument/2006/relationships/hyperlink" Target="http://paperpile.com/b/hqnLqQ/D6a2V" TargetMode="External"/><Relationship Id="rId766" Type="http://schemas.openxmlformats.org/officeDocument/2006/relationships/hyperlink" Target="http://paperpile.com/b/hqnLqQ/1MKZc" TargetMode="External"/><Relationship Id="rId523" Type="http://schemas.openxmlformats.org/officeDocument/2006/relationships/hyperlink" Target="http://paperpile.com/b/hqnLqQ/D6a2V" TargetMode="External"/><Relationship Id="rId765" Type="http://schemas.openxmlformats.org/officeDocument/2006/relationships/hyperlink" Target="http://paperpile.com/b/hqnLqQ/1MKZc" TargetMode="External"/><Relationship Id="rId522" Type="http://schemas.openxmlformats.org/officeDocument/2006/relationships/hyperlink" Target="http://paperpile.com/b/hqnLqQ/j8W3L" TargetMode="External"/><Relationship Id="rId764" Type="http://schemas.openxmlformats.org/officeDocument/2006/relationships/hyperlink" Target="http://paperpile.com/b/hqnLqQ/1MKZc" TargetMode="External"/><Relationship Id="rId529" Type="http://schemas.openxmlformats.org/officeDocument/2006/relationships/hyperlink" Target="http://paperpile.com/b/hqnLqQ/D6a2V" TargetMode="External"/><Relationship Id="rId528" Type="http://schemas.openxmlformats.org/officeDocument/2006/relationships/hyperlink" Target="http://paperpile.com/b/hqnLqQ/D6a2V" TargetMode="External"/><Relationship Id="rId527" Type="http://schemas.openxmlformats.org/officeDocument/2006/relationships/hyperlink" Target="http://paperpile.com/b/hqnLqQ/D6a2V" TargetMode="External"/><Relationship Id="rId769" Type="http://schemas.openxmlformats.org/officeDocument/2006/relationships/hyperlink" Target="http://paperpile.com/b/hqnLqQ/HE65i" TargetMode="External"/><Relationship Id="rId526" Type="http://schemas.openxmlformats.org/officeDocument/2006/relationships/hyperlink" Target="http://paperpile.com/b/hqnLqQ/D6a2V" TargetMode="External"/><Relationship Id="rId768" Type="http://schemas.openxmlformats.org/officeDocument/2006/relationships/hyperlink" Target="http://paperpile.com/b/hqnLqQ/HE65i" TargetMode="External"/><Relationship Id="rId26" Type="http://schemas.openxmlformats.org/officeDocument/2006/relationships/hyperlink" Target="https://paperpile.com/c/hqnLqQ/uGHi7" TargetMode="External"/><Relationship Id="rId25" Type="http://schemas.openxmlformats.org/officeDocument/2006/relationships/image" Target="media/image43.png"/><Relationship Id="rId28" Type="http://schemas.openxmlformats.org/officeDocument/2006/relationships/hyperlink" Target="https://paperpile.com/c/hqnLqQ/ZKupT" TargetMode="External"/><Relationship Id="rId27" Type="http://schemas.openxmlformats.org/officeDocument/2006/relationships/image" Target="media/image44.png"/><Relationship Id="rId521" Type="http://schemas.openxmlformats.org/officeDocument/2006/relationships/hyperlink" Target="http://paperpile.com/b/hqnLqQ/j8W3L" TargetMode="External"/><Relationship Id="rId763" Type="http://schemas.openxmlformats.org/officeDocument/2006/relationships/hyperlink" Target="http://paperpile.com/b/hqnLqQ/1MKZc" TargetMode="External"/><Relationship Id="rId1110" Type="http://schemas.openxmlformats.org/officeDocument/2006/relationships/hyperlink" Target="http://paperpile.com/b/hqnLqQ/oRaH6" TargetMode="External"/><Relationship Id="rId29" Type="http://schemas.openxmlformats.org/officeDocument/2006/relationships/hyperlink" Target="https://paperpile.com/c/hqnLqQ/ZKupT" TargetMode="External"/><Relationship Id="rId520" Type="http://schemas.openxmlformats.org/officeDocument/2006/relationships/hyperlink" Target="http://paperpile.com/b/hqnLqQ/j8W3L" TargetMode="External"/><Relationship Id="rId762" Type="http://schemas.openxmlformats.org/officeDocument/2006/relationships/hyperlink" Target="http://paperpile.com/b/hqnLqQ/1MKZc" TargetMode="External"/><Relationship Id="rId1111" Type="http://schemas.openxmlformats.org/officeDocument/2006/relationships/hyperlink" Target="http://paperpile.com/b/hqnLqQ/Ok2Cw" TargetMode="External"/><Relationship Id="rId761" Type="http://schemas.openxmlformats.org/officeDocument/2006/relationships/hyperlink" Target="http://paperpile.com/b/hqnLqQ/1MKZc" TargetMode="External"/><Relationship Id="rId1112" Type="http://schemas.openxmlformats.org/officeDocument/2006/relationships/hyperlink" Target="http://paperpile.com/b/hqnLqQ/Ok2Cw" TargetMode="External"/><Relationship Id="rId760" Type="http://schemas.openxmlformats.org/officeDocument/2006/relationships/hyperlink" Target="http://paperpile.com/b/hqnLqQ/1MKZc" TargetMode="External"/><Relationship Id="rId1113" Type="http://schemas.openxmlformats.org/officeDocument/2006/relationships/hyperlink" Target="http://paperpile.com/b/hqnLqQ/Ok2Cw" TargetMode="External"/><Relationship Id="rId1103" Type="http://schemas.openxmlformats.org/officeDocument/2006/relationships/hyperlink" Target="http://paperpile.com/b/hqnLqQ/71w4f" TargetMode="External"/><Relationship Id="rId1104" Type="http://schemas.openxmlformats.org/officeDocument/2006/relationships/hyperlink" Target="http://paperpile.com/b/hqnLqQ/oRaH6" TargetMode="External"/><Relationship Id="rId1105" Type="http://schemas.openxmlformats.org/officeDocument/2006/relationships/hyperlink" Target="http://paperpile.com/b/hqnLqQ/oRaH6" TargetMode="External"/><Relationship Id="rId1106" Type="http://schemas.openxmlformats.org/officeDocument/2006/relationships/hyperlink" Target="http://paperpile.com/b/hqnLqQ/oRaH6" TargetMode="External"/><Relationship Id="rId11" Type="http://schemas.openxmlformats.org/officeDocument/2006/relationships/hyperlink" Target="https://paperpile.com/c/hqnLqQ/1dxS" TargetMode="External"/><Relationship Id="rId1107" Type="http://schemas.openxmlformats.org/officeDocument/2006/relationships/hyperlink" Target="http://paperpile.com/b/hqnLqQ/oRaH6" TargetMode="External"/><Relationship Id="rId10" Type="http://schemas.openxmlformats.org/officeDocument/2006/relationships/hyperlink" Target="https://paperpile.com/c/hqnLqQ/Gu1L" TargetMode="External"/><Relationship Id="rId1108" Type="http://schemas.openxmlformats.org/officeDocument/2006/relationships/hyperlink" Target="http://paperpile.com/b/hqnLqQ/oRaH6" TargetMode="External"/><Relationship Id="rId13" Type="http://schemas.openxmlformats.org/officeDocument/2006/relationships/image" Target="media/image42.png"/><Relationship Id="rId1109" Type="http://schemas.openxmlformats.org/officeDocument/2006/relationships/hyperlink" Target="http://paperpile.com/b/hqnLqQ/oRaH6" TargetMode="External"/><Relationship Id="rId12" Type="http://schemas.openxmlformats.org/officeDocument/2006/relationships/hyperlink" Target="https://paperpile.com/c/hqnLqQ/PzhH+rmlm" TargetMode="External"/><Relationship Id="rId519" Type="http://schemas.openxmlformats.org/officeDocument/2006/relationships/hyperlink" Target="http://paperpile.com/b/hqnLqQ/j8W3L" TargetMode="External"/><Relationship Id="rId514" Type="http://schemas.openxmlformats.org/officeDocument/2006/relationships/hyperlink" Target="http://paperpile.com/b/hqnLqQ/boRxi" TargetMode="External"/><Relationship Id="rId756" Type="http://schemas.openxmlformats.org/officeDocument/2006/relationships/hyperlink" Target="http://paperpile.com/b/hqnLqQ/5qba3" TargetMode="External"/><Relationship Id="rId998" Type="http://schemas.openxmlformats.org/officeDocument/2006/relationships/hyperlink" Target="http://paperpile.com/b/hqnLqQ/I6Awn" TargetMode="External"/><Relationship Id="rId513" Type="http://schemas.openxmlformats.org/officeDocument/2006/relationships/hyperlink" Target="http://paperpile.com/b/hqnLqQ/boRxi" TargetMode="External"/><Relationship Id="rId755" Type="http://schemas.openxmlformats.org/officeDocument/2006/relationships/hyperlink" Target="http://paperpile.com/b/hqnLqQ/5qba3" TargetMode="External"/><Relationship Id="rId997" Type="http://schemas.openxmlformats.org/officeDocument/2006/relationships/hyperlink" Target="http://paperpile.com/b/hqnLqQ/kmNjU" TargetMode="External"/><Relationship Id="rId512" Type="http://schemas.openxmlformats.org/officeDocument/2006/relationships/hyperlink" Target="http://paperpile.com/b/hqnLqQ/boRxi" TargetMode="External"/><Relationship Id="rId754" Type="http://schemas.openxmlformats.org/officeDocument/2006/relationships/hyperlink" Target="http://paperpile.com/b/hqnLqQ/5qba3" TargetMode="External"/><Relationship Id="rId996" Type="http://schemas.openxmlformats.org/officeDocument/2006/relationships/hyperlink" Target="http://paperpile.com/b/hqnLqQ/kmNjU" TargetMode="External"/><Relationship Id="rId511" Type="http://schemas.openxmlformats.org/officeDocument/2006/relationships/hyperlink" Target="http://paperpile.com/b/hqnLqQ/boRxi" TargetMode="External"/><Relationship Id="rId753" Type="http://schemas.openxmlformats.org/officeDocument/2006/relationships/hyperlink" Target="http://paperpile.com/b/hqnLqQ/5qba3" TargetMode="External"/><Relationship Id="rId995" Type="http://schemas.openxmlformats.org/officeDocument/2006/relationships/hyperlink" Target="http://paperpile.com/b/hqnLqQ/kmNjU" TargetMode="External"/><Relationship Id="rId518" Type="http://schemas.openxmlformats.org/officeDocument/2006/relationships/hyperlink" Target="http://paperpile.com/b/hqnLqQ/j8W3L" TargetMode="External"/><Relationship Id="rId517" Type="http://schemas.openxmlformats.org/officeDocument/2006/relationships/hyperlink" Target="http://paperpile.com/b/hqnLqQ/j8W3L" TargetMode="External"/><Relationship Id="rId759" Type="http://schemas.openxmlformats.org/officeDocument/2006/relationships/hyperlink" Target="http://paperpile.com/b/hqnLqQ/5qba3" TargetMode="External"/><Relationship Id="rId516" Type="http://schemas.openxmlformats.org/officeDocument/2006/relationships/hyperlink" Target="http://paperpile.com/b/hqnLqQ/j8W3L" TargetMode="External"/><Relationship Id="rId758" Type="http://schemas.openxmlformats.org/officeDocument/2006/relationships/hyperlink" Target="http://paperpile.com/b/hqnLqQ/5qba3" TargetMode="External"/><Relationship Id="rId515" Type="http://schemas.openxmlformats.org/officeDocument/2006/relationships/hyperlink" Target="http://paperpile.com/b/hqnLqQ/boRxi" TargetMode="External"/><Relationship Id="rId757" Type="http://schemas.openxmlformats.org/officeDocument/2006/relationships/hyperlink" Target="http://paperpile.com/b/hqnLqQ/5qba3" TargetMode="External"/><Relationship Id="rId999" Type="http://schemas.openxmlformats.org/officeDocument/2006/relationships/hyperlink" Target="http://paperpile.com/b/hqnLqQ/I6Awn" TargetMode="External"/><Relationship Id="rId15" Type="http://schemas.openxmlformats.org/officeDocument/2006/relationships/hyperlink" Target="https://paperpile.com/c/hqnLqQ/bwBUZ" TargetMode="External"/><Relationship Id="rId990" Type="http://schemas.openxmlformats.org/officeDocument/2006/relationships/hyperlink" Target="http://paperpile.com/b/hqnLqQ/3Ms3X" TargetMode="External"/><Relationship Id="rId14" Type="http://schemas.openxmlformats.org/officeDocument/2006/relationships/hyperlink" Target="https://paperpile.com/c/hqnLqQ/erQAB+IJ2Jc" TargetMode="External"/><Relationship Id="rId17" Type="http://schemas.openxmlformats.org/officeDocument/2006/relationships/image" Target="media/image41.png"/><Relationship Id="rId16" Type="http://schemas.openxmlformats.org/officeDocument/2006/relationships/image" Target="media/image37.png"/><Relationship Id="rId19" Type="http://schemas.openxmlformats.org/officeDocument/2006/relationships/image" Target="media/image40.png"/><Relationship Id="rId510" Type="http://schemas.openxmlformats.org/officeDocument/2006/relationships/hyperlink" Target="http://paperpile.com/b/hqnLqQ/boRxi" TargetMode="External"/><Relationship Id="rId752" Type="http://schemas.openxmlformats.org/officeDocument/2006/relationships/hyperlink" Target="http://paperpile.com/b/hqnLqQ/n3TTx" TargetMode="External"/><Relationship Id="rId994" Type="http://schemas.openxmlformats.org/officeDocument/2006/relationships/hyperlink" Target="http://paperpile.com/b/hqnLqQ/kmNjU" TargetMode="External"/><Relationship Id="rId18" Type="http://schemas.openxmlformats.org/officeDocument/2006/relationships/hyperlink" Target="https://paperpile.com/c/hqnLqQ/s5oNd" TargetMode="External"/><Relationship Id="rId751" Type="http://schemas.openxmlformats.org/officeDocument/2006/relationships/hyperlink" Target="http://paperpile.com/b/hqnLqQ/n3TTx" TargetMode="External"/><Relationship Id="rId993" Type="http://schemas.openxmlformats.org/officeDocument/2006/relationships/hyperlink" Target="http://paperpile.com/b/hqnLqQ/kmNjU" TargetMode="External"/><Relationship Id="rId1100" Type="http://schemas.openxmlformats.org/officeDocument/2006/relationships/hyperlink" Target="http://paperpile.com/b/hqnLqQ/71w4f" TargetMode="External"/><Relationship Id="rId750" Type="http://schemas.openxmlformats.org/officeDocument/2006/relationships/hyperlink" Target="http://paperpile.com/b/hqnLqQ/n3TTx" TargetMode="External"/><Relationship Id="rId992" Type="http://schemas.openxmlformats.org/officeDocument/2006/relationships/hyperlink" Target="http://paperpile.com/b/hqnLqQ/kmNjU" TargetMode="External"/><Relationship Id="rId1101" Type="http://schemas.openxmlformats.org/officeDocument/2006/relationships/hyperlink" Target="http://paperpile.com/b/hqnLqQ/71w4f" TargetMode="External"/><Relationship Id="rId991" Type="http://schemas.openxmlformats.org/officeDocument/2006/relationships/hyperlink" Target="http://paperpile.com/b/hqnLqQ/kmNjU" TargetMode="External"/><Relationship Id="rId1102" Type="http://schemas.openxmlformats.org/officeDocument/2006/relationships/hyperlink" Target="http://paperpile.com/b/hqnLqQ/71w4f" TargetMode="External"/><Relationship Id="rId84" Type="http://schemas.openxmlformats.org/officeDocument/2006/relationships/hyperlink" Target="https://paperpile.com/c/hqnLqQ/gzbxt" TargetMode="External"/><Relationship Id="rId83" Type="http://schemas.openxmlformats.org/officeDocument/2006/relationships/hyperlink" Target="https://paperpile.com/c/hqnLqQ/n85ZY" TargetMode="External"/><Relationship Id="rId86" Type="http://schemas.openxmlformats.org/officeDocument/2006/relationships/image" Target="media/image51.png"/><Relationship Id="rId85" Type="http://schemas.openxmlformats.org/officeDocument/2006/relationships/image" Target="media/image50.png"/><Relationship Id="rId88" Type="http://schemas.openxmlformats.org/officeDocument/2006/relationships/image" Target="media/image53.png"/><Relationship Id="rId87" Type="http://schemas.openxmlformats.org/officeDocument/2006/relationships/image" Target="media/image61.png"/><Relationship Id="rId89" Type="http://schemas.openxmlformats.org/officeDocument/2006/relationships/hyperlink" Target="https://paperpile.com/c/hqnLqQ/ewRM1" TargetMode="External"/><Relationship Id="rId709" Type="http://schemas.openxmlformats.org/officeDocument/2006/relationships/hyperlink" Target="http://paperpile.com/b/hqnLqQ/6OVBv" TargetMode="External"/><Relationship Id="rId708" Type="http://schemas.openxmlformats.org/officeDocument/2006/relationships/hyperlink" Target="http://paperpile.com/b/hqnLqQ/6OVBv" TargetMode="External"/><Relationship Id="rId707" Type="http://schemas.openxmlformats.org/officeDocument/2006/relationships/hyperlink" Target="http://paperpile.com/b/hqnLqQ/6OVBv" TargetMode="External"/><Relationship Id="rId949" Type="http://schemas.openxmlformats.org/officeDocument/2006/relationships/hyperlink" Target="http://paperpile.com/b/hqnLqQ/5danp" TargetMode="External"/><Relationship Id="rId706" Type="http://schemas.openxmlformats.org/officeDocument/2006/relationships/hyperlink" Target="http://paperpile.com/b/hqnLqQ/6OVBv" TargetMode="External"/><Relationship Id="rId948" Type="http://schemas.openxmlformats.org/officeDocument/2006/relationships/hyperlink" Target="http://paperpile.com/b/hqnLqQ/WGuuL" TargetMode="External"/><Relationship Id="rId80" Type="http://schemas.openxmlformats.org/officeDocument/2006/relationships/hyperlink" Target="https://paperpile.com/c/hqnLqQ/h5S9S" TargetMode="External"/><Relationship Id="rId82" Type="http://schemas.openxmlformats.org/officeDocument/2006/relationships/hyperlink" Target="https://paperpile.com/c/hqnLqQ/r5iW6+5danp" TargetMode="External"/><Relationship Id="rId81" Type="http://schemas.openxmlformats.org/officeDocument/2006/relationships/hyperlink" Target="https://paperpile.com/c/hqnLqQ/6hnh9" TargetMode="External"/><Relationship Id="rId701" Type="http://schemas.openxmlformats.org/officeDocument/2006/relationships/hyperlink" Target="http://paperpile.com/b/hqnLqQ/eGMso" TargetMode="External"/><Relationship Id="rId943" Type="http://schemas.openxmlformats.org/officeDocument/2006/relationships/hyperlink" Target="http://paperpile.com/b/hqnLqQ/WGuuL" TargetMode="External"/><Relationship Id="rId700" Type="http://schemas.openxmlformats.org/officeDocument/2006/relationships/hyperlink" Target="http://paperpile.com/b/hqnLqQ/eGMso" TargetMode="External"/><Relationship Id="rId942" Type="http://schemas.openxmlformats.org/officeDocument/2006/relationships/hyperlink" Target="http://paperpile.com/b/hqnLqQ/WGuuL" TargetMode="External"/><Relationship Id="rId941" Type="http://schemas.openxmlformats.org/officeDocument/2006/relationships/hyperlink" Target="http://paperpile.com/b/hqnLqQ/QVLVp" TargetMode="External"/><Relationship Id="rId940" Type="http://schemas.openxmlformats.org/officeDocument/2006/relationships/hyperlink" Target="http://paperpile.com/b/hqnLqQ/QVLVp" TargetMode="External"/><Relationship Id="rId705" Type="http://schemas.openxmlformats.org/officeDocument/2006/relationships/hyperlink" Target="http://paperpile.com/b/hqnLqQ/eGMso" TargetMode="External"/><Relationship Id="rId947" Type="http://schemas.openxmlformats.org/officeDocument/2006/relationships/hyperlink" Target="http://paperpile.com/b/hqnLqQ/WGuuL" TargetMode="External"/><Relationship Id="rId704" Type="http://schemas.openxmlformats.org/officeDocument/2006/relationships/hyperlink" Target="http://paperpile.com/b/hqnLqQ/eGMso" TargetMode="External"/><Relationship Id="rId946" Type="http://schemas.openxmlformats.org/officeDocument/2006/relationships/hyperlink" Target="http://paperpile.com/b/hqnLqQ/WGuuL" TargetMode="External"/><Relationship Id="rId703" Type="http://schemas.openxmlformats.org/officeDocument/2006/relationships/hyperlink" Target="http://paperpile.com/b/hqnLqQ/eGMso" TargetMode="External"/><Relationship Id="rId945" Type="http://schemas.openxmlformats.org/officeDocument/2006/relationships/hyperlink" Target="http://paperpile.com/b/hqnLqQ/WGuuL" TargetMode="External"/><Relationship Id="rId702" Type="http://schemas.openxmlformats.org/officeDocument/2006/relationships/hyperlink" Target="http://paperpile.com/b/hqnLqQ/eGMso" TargetMode="External"/><Relationship Id="rId944" Type="http://schemas.openxmlformats.org/officeDocument/2006/relationships/hyperlink" Target="http://paperpile.com/b/hqnLqQ/WGuuL" TargetMode="External"/><Relationship Id="rId73" Type="http://schemas.openxmlformats.org/officeDocument/2006/relationships/hyperlink" Target="https://paperpile.com/c/hqnLqQ/lvyLC+e38C6" TargetMode="External"/><Relationship Id="rId72" Type="http://schemas.openxmlformats.org/officeDocument/2006/relationships/hyperlink" Target="https://paperpile.com/c/hqnLqQ/LPCGB" TargetMode="External"/><Relationship Id="rId75" Type="http://schemas.openxmlformats.org/officeDocument/2006/relationships/hyperlink" Target="https://paperpile.com/c/hqnLqQ/3Th9" TargetMode="External"/><Relationship Id="rId74" Type="http://schemas.openxmlformats.org/officeDocument/2006/relationships/hyperlink" Target="https://reich.hms.harvard.edu/allen-ancient-dna-resource-aadr-downloadable-genotypes-present-day-and-ancient-dna-data" TargetMode="External"/><Relationship Id="rId77" Type="http://schemas.openxmlformats.org/officeDocument/2006/relationships/image" Target="media/image47.png"/><Relationship Id="rId76" Type="http://schemas.openxmlformats.org/officeDocument/2006/relationships/hyperlink" Target="https://paperpile.com/c/hqnLqQ/L1lCW+X7M1r+0aHzs+VTvWq+CnCIo+r5iW6+VGqUa+Iw8qF+CxUY7+MyIFY+9O9CJ+I4Koe+eGMso+6OVBv+TA8vQ+gpuQm+whx7F+rN0Dy+B5zdX+n3TTx+5qba3+1MKZc+HE65i+RRCNM+zR5Kn+Ik8SB+yqoEm+cbdfo+knSCH+55V1D+L7WJT+DEho3+AdxKv+4qN2w+gMorQ+7F4ac+IJm1H+aElE1+spmY+jnKBm+ZjbXz+8E2G5+2oozR+1SkHO+e10z3+WPSxx+QVLVp+WGuuL+5danp+tfw6T+veAaL+eyTW6+0gmAb+3Ms3X+kmNjU+I6Awn+2YcIe+ZNX1g+cDAYL+Ag6wX+HNlDt+Gwgbe+pPRlO+2lYj1+3Th9" TargetMode="External"/><Relationship Id="rId79" Type="http://schemas.openxmlformats.org/officeDocument/2006/relationships/hyperlink" Target="https://paperpile.com/c/hqnLqQ/jWTHJ" TargetMode="External"/><Relationship Id="rId78" Type="http://schemas.openxmlformats.org/officeDocument/2006/relationships/image" Target="media/image52.png"/><Relationship Id="rId939" Type="http://schemas.openxmlformats.org/officeDocument/2006/relationships/hyperlink" Target="http://paperpile.com/b/hqnLqQ/QVLVp" TargetMode="External"/><Relationship Id="rId938" Type="http://schemas.openxmlformats.org/officeDocument/2006/relationships/hyperlink" Target="http://paperpile.com/b/hqnLqQ/QVLVp" TargetMode="External"/><Relationship Id="rId937" Type="http://schemas.openxmlformats.org/officeDocument/2006/relationships/hyperlink" Target="http://paperpile.com/b/hqnLqQ/QVLVp" TargetMode="External"/><Relationship Id="rId71" Type="http://schemas.openxmlformats.org/officeDocument/2006/relationships/hyperlink" Target="https://paperpile.com/c/hqnLqQ/GhEK2" TargetMode="External"/><Relationship Id="rId70" Type="http://schemas.openxmlformats.org/officeDocument/2006/relationships/hyperlink" Target="https://paperpile.com/c/hqnLqQ/BiJCM" TargetMode="External"/><Relationship Id="rId932" Type="http://schemas.openxmlformats.org/officeDocument/2006/relationships/hyperlink" Target="http://paperpile.com/b/hqnLqQ/WPSxx" TargetMode="External"/><Relationship Id="rId931" Type="http://schemas.openxmlformats.org/officeDocument/2006/relationships/hyperlink" Target="http://paperpile.com/b/hqnLqQ/WPSxx" TargetMode="External"/><Relationship Id="rId930" Type="http://schemas.openxmlformats.org/officeDocument/2006/relationships/hyperlink" Target="http://paperpile.com/b/hqnLqQ/WPSxx" TargetMode="External"/><Relationship Id="rId936" Type="http://schemas.openxmlformats.org/officeDocument/2006/relationships/hyperlink" Target="http://paperpile.com/b/hqnLqQ/QVLVp" TargetMode="External"/><Relationship Id="rId935" Type="http://schemas.openxmlformats.org/officeDocument/2006/relationships/hyperlink" Target="http://paperpile.com/b/hqnLqQ/QVLVp" TargetMode="External"/><Relationship Id="rId934" Type="http://schemas.openxmlformats.org/officeDocument/2006/relationships/hyperlink" Target="http://paperpile.com/b/hqnLqQ/WPSxx" TargetMode="External"/><Relationship Id="rId933" Type="http://schemas.openxmlformats.org/officeDocument/2006/relationships/hyperlink" Target="http://paperpile.com/b/hqnLqQ/WPSxx" TargetMode="External"/><Relationship Id="rId62" Type="http://schemas.openxmlformats.org/officeDocument/2006/relationships/hyperlink" Target="https://paperpile.com/c/hqnLqQ/0fg8B+jJsdH+P78rj+tbeMT" TargetMode="External"/><Relationship Id="rId61" Type="http://schemas.openxmlformats.org/officeDocument/2006/relationships/hyperlink" Target="https://paperpile.com/c/hqnLqQ/MxYPa+XdvpV+eLLr1" TargetMode="External"/><Relationship Id="rId64" Type="http://schemas.openxmlformats.org/officeDocument/2006/relationships/hyperlink" Target="https://paperpile.com/c/hqnLqQ/eLLr1+XdvpV" TargetMode="External"/><Relationship Id="rId63" Type="http://schemas.openxmlformats.org/officeDocument/2006/relationships/hyperlink" Target="https://paperpile.com/c/hqnLqQ/BiJCM" TargetMode="External"/><Relationship Id="rId66" Type="http://schemas.openxmlformats.org/officeDocument/2006/relationships/hyperlink" Target="https://paperpile.com/c/hqnLqQ/eLLr1" TargetMode="External"/><Relationship Id="rId65" Type="http://schemas.openxmlformats.org/officeDocument/2006/relationships/hyperlink" Target="https://paperpile.com/c/hqnLqQ/XdvpV+MxYPa+eLLr1+6zgL3+tJLVT+eNteK+3aPPV+boRxi+j8W3L+D6a2V+oRczI+E47th+fu8UO+QtLQE+RcjO" TargetMode="External"/><Relationship Id="rId68" Type="http://schemas.openxmlformats.org/officeDocument/2006/relationships/hyperlink" Target="https://paperpile.com/c/hqnLqQ/XdvpV" TargetMode="External"/><Relationship Id="rId67" Type="http://schemas.openxmlformats.org/officeDocument/2006/relationships/hyperlink" Target="https://paperpile.com/c/hqnLqQ/D9KYI+gWBuy+owf11" TargetMode="External"/><Relationship Id="rId729" Type="http://schemas.openxmlformats.org/officeDocument/2006/relationships/hyperlink" Target="http://paperpile.com/b/hqnLqQ/whx7F" TargetMode="External"/><Relationship Id="rId728" Type="http://schemas.openxmlformats.org/officeDocument/2006/relationships/hyperlink" Target="http://paperpile.com/b/hqnLqQ/whx7F" TargetMode="External"/><Relationship Id="rId60" Type="http://schemas.openxmlformats.org/officeDocument/2006/relationships/hyperlink" Target="https://paperpile.com/c/hqnLqQ/MxYPa+XdvpV+eLLr1" TargetMode="External"/><Relationship Id="rId723" Type="http://schemas.openxmlformats.org/officeDocument/2006/relationships/hyperlink" Target="http://paperpile.com/b/hqnLqQ/gpuQm" TargetMode="External"/><Relationship Id="rId965" Type="http://schemas.openxmlformats.org/officeDocument/2006/relationships/hyperlink" Target="http://paperpile.com/b/hqnLqQ/veAaL" TargetMode="External"/><Relationship Id="rId722" Type="http://schemas.openxmlformats.org/officeDocument/2006/relationships/hyperlink" Target="http://paperpile.com/b/hqnLqQ/gpuQm" TargetMode="External"/><Relationship Id="rId964" Type="http://schemas.openxmlformats.org/officeDocument/2006/relationships/hyperlink" Target="http://paperpile.com/b/hqnLqQ/veAaL" TargetMode="External"/><Relationship Id="rId721" Type="http://schemas.openxmlformats.org/officeDocument/2006/relationships/hyperlink" Target="http://paperpile.com/b/hqnLqQ/gpuQm" TargetMode="External"/><Relationship Id="rId963" Type="http://schemas.openxmlformats.org/officeDocument/2006/relationships/hyperlink" Target="http://paperpile.com/b/hqnLqQ/veAaL" TargetMode="External"/><Relationship Id="rId720" Type="http://schemas.openxmlformats.org/officeDocument/2006/relationships/hyperlink" Target="http://paperpile.com/b/hqnLqQ/gpuQm" TargetMode="External"/><Relationship Id="rId962" Type="http://schemas.openxmlformats.org/officeDocument/2006/relationships/hyperlink" Target="http://paperpile.com/b/hqnLqQ/tfw6T" TargetMode="External"/><Relationship Id="rId727" Type="http://schemas.openxmlformats.org/officeDocument/2006/relationships/hyperlink" Target="http://paperpile.com/b/hqnLqQ/whx7F" TargetMode="External"/><Relationship Id="rId969" Type="http://schemas.openxmlformats.org/officeDocument/2006/relationships/hyperlink" Target="http://paperpile.com/b/hqnLqQ/veAaL" TargetMode="External"/><Relationship Id="rId726" Type="http://schemas.openxmlformats.org/officeDocument/2006/relationships/hyperlink" Target="http://paperpile.com/b/hqnLqQ/gpuQm" TargetMode="External"/><Relationship Id="rId968" Type="http://schemas.openxmlformats.org/officeDocument/2006/relationships/hyperlink" Target="http://paperpile.com/b/hqnLqQ/veAaL" TargetMode="External"/><Relationship Id="rId725" Type="http://schemas.openxmlformats.org/officeDocument/2006/relationships/hyperlink" Target="http://paperpile.com/b/hqnLqQ/gpuQm" TargetMode="External"/><Relationship Id="rId967" Type="http://schemas.openxmlformats.org/officeDocument/2006/relationships/hyperlink" Target="http://paperpile.com/b/hqnLqQ/veAaL" TargetMode="External"/><Relationship Id="rId724" Type="http://schemas.openxmlformats.org/officeDocument/2006/relationships/hyperlink" Target="http://paperpile.com/b/hqnLqQ/gpuQm" TargetMode="External"/><Relationship Id="rId966" Type="http://schemas.openxmlformats.org/officeDocument/2006/relationships/hyperlink" Target="http://paperpile.com/b/hqnLqQ/veAaL" TargetMode="External"/><Relationship Id="rId69" Type="http://schemas.openxmlformats.org/officeDocument/2006/relationships/hyperlink" Target="https://paperpile.com/c/hqnLqQ/eLLr1" TargetMode="External"/><Relationship Id="rId961" Type="http://schemas.openxmlformats.org/officeDocument/2006/relationships/hyperlink" Target="http://paperpile.com/b/hqnLqQ/tfw6T" TargetMode="External"/><Relationship Id="rId960" Type="http://schemas.openxmlformats.org/officeDocument/2006/relationships/hyperlink" Target="http://paperpile.com/b/hqnLqQ/tfw6T" TargetMode="External"/><Relationship Id="rId51" Type="http://schemas.openxmlformats.org/officeDocument/2006/relationships/hyperlink" Target="https://paperpile.com/c/hqnLqQ/9TLSP" TargetMode="External"/><Relationship Id="rId50" Type="http://schemas.openxmlformats.org/officeDocument/2006/relationships/hyperlink" Target="https://paperpile.com/c/hqnLqQ/Lkwvg" TargetMode="External"/><Relationship Id="rId53" Type="http://schemas.openxmlformats.org/officeDocument/2006/relationships/hyperlink" Target="https://paperpile.com/c/hqnLqQ/bGUNw" TargetMode="External"/><Relationship Id="rId52" Type="http://schemas.openxmlformats.org/officeDocument/2006/relationships/hyperlink" Target="https://paperpile.com/c/hqnLqQ/n9Uaz" TargetMode="External"/><Relationship Id="rId55" Type="http://schemas.openxmlformats.org/officeDocument/2006/relationships/hyperlink" Target="https://paperpile.com/c/hqnLqQ/gnf6T+VgMMY+C8xjE" TargetMode="External"/><Relationship Id="rId54" Type="http://schemas.openxmlformats.org/officeDocument/2006/relationships/hyperlink" Target="https://paperpile.com/c/hqnLqQ/VgMMY" TargetMode="External"/><Relationship Id="rId57" Type="http://schemas.openxmlformats.org/officeDocument/2006/relationships/hyperlink" Target="https://paperpile.com/c/hqnLqQ/VgMMY" TargetMode="External"/><Relationship Id="rId56" Type="http://schemas.openxmlformats.org/officeDocument/2006/relationships/hyperlink" Target="https://paperpile.com/c/hqnLqQ/IbNtM+zSSa7" TargetMode="External"/><Relationship Id="rId719" Type="http://schemas.openxmlformats.org/officeDocument/2006/relationships/hyperlink" Target="http://paperpile.com/b/hqnLqQ/TA8vQ" TargetMode="External"/><Relationship Id="rId718" Type="http://schemas.openxmlformats.org/officeDocument/2006/relationships/hyperlink" Target="http://paperpile.com/b/hqnLqQ/TA8vQ" TargetMode="External"/><Relationship Id="rId717" Type="http://schemas.openxmlformats.org/officeDocument/2006/relationships/hyperlink" Target="http://paperpile.com/b/hqnLqQ/TA8vQ" TargetMode="External"/><Relationship Id="rId959" Type="http://schemas.openxmlformats.org/officeDocument/2006/relationships/hyperlink" Target="http://paperpile.com/b/hqnLqQ/tfw6T" TargetMode="External"/><Relationship Id="rId712" Type="http://schemas.openxmlformats.org/officeDocument/2006/relationships/hyperlink" Target="http://paperpile.com/b/hqnLqQ/6OVBv" TargetMode="External"/><Relationship Id="rId954" Type="http://schemas.openxmlformats.org/officeDocument/2006/relationships/hyperlink" Target="http://paperpile.com/b/hqnLqQ/5danp" TargetMode="External"/><Relationship Id="rId711" Type="http://schemas.openxmlformats.org/officeDocument/2006/relationships/hyperlink" Target="http://paperpile.com/b/hqnLqQ/6OVBv" TargetMode="External"/><Relationship Id="rId953" Type="http://schemas.openxmlformats.org/officeDocument/2006/relationships/hyperlink" Target="http://paperpile.com/b/hqnLqQ/5danp" TargetMode="External"/><Relationship Id="rId710" Type="http://schemas.openxmlformats.org/officeDocument/2006/relationships/hyperlink" Target="http://paperpile.com/b/hqnLqQ/6OVBv" TargetMode="External"/><Relationship Id="rId952" Type="http://schemas.openxmlformats.org/officeDocument/2006/relationships/hyperlink" Target="http://paperpile.com/b/hqnLqQ/5danp" TargetMode="External"/><Relationship Id="rId951" Type="http://schemas.openxmlformats.org/officeDocument/2006/relationships/hyperlink" Target="http://paperpile.com/b/hqnLqQ/5danp" TargetMode="External"/><Relationship Id="rId716" Type="http://schemas.openxmlformats.org/officeDocument/2006/relationships/hyperlink" Target="http://paperpile.com/b/hqnLqQ/TA8vQ" TargetMode="External"/><Relationship Id="rId958" Type="http://schemas.openxmlformats.org/officeDocument/2006/relationships/hyperlink" Target="http://paperpile.com/b/hqnLqQ/tfw6T" TargetMode="External"/><Relationship Id="rId715" Type="http://schemas.openxmlformats.org/officeDocument/2006/relationships/hyperlink" Target="http://paperpile.com/b/hqnLqQ/TA8vQ" TargetMode="External"/><Relationship Id="rId957" Type="http://schemas.openxmlformats.org/officeDocument/2006/relationships/hyperlink" Target="http://paperpile.com/b/hqnLqQ/tfw6T" TargetMode="External"/><Relationship Id="rId714" Type="http://schemas.openxmlformats.org/officeDocument/2006/relationships/hyperlink" Target="http://paperpile.com/b/hqnLqQ/TA8vQ" TargetMode="External"/><Relationship Id="rId956" Type="http://schemas.openxmlformats.org/officeDocument/2006/relationships/hyperlink" Target="http://paperpile.com/b/hqnLqQ/tfw6T" TargetMode="External"/><Relationship Id="rId713" Type="http://schemas.openxmlformats.org/officeDocument/2006/relationships/hyperlink" Target="http://paperpile.com/b/hqnLqQ/TA8vQ" TargetMode="External"/><Relationship Id="rId955" Type="http://schemas.openxmlformats.org/officeDocument/2006/relationships/hyperlink" Target="http://paperpile.com/b/hqnLqQ/5danp" TargetMode="External"/><Relationship Id="rId59" Type="http://schemas.openxmlformats.org/officeDocument/2006/relationships/hyperlink" Target="https://paperpile.com/c/hqnLqQ/VgMMY+0JrfH" TargetMode="External"/><Relationship Id="rId58" Type="http://schemas.openxmlformats.org/officeDocument/2006/relationships/hyperlink" Target="https://paperpile.com/c/hqnLqQ/VgMMY" TargetMode="External"/><Relationship Id="rId950" Type="http://schemas.openxmlformats.org/officeDocument/2006/relationships/hyperlink" Target="http://paperpile.com/b/hqnLqQ/5danp" TargetMode="External"/><Relationship Id="rId590" Type="http://schemas.openxmlformats.org/officeDocument/2006/relationships/hyperlink" Target="http://paperpile.com/b/hqnLqQ/LPCGB" TargetMode="External"/><Relationship Id="rId107" Type="http://schemas.openxmlformats.org/officeDocument/2006/relationships/hyperlink" Target="https://paperpile.com/c/hqnLqQ/6hnh9+MNI8E" TargetMode="External"/><Relationship Id="rId349" Type="http://schemas.openxmlformats.org/officeDocument/2006/relationships/hyperlink" Target="http://paperpile.com/b/hqnLqQ/7mnhI" TargetMode="External"/><Relationship Id="rId106" Type="http://schemas.openxmlformats.org/officeDocument/2006/relationships/hyperlink" Target="https://paperpile.com/c/hqnLqQ/3Th9" TargetMode="External"/><Relationship Id="rId348" Type="http://schemas.openxmlformats.org/officeDocument/2006/relationships/hyperlink" Target="http://paperpile.com/b/hqnLqQ/mzebk" TargetMode="External"/><Relationship Id="rId105" Type="http://schemas.openxmlformats.org/officeDocument/2006/relationships/hyperlink" Target="https://paperpile.com/c/hqnLqQ/DlY7" TargetMode="External"/><Relationship Id="rId347" Type="http://schemas.openxmlformats.org/officeDocument/2006/relationships/hyperlink" Target="http://paperpile.com/b/hqnLqQ/mzebk" TargetMode="External"/><Relationship Id="rId589" Type="http://schemas.openxmlformats.org/officeDocument/2006/relationships/hyperlink" Target="http://paperpile.com/b/hqnLqQ/LPCGB" TargetMode="External"/><Relationship Id="rId104" Type="http://schemas.openxmlformats.org/officeDocument/2006/relationships/hyperlink" Target="https://paperpile.com/c/hqnLqQ/gzbxt" TargetMode="External"/><Relationship Id="rId346" Type="http://schemas.openxmlformats.org/officeDocument/2006/relationships/hyperlink" Target="http://paperpile.com/b/hqnLqQ/mzebk" TargetMode="External"/><Relationship Id="rId588" Type="http://schemas.openxmlformats.org/officeDocument/2006/relationships/hyperlink" Target="http://paperpile.com/b/hqnLqQ/GhEK2" TargetMode="External"/><Relationship Id="rId109" Type="http://schemas.openxmlformats.org/officeDocument/2006/relationships/hyperlink" Target="https://paperpile.com/c/hqnLqQ/spmY" TargetMode="External"/><Relationship Id="rId1170" Type="http://schemas.openxmlformats.org/officeDocument/2006/relationships/hyperlink" Target="http://paperpile.com/b/hqnLqQ/eVyLN" TargetMode="External"/><Relationship Id="rId108" Type="http://schemas.openxmlformats.org/officeDocument/2006/relationships/hyperlink" Target="https://paperpile.com/c/hqnLqQ/f2Rv7+6hnh9" TargetMode="External"/><Relationship Id="rId1171" Type="http://schemas.openxmlformats.org/officeDocument/2006/relationships/hyperlink" Target="http://paperpile.com/b/hqnLqQ/eVyLN" TargetMode="External"/><Relationship Id="rId341" Type="http://schemas.openxmlformats.org/officeDocument/2006/relationships/hyperlink" Target="http://paperpile.com/b/hqnLqQ/eB8OS" TargetMode="External"/><Relationship Id="rId583" Type="http://schemas.openxmlformats.org/officeDocument/2006/relationships/hyperlink" Target="http://paperpile.com/b/hqnLqQ/owf11" TargetMode="External"/><Relationship Id="rId1172" Type="http://schemas.openxmlformats.org/officeDocument/2006/relationships/hyperlink" Target="http://paperpile.com/b/hqnLqQ/eVyLN" TargetMode="External"/><Relationship Id="rId340" Type="http://schemas.openxmlformats.org/officeDocument/2006/relationships/hyperlink" Target="http://paperpile.com/b/hqnLqQ/dbi4A" TargetMode="External"/><Relationship Id="rId582" Type="http://schemas.openxmlformats.org/officeDocument/2006/relationships/hyperlink" Target="http://paperpile.com/b/hqnLqQ/owf11" TargetMode="External"/><Relationship Id="rId1173" Type="http://schemas.openxmlformats.org/officeDocument/2006/relationships/hyperlink" Target="http://paperpile.com/b/hqnLqQ/eVyLN" TargetMode="External"/><Relationship Id="rId581" Type="http://schemas.openxmlformats.org/officeDocument/2006/relationships/hyperlink" Target="http://paperpile.com/b/hqnLqQ/owf11" TargetMode="External"/><Relationship Id="rId1174" Type="http://schemas.openxmlformats.org/officeDocument/2006/relationships/hyperlink" Target="http://paperpile.com/b/hqnLqQ/eVyLN" TargetMode="External"/><Relationship Id="rId580" Type="http://schemas.openxmlformats.org/officeDocument/2006/relationships/hyperlink" Target="http://paperpile.com/b/hqnLqQ/owf11" TargetMode="External"/><Relationship Id="rId1175" Type="http://schemas.openxmlformats.org/officeDocument/2006/relationships/hyperlink" Target="http://paperpile.com/b/hqnLqQ/eVyLN" TargetMode="External"/><Relationship Id="rId103" Type="http://schemas.openxmlformats.org/officeDocument/2006/relationships/hyperlink" Target="https://paperpile.com/c/hqnLqQ/5danp+r5iW6" TargetMode="External"/><Relationship Id="rId345" Type="http://schemas.openxmlformats.org/officeDocument/2006/relationships/hyperlink" Target="http://paperpile.com/b/hqnLqQ/eB8OS" TargetMode="External"/><Relationship Id="rId587" Type="http://schemas.openxmlformats.org/officeDocument/2006/relationships/hyperlink" Target="http://paperpile.com/b/hqnLqQ/GhEK2" TargetMode="External"/><Relationship Id="rId1176" Type="http://schemas.openxmlformats.org/officeDocument/2006/relationships/hyperlink" Target="http://paperpile.com/b/hqnLqQ/eVyLN" TargetMode="External"/><Relationship Id="rId102" Type="http://schemas.openxmlformats.org/officeDocument/2006/relationships/hyperlink" Target="https://paperpile.com/c/hqnLqQ/5danp+VTvWq+VGqUa" TargetMode="External"/><Relationship Id="rId344" Type="http://schemas.openxmlformats.org/officeDocument/2006/relationships/hyperlink" Target="http://paperpile.com/b/hqnLqQ/eB8OS" TargetMode="External"/><Relationship Id="rId586" Type="http://schemas.openxmlformats.org/officeDocument/2006/relationships/hyperlink" Target="http://paperpile.com/b/hqnLqQ/GhEK2" TargetMode="External"/><Relationship Id="rId1177" Type="http://schemas.openxmlformats.org/officeDocument/2006/relationships/hyperlink" Target="http://paperpile.com/b/hqnLqQ/mViEN" TargetMode="External"/><Relationship Id="rId101" Type="http://schemas.openxmlformats.org/officeDocument/2006/relationships/hyperlink" Target="https://paperpile.com/c/hqnLqQ/oGgkh+FqI9e" TargetMode="External"/><Relationship Id="rId343" Type="http://schemas.openxmlformats.org/officeDocument/2006/relationships/hyperlink" Target="http://paperpile.com/b/hqnLqQ/eB8OS" TargetMode="External"/><Relationship Id="rId585" Type="http://schemas.openxmlformats.org/officeDocument/2006/relationships/hyperlink" Target="http://paperpile.com/b/hqnLqQ/owf11" TargetMode="External"/><Relationship Id="rId1178" Type="http://schemas.openxmlformats.org/officeDocument/2006/relationships/hyperlink" Target="http://paperpile.com/b/hqnLqQ/mViEN" TargetMode="External"/><Relationship Id="rId100" Type="http://schemas.openxmlformats.org/officeDocument/2006/relationships/hyperlink" Target="https://paperpile.com/c/hqnLqQ/spmY" TargetMode="External"/><Relationship Id="rId342" Type="http://schemas.openxmlformats.org/officeDocument/2006/relationships/hyperlink" Target="http://paperpile.com/b/hqnLqQ/eB8OS" TargetMode="External"/><Relationship Id="rId584" Type="http://schemas.openxmlformats.org/officeDocument/2006/relationships/hyperlink" Target="http://paperpile.com/b/hqnLqQ/owf11" TargetMode="External"/><Relationship Id="rId1179" Type="http://schemas.openxmlformats.org/officeDocument/2006/relationships/hyperlink" Target="http://paperpile.com/b/hqnLqQ/mViEN" TargetMode="External"/><Relationship Id="rId1169" Type="http://schemas.openxmlformats.org/officeDocument/2006/relationships/hyperlink" Target="http://paperpile.com/b/hqnLqQ/f2Rv7" TargetMode="External"/><Relationship Id="rId338" Type="http://schemas.openxmlformats.org/officeDocument/2006/relationships/hyperlink" Target="http://paperpile.com/b/hqnLqQ/dbi4A" TargetMode="External"/><Relationship Id="rId337" Type="http://schemas.openxmlformats.org/officeDocument/2006/relationships/hyperlink" Target="http://paperpile.com/b/hqnLqQ/dbi4A" TargetMode="External"/><Relationship Id="rId579" Type="http://schemas.openxmlformats.org/officeDocument/2006/relationships/hyperlink" Target="http://paperpile.com/b/hqnLqQ/owf11" TargetMode="External"/><Relationship Id="rId336" Type="http://schemas.openxmlformats.org/officeDocument/2006/relationships/hyperlink" Target="http://paperpile.com/b/hqnLqQ/dbi4A" TargetMode="External"/><Relationship Id="rId578" Type="http://schemas.openxmlformats.org/officeDocument/2006/relationships/hyperlink" Target="http://paperpile.com/b/hqnLqQ/gWBuy" TargetMode="External"/><Relationship Id="rId335" Type="http://schemas.openxmlformats.org/officeDocument/2006/relationships/hyperlink" Target="http://paperpile.com/b/hqnLqQ/bjvX4" TargetMode="External"/><Relationship Id="rId577" Type="http://schemas.openxmlformats.org/officeDocument/2006/relationships/hyperlink" Target="http://paperpile.com/b/hqnLqQ/gWBuy" TargetMode="External"/><Relationship Id="rId339" Type="http://schemas.openxmlformats.org/officeDocument/2006/relationships/hyperlink" Target="http://paperpile.com/b/hqnLqQ/dbi4A" TargetMode="External"/><Relationship Id="rId1160" Type="http://schemas.openxmlformats.org/officeDocument/2006/relationships/hyperlink" Target="http://paperpile.com/b/hqnLqQ/MNI8E" TargetMode="External"/><Relationship Id="rId330" Type="http://schemas.openxmlformats.org/officeDocument/2006/relationships/hyperlink" Target="http://paperpile.com/b/hqnLqQ/1kMDv" TargetMode="External"/><Relationship Id="rId572" Type="http://schemas.openxmlformats.org/officeDocument/2006/relationships/hyperlink" Target="http://paperpile.com/b/hqnLqQ/gWBuy" TargetMode="External"/><Relationship Id="rId1161" Type="http://schemas.openxmlformats.org/officeDocument/2006/relationships/hyperlink" Target="http://paperpile.com/b/hqnLqQ/MNI8E" TargetMode="External"/><Relationship Id="rId571" Type="http://schemas.openxmlformats.org/officeDocument/2006/relationships/hyperlink" Target="http://paperpile.com/b/hqnLqQ/D9KYI" TargetMode="External"/><Relationship Id="rId1162" Type="http://schemas.openxmlformats.org/officeDocument/2006/relationships/hyperlink" Target="http://paperpile.com/b/hqnLqQ/MNI8E" TargetMode="External"/><Relationship Id="rId570" Type="http://schemas.openxmlformats.org/officeDocument/2006/relationships/hyperlink" Target="http://paperpile.com/b/hqnLqQ/D9KYI" TargetMode="External"/><Relationship Id="rId1163" Type="http://schemas.openxmlformats.org/officeDocument/2006/relationships/hyperlink" Target="http://paperpile.com/b/hqnLqQ/f2Rv7" TargetMode="External"/><Relationship Id="rId1164" Type="http://schemas.openxmlformats.org/officeDocument/2006/relationships/hyperlink" Target="http://paperpile.com/b/hqnLqQ/f2Rv7" TargetMode="External"/><Relationship Id="rId334" Type="http://schemas.openxmlformats.org/officeDocument/2006/relationships/hyperlink" Target="http://paperpile.com/b/hqnLqQ/bjvX4" TargetMode="External"/><Relationship Id="rId576" Type="http://schemas.openxmlformats.org/officeDocument/2006/relationships/hyperlink" Target="http://paperpile.com/b/hqnLqQ/gWBuy" TargetMode="External"/><Relationship Id="rId1165" Type="http://schemas.openxmlformats.org/officeDocument/2006/relationships/hyperlink" Target="http://paperpile.com/b/hqnLqQ/f2Rv7" TargetMode="External"/><Relationship Id="rId333" Type="http://schemas.openxmlformats.org/officeDocument/2006/relationships/hyperlink" Target="http://paperpile.com/b/hqnLqQ/bjvX4" TargetMode="External"/><Relationship Id="rId575" Type="http://schemas.openxmlformats.org/officeDocument/2006/relationships/hyperlink" Target="http://paperpile.com/b/hqnLqQ/gWBuy" TargetMode="External"/><Relationship Id="rId1166" Type="http://schemas.openxmlformats.org/officeDocument/2006/relationships/hyperlink" Target="http://paperpile.com/b/hqnLqQ/f2Rv7" TargetMode="External"/><Relationship Id="rId332" Type="http://schemas.openxmlformats.org/officeDocument/2006/relationships/hyperlink" Target="http://paperpile.com/b/hqnLqQ/bjvX4" TargetMode="External"/><Relationship Id="rId574" Type="http://schemas.openxmlformats.org/officeDocument/2006/relationships/hyperlink" Target="http://paperpile.com/b/hqnLqQ/gWBuy" TargetMode="External"/><Relationship Id="rId1167" Type="http://schemas.openxmlformats.org/officeDocument/2006/relationships/hyperlink" Target="http://paperpile.com/b/hqnLqQ/f2Rv7" TargetMode="External"/><Relationship Id="rId331" Type="http://schemas.openxmlformats.org/officeDocument/2006/relationships/hyperlink" Target="http://paperpile.com/b/hqnLqQ/bjvX4" TargetMode="External"/><Relationship Id="rId573" Type="http://schemas.openxmlformats.org/officeDocument/2006/relationships/hyperlink" Target="http://paperpile.com/b/hqnLqQ/gWBuy" TargetMode="External"/><Relationship Id="rId1168" Type="http://schemas.openxmlformats.org/officeDocument/2006/relationships/hyperlink" Target="http://paperpile.com/b/hqnLqQ/f2Rv7" TargetMode="External"/><Relationship Id="rId370" Type="http://schemas.openxmlformats.org/officeDocument/2006/relationships/hyperlink" Target="http://paperpile.com/b/hqnLqQ/RgQj9" TargetMode="External"/><Relationship Id="rId129" Type="http://schemas.openxmlformats.org/officeDocument/2006/relationships/hyperlink" Target="https://paperpile.com/c/hqnLqQ/TNMqU" TargetMode="External"/><Relationship Id="rId128" Type="http://schemas.openxmlformats.org/officeDocument/2006/relationships/hyperlink" Target="https://paperpile.com/c/hqnLqQ/2oozR" TargetMode="External"/><Relationship Id="rId127" Type="http://schemas.openxmlformats.org/officeDocument/2006/relationships/hyperlink" Target="https://paperpile.com/c/hqnLqQ/eK1xv" TargetMode="External"/><Relationship Id="rId369" Type="http://schemas.openxmlformats.org/officeDocument/2006/relationships/hyperlink" Target="http://paperpile.com/b/hqnLqQ/RgQj9" TargetMode="External"/><Relationship Id="rId126" Type="http://schemas.openxmlformats.org/officeDocument/2006/relationships/image" Target="media/image66.png"/><Relationship Id="rId368" Type="http://schemas.openxmlformats.org/officeDocument/2006/relationships/hyperlink" Target="http://paperpile.com/b/hqnLqQ/RgQj9" TargetMode="External"/><Relationship Id="rId1190" Type="http://schemas.openxmlformats.org/officeDocument/2006/relationships/hyperlink" Target="http://paperpile.com/b/hqnLqQ/9rSCq" TargetMode="External"/><Relationship Id="rId1191" Type="http://schemas.openxmlformats.org/officeDocument/2006/relationships/hyperlink" Target="http://paperpile.com/b/hqnLqQ/9rSCq" TargetMode="External"/><Relationship Id="rId1192" Type="http://schemas.openxmlformats.org/officeDocument/2006/relationships/hyperlink" Target="http://paperpile.com/b/hqnLqQ/9rSCq" TargetMode="External"/><Relationship Id="rId1193" Type="http://schemas.openxmlformats.org/officeDocument/2006/relationships/hyperlink" Target="http://paperpile.com/b/hqnLqQ/9rSCq" TargetMode="External"/><Relationship Id="rId121" Type="http://schemas.openxmlformats.org/officeDocument/2006/relationships/hyperlink" Target="https://paperpile.com/c/hqnLqQ/9rSCq+zzrMr" TargetMode="External"/><Relationship Id="rId363" Type="http://schemas.openxmlformats.org/officeDocument/2006/relationships/hyperlink" Target="http://paperpile.com/b/hqnLqQ/q00ad" TargetMode="External"/><Relationship Id="rId1194" Type="http://schemas.openxmlformats.org/officeDocument/2006/relationships/hyperlink" Target="http://paperpile.com/b/hqnLqQ/zzrMr" TargetMode="External"/><Relationship Id="rId120" Type="http://schemas.openxmlformats.org/officeDocument/2006/relationships/hyperlink" Target="https://paperpile.com/c/hqnLqQ/5danp+I6Awn+jnKBm" TargetMode="External"/><Relationship Id="rId362" Type="http://schemas.openxmlformats.org/officeDocument/2006/relationships/hyperlink" Target="http://paperpile.com/b/hqnLqQ/q00ad" TargetMode="External"/><Relationship Id="rId1195" Type="http://schemas.openxmlformats.org/officeDocument/2006/relationships/hyperlink" Target="http://paperpile.com/b/hqnLqQ/zzrMr" TargetMode="External"/><Relationship Id="rId361" Type="http://schemas.openxmlformats.org/officeDocument/2006/relationships/hyperlink" Target="http://paperpile.com/b/hqnLqQ/6aRU5" TargetMode="External"/><Relationship Id="rId1196" Type="http://schemas.openxmlformats.org/officeDocument/2006/relationships/hyperlink" Target="http://paperpile.com/b/hqnLqQ/zzrMr" TargetMode="External"/><Relationship Id="rId360" Type="http://schemas.openxmlformats.org/officeDocument/2006/relationships/hyperlink" Target="http://paperpile.com/b/hqnLqQ/6aRU5" TargetMode="External"/><Relationship Id="rId1197" Type="http://schemas.openxmlformats.org/officeDocument/2006/relationships/hyperlink" Target="http://paperpile.com/b/hqnLqQ/zzrMr" TargetMode="External"/><Relationship Id="rId125" Type="http://schemas.openxmlformats.org/officeDocument/2006/relationships/hyperlink" Target="https://paperpile.com/c/hqnLqQ/AnR16" TargetMode="External"/><Relationship Id="rId367" Type="http://schemas.openxmlformats.org/officeDocument/2006/relationships/hyperlink" Target="http://paperpile.com/b/hqnLqQ/RgQj9" TargetMode="External"/><Relationship Id="rId1198" Type="http://schemas.openxmlformats.org/officeDocument/2006/relationships/hyperlink" Target="http://paperpile.com/b/hqnLqQ/zzrMr" TargetMode="External"/><Relationship Id="rId124" Type="http://schemas.openxmlformats.org/officeDocument/2006/relationships/hyperlink" Target="https://paperpile.com/c/hqnLqQ/m3c0y+0uPIW" TargetMode="External"/><Relationship Id="rId366" Type="http://schemas.openxmlformats.org/officeDocument/2006/relationships/hyperlink" Target="http://paperpile.com/b/hqnLqQ/q00ad" TargetMode="External"/><Relationship Id="rId1199" Type="http://schemas.openxmlformats.org/officeDocument/2006/relationships/hyperlink" Target="http://paperpile.com/b/hqnLqQ/AnR16" TargetMode="External"/><Relationship Id="rId123" Type="http://schemas.openxmlformats.org/officeDocument/2006/relationships/hyperlink" Target="https://paperpile.com/c/hqnLqQ/AnR16" TargetMode="External"/><Relationship Id="rId365" Type="http://schemas.openxmlformats.org/officeDocument/2006/relationships/hyperlink" Target="http://paperpile.com/b/hqnLqQ/q00ad" TargetMode="External"/><Relationship Id="rId122" Type="http://schemas.openxmlformats.org/officeDocument/2006/relationships/image" Target="media/image57.png"/><Relationship Id="rId364" Type="http://schemas.openxmlformats.org/officeDocument/2006/relationships/hyperlink" Target="http://paperpile.com/b/hqnLqQ/q00ad" TargetMode="External"/><Relationship Id="rId95" Type="http://schemas.openxmlformats.org/officeDocument/2006/relationships/hyperlink" Target="https://paperpile.com/c/hqnLqQ/5danp" TargetMode="External"/><Relationship Id="rId94" Type="http://schemas.openxmlformats.org/officeDocument/2006/relationships/hyperlink" Target="https://paperpile.com/c/hqnLqQ/ewRM1+oRaH6+PsVeU" TargetMode="External"/><Relationship Id="rId97" Type="http://schemas.openxmlformats.org/officeDocument/2006/relationships/hyperlink" Target="https://paperpile.com/c/hqnLqQ/jnKBm" TargetMode="External"/><Relationship Id="rId96" Type="http://schemas.openxmlformats.org/officeDocument/2006/relationships/hyperlink" Target="https://paperpile.com/c/hqnLqQ/3Th9" TargetMode="External"/><Relationship Id="rId99" Type="http://schemas.openxmlformats.org/officeDocument/2006/relationships/hyperlink" Target="https://paperpile.com/c/hqnLqQ/3Th9" TargetMode="External"/><Relationship Id="rId98" Type="http://schemas.openxmlformats.org/officeDocument/2006/relationships/hyperlink" Target="https://paperpile.com/c/hqnLqQ/9PRMH+wOVd7" TargetMode="External"/><Relationship Id="rId91" Type="http://schemas.openxmlformats.org/officeDocument/2006/relationships/hyperlink" Target="https://paperpile.com/c/hqnLqQ/ewRM1" TargetMode="External"/><Relationship Id="rId90" Type="http://schemas.openxmlformats.org/officeDocument/2006/relationships/hyperlink" Target="https://paperpile.com/c/hqnLqQ/r5iW6+5danp" TargetMode="External"/><Relationship Id="rId93" Type="http://schemas.openxmlformats.org/officeDocument/2006/relationships/hyperlink" Target="https://paperpile.com/c/hqnLqQ/Ok2Cw" TargetMode="External"/><Relationship Id="rId92" Type="http://schemas.openxmlformats.org/officeDocument/2006/relationships/hyperlink" Target="https://paperpile.com/c/hqnLqQ/71w4f+oRaH6" TargetMode="External"/><Relationship Id="rId118" Type="http://schemas.openxmlformats.org/officeDocument/2006/relationships/hyperlink" Target="https://paperpile.com/c/hqnLqQ/9O9CJ" TargetMode="External"/><Relationship Id="rId117" Type="http://schemas.openxmlformats.org/officeDocument/2006/relationships/image" Target="media/image55.png"/><Relationship Id="rId359" Type="http://schemas.openxmlformats.org/officeDocument/2006/relationships/hyperlink" Target="http://paperpile.com/b/hqnLqQ/6aRU5" TargetMode="External"/><Relationship Id="rId116" Type="http://schemas.openxmlformats.org/officeDocument/2006/relationships/hyperlink" Target="https://paperpile.com/c/hqnLqQ/jnKBm" TargetMode="External"/><Relationship Id="rId358" Type="http://schemas.openxmlformats.org/officeDocument/2006/relationships/hyperlink" Target="http://paperpile.com/b/hqnLqQ/6aRU5" TargetMode="External"/><Relationship Id="rId115" Type="http://schemas.openxmlformats.org/officeDocument/2006/relationships/hyperlink" Target="https://paperpile.com/c/hqnLqQ/spmY" TargetMode="External"/><Relationship Id="rId357" Type="http://schemas.openxmlformats.org/officeDocument/2006/relationships/hyperlink" Target="http://paperpile.com/b/hqnLqQ/6aRU5" TargetMode="External"/><Relationship Id="rId599" Type="http://schemas.openxmlformats.org/officeDocument/2006/relationships/hyperlink" Target="http://paperpile.com/b/hqnLqQ/lvyLC" TargetMode="External"/><Relationship Id="rId1180" Type="http://schemas.openxmlformats.org/officeDocument/2006/relationships/hyperlink" Target="http://paperpile.com/b/hqnLqQ/mViEN" TargetMode="External"/><Relationship Id="rId1181" Type="http://schemas.openxmlformats.org/officeDocument/2006/relationships/hyperlink" Target="http://paperpile.com/b/hqnLqQ/mViEN" TargetMode="External"/><Relationship Id="rId119" Type="http://schemas.openxmlformats.org/officeDocument/2006/relationships/hyperlink" Target="https://paperpile.com/c/hqnLqQ/9O9CJ+wv8hC" TargetMode="External"/><Relationship Id="rId1182" Type="http://schemas.openxmlformats.org/officeDocument/2006/relationships/hyperlink" Target="http://paperpile.com/b/hqnLqQ/mViEN" TargetMode="External"/><Relationship Id="rId110" Type="http://schemas.openxmlformats.org/officeDocument/2006/relationships/hyperlink" Target="https://paperpile.com/c/hqnLqQ/MNI8E" TargetMode="External"/><Relationship Id="rId352" Type="http://schemas.openxmlformats.org/officeDocument/2006/relationships/hyperlink" Target="http://paperpile.com/b/hqnLqQ/7mnhI" TargetMode="External"/><Relationship Id="rId594" Type="http://schemas.openxmlformats.org/officeDocument/2006/relationships/hyperlink" Target="http://paperpile.com/b/hqnLqQ/lvyLC" TargetMode="External"/><Relationship Id="rId1183" Type="http://schemas.openxmlformats.org/officeDocument/2006/relationships/hyperlink" Target="http://paperpile.com/b/hqnLqQ/mViEN" TargetMode="External"/><Relationship Id="rId351" Type="http://schemas.openxmlformats.org/officeDocument/2006/relationships/hyperlink" Target="http://paperpile.com/b/hqnLqQ/7mnhI" TargetMode="External"/><Relationship Id="rId593" Type="http://schemas.openxmlformats.org/officeDocument/2006/relationships/hyperlink" Target="http://paperpile.com/b/hqnLqQ/LPCGB" TargetMode="External"/><Relationship Id="rId1184" Type="http://schemas.openxmlformats.org/officeDocument/2006/relationships/hyperlink" Target="http://paperpile.com/b/hqnLqQ/wv8hC" TargetMode="External"/><Relationship Id="rId350" Type="http://schemas.openxmlformats.org/officeDocument/2006/relationships/hyperlink" Target="http://paperpile.com/b/hqnLqQ/7mnhI" TargetMode="External"/><Relationship Id="rId592" Type="http://schemas.openxmlformats.org/officeDocument/2006/relationships/hyperlink" Target="http://paperpile.com/b/hqnLqQ/LPCGB" TargetMode="External"/><Relationship Id="rId1185" Type="http://schemas.openxmlformats.org/officeDocument/2006/relationships/hyperlink" Target="http://paperpile.com/b/hqnLqQ/wv8hC" TargetMode="External"/><Relationship Id="rId591" Type="http://schemas.openxmlformats.org/officeDocument/2006/relationships/hyperlink" Target="http://paperpile.com/b/hqnLqQ/LPCGB" TargetMode="External"/><Relationship Id="rId1186" Type="http://schemas.openxmlformats.org/officeDocument/2006/relationships/hyperlink" Target="http://paperpile.com/b/hqnLqQ/wv8hC" TargetMode="External"/><Relationship Id="rId114" Type="http://schemas.openxmlformats.org/officeDocument/2006/relationships/hyperlink" Target="https://paperpile.com/c/hqnLqQ/9O9CJ" TargetMode="External"/><Relationship Id="rId356" Type="http://schemas.openxmlformats.org/officeDocument/2006/relationships/hyperlink" Target="http://paperpile.com/b/hqnLqQ/zChYj" TargetMode="External"/><Relationship Id="rId598" Type="http://schemas.openxmlformats.org/officeDocument/2006/relationships/hyperlink" Target="http://paperpile.com/b/hqnLqQ/lvyLC" TargetMode="External"/><Relationship Id="rId1187" Type="http://schemas.openxmlformats.org/officeDocument/2006/relationships/hyperlink" Target="http://paperpile.com/b/hqnLqQ/wv8hC" TargetMode="External"/><Relationship Id="rId113" Type="http://schemas.openxmlformats.org/officeDocument/2006/relationships/hyperlink" Target="https://paperpile.com/c/hqnLqQ/jWTHJ+eVyLN+mViEN" TargetMode="External"/><Relationship Id="rId355" Type="http://schemas.openxmlformats.org/officeDocument/2006/relationships/hyperlink" Target="http://paperpile.com/b/hqnLqQ/zChYj" TargetMode="External"/><Relationship Id="rId597" Type="http://schemas.openxmlformats.org/officeDocument/2006/relationships/hyperlink" Target="http://paperpile.com/b/hqnLqQ/lvyLC" TargetMode="External"/><Relationship Id="rId1188" Type="http://schemas.openxmlformats.org/officeDocument/2006/relationships/hyperlink" Target="http://paperpile.com/b/hqnLqQ/wv8hC" TargetMode="External"/><Relationship Id="rId112" Type="http://schemas.openxmlformats.org/officeDocument/2006/relationships/hyperlink" Target="https://paperpile.com/c/hqnLqQ/MNI8E+6hnh9" TargetMode="External"/><Relationship Id="rId354" Type="http://schemas.openxmlformats.org/officeDocument/2006/relationships/hyperlink" Target="http://paperpile.com/b/hqnLqQ/zChYj" TargetMode="External"/><Relationship Id="rId596" Type="http://schemas.openxmlformats.org/officeDocument/2006/relationships/hyperlink" Target="http://paperpile.com/b/hqnLqQ/lvyLC" TargetMode="External"/><Relationship Id="rId1189" Type="http://schemas.openxmlformats.org/officeDocument/2006/relationships/hyperlink" Target="http://paperpile.com/b/hqnLqQ/9rSCq" TargetMode="External"/><Relationship Id="rId111" Type="http://schemas.openxmlformats.org/officeDocument/2006/relationships/hyperlink" Target="https://paperpile.com/c/hqnLqQ/6hnh9" TargetMode="External"/><Relationship Id="rId353" Type="http://schemas.openxmlformats.org/officeDocument/2006/relationships/hyperlink" Target="http://paperpile.com/b/hqnLqQ/7mnhI" TargetMode="External"/><Relationship Id="rId595" Type="http://schemas.openxmlformats.org/officeDocument/2006/relationships/hyperlink" Target="http://paperpile.com/b/hqnLqQ/lvyLC" TargetMode="External"/><Relationship Id="rId1136" Type="http://schemas.openxmlformats.org/officeDocument/2006/relationships/hyperlink" Target="http://paperpile.com/b/hqnLqQ/wOVd7" TargetMode="External"/><Relationship Id="rId1137" Type="http://schemas.openxmlformats.org/officeDocument/2006/relationships/hyperlink" Target="http://paperpile.com/b/hqnLqQ/oGgkh" TargetMode="External"/><Relationship Id="rId1138" Type="http://schemas.openxmlformats.org/officeDocument/2006/relationships/hyperlink" Target="http://paperpile.com/b/hqnLqQ/oGgkh" TargetMode="External"/><Relationship Id="rId1139" Type="http://schemas.openxmlformats.org/officeDocument/2006/relationships/hyperlink" Target="http://paperpile.com/b/hqnLqQ/oGgkh" TargetMode="External"/><Relationship Id="rId305" Type="http://schemas.openxmlformats.org/officeDocument/2006/relationships/hyperlink" Target="http://paperpile.com/b/hqnLqQ/4RbPH" TargetMode="External"/><Relationship Id="rId547" Type="http://schemas.openxmlformats.org/officeDocument/2006/relationships/hyperlink" Target="http://paperpile.com/b/hqnLqQ/fu8UO" TargetMode="External"/><Relationship Id="rId789" Type="http://schemas.openxmlformats.org/officeDocument/2006/relationships/hyperlink" Target="http://paperpile.com/b/hqnLqQ/Ik8SB" TargetMode="External"/><Relationship Id="rId304" Type="http://schemas.openxmlformats.org/officeDocument/2006/relationships/hyperlink" Target="http://paperpile.com/b/hqnLqQ/4RbPH" TargetMode="External"/><Relationship Id="rId546" Type="http://schemas.openxmlformats.org/officeDocument/2006/relationships/hyperlink" Target="http://paperpile.com/b/hqnLqQ/fu8UO" TargetMode="External"/><Relationship Id="rId788" Type="http://schemas.openxmlformats.org/officeDocument/2006/relationships/hyperlink" Target="http://paperpile.com/b/hqnLqQ/Ik8SB" TargetMode="External"/><Relationship Id="rId303" Type="http://schemas.openxmlformats.org/officeDocument/2006/relationships/hyperlink" Target="http://paperpile.com/b/hqnLqQ/4RbPH" TargetMode="External"/><Relationship Id="rId545" Type="http://schemas.openxmlformats.org/officeDocument/2006/relationships/hyperlink" Target="http://paperpile.com/b/hqnLqQ/fu8UO" TargetMode="External"/><Relationship Id="rId787" Type="http://schemas.openxmlformats.org/officeDocument/2006/relationships/hyperlink" Target="http://paperpile.com/b/hqnLqQ/zR5Kn" TargetMode="External"/><Relationship Id="rId302" Type="http://schemas.openxmlformats.org/officeDocument/2006/relationships/hyperlink" Target="http://paperpile.com/b/hqnLqQ/1G4IX" TargetMode="External"/><Relationship Id="rId544" Type="http://schemas.openxmlformats.org/officeDocument/2006/relationships/hyperlink" Target="http://paperpile.com/b/hqnLqQ/fu8UO" TargetMode="External"/><Relationship Id="rId786" Type="http://schemas.openxmlformats.org/officeDocument/2006/relationships/hyperlink" Target="http://paperpile.com/b/hqnLqQ/zR5Kn" TargetMode="External"/><Relationship Id="rId309" Type="http://schemas.openxmlformats.org/officeDocument/2006/relationships/hyperlink" Target="http://paperpile.com/b/hqnLqQ/hRn6w" TargetMode="External"/><Relationship Id="rId308" Type="http://schemas.openxmlformats.org/officeDocument/2006/relationships/hyperlink" Target="http://paperpile.com/b/hqnLqQ/e8UES" TargetMode="External"/><Relationship Id="rId307" Type="http://schemas.openxmlformats.org/officeDocument/2006/relationships/hyperlink" Target="http://paperpile.com/b/hqnLqQ/e8UES" TargetMode="External"/><Relationship Id="rId549" Type="http://schemas.openxmlformats.org/officeDocument/2006/relationships/hyperlink" Target="http://paperpile.com/b/hqnLqQ/fu8UO" TargetMode="External"/><Relationship Id="rId306" Type="http://schemas.openxmlformats.org/officeDocument/2006/relationships/hyperlink" Target="http://paperpile.com/b/hqnLqQ/e8UES" TargetMode="External"/><Relationship Id="rId548" Type="http://schemas.openxmlformats.org/officeDocument/2006/relationships/hyperlink" Target="http://paperpile.com/b/hqnLqQ/fu8UO" TargetMode="External"/><Relationship Id="rId781" Type="http://schemas.openxmlformats.org/officeDocument/2006/relationships/hyperlink" Target="http://paperpile.com/b/hqnLqQ/zR5Kn" TargetMode="External"/><Relationship Id="rId780" Type="http://schemas.openxmlformats.org/officeDocument/2006/relationships/hyperlink" Target="http://paperpile.com/b/hqnLqQ/RRCNM" TargetMode="External"/><Relationship Id="rId1130" Type="http://schemas.openxmlformats.org/officeDocument/2006/relationships/hyperlink" Target="http://paperpile.com/b/hqnLqQ/wOVd7" TargetMode="External"/><Relationship Id="rId1131" Type="http://schemas.openxmlformats.org/officeDocument/2006/relationships/hyperlink" Target="http://paperpile.com/b/hqnLqQ/wOVd7" TargetMode="External"/><Relationship Id="rId301" Type="http://schemas.openxmlformats.org/officeDocument/2006/relationships/hyperlink" Target="http://paperpile.com/b/hqnLqQ/1G4IX" TargetMode="External"/><Relationship Id="rId543" Type="http://schemas.openxmlformats.org/officeDocument/2006/relationships/hyperlink" Target="http://paperpile.com/b/hqnLqQ/E47th" TargetMode="External"/><Relationship Id="rId785" Type="http://schemas.openxmlformats.org/officeDocument/2006/relationships/hyperlink" Target="http://paperpile.com/b/hqnLqQ/zR5Kn" TargetMode="External"/><Relationship Id="rId1132" Type="http://schemas.openxmlformats.org/officeDocument/2006/relationships/hyperlink" Target="http://paperpile.com/b/hqnLqQ/wOVd7" TargetMode="External"/><Relationship Id="rId300" Type="http://schemas.openxmlformats.org/officeDocument/2006/relationships/hyperlink" Target="http://paperpile.com/b/hqnLqQ/1G4IX" TargetMode="External"/><Relationship Id="rId542" Type="http://schemas.openxmlformats.org/officeDocument/2006/relationships/hyperlink" Target="http://paperpile.com/b/hqnLqQ/E47th" TargetMode="External"/><Relationship Id="rId784" Type="http://schemas.openxmlformats.org/officeDocument/2006/relationships/hyperlink" Target="http://paperpile.com/b/hqnLqQ/zR5Kn" TargetMode="External"/><Relationship Id="rId1133" Type="http://schemas.openxmlformats.org/officeDocument/2006/relationships/hyperlink" Target="http://paperpile.com/b/hqnLqQ/wOVd7" TargetMode="External"/><Relationship Id="rId541" Type="http://schemas.openxmlformats.org/officeDocument/2006/relationships/hyperlink" Target="http://paperpile.com/b/hqnLqQ/E47th" TargetMode="External"/><Relationship Id="rId783" Type="http://schemas.openxmlformats.org/officeDocument/2006/relationships/hyperlink" Target="http://paperpile.com/b/hqnLqQ/zR5Kn" TargetMode="External"/><Relationship Id="rId1134" Type="http://schemas.openxmlformats.org/officeDocument/2006/relationships/hyperlink" Target="http://paperpile.com/b/hqnLqQ/wOVd7" TargetMode="External"/><Relationship Id="rId540" Type="http://schemas.openxmlformats.org/officeDocument/2006/relationships/hyperlink" Target="http://paperpile.com/b/hqnLqQ/E47th" TargetMode="External"/><Relationship Id="rId782" Type="http://schemas.openxmlformats.org/officeDocument/2006/relationships/hyperlink" Target="http://paperpile.com/b/hqnLqQ/zR5Kn" TargetMode="External"/><Relationship Id="rId1135" Type="http://schemas.openxmlformats.org/officeDocument/2006/relationships/hyperlink" Target="http://paperpile.com/b/hqnLqQ/wOVd7" TargetMode="External"/><Relationship Id="rId1125" Type="http://schemas.openxmlformats.org/officeDocument/2006/relationships/hyperlink" Target="http://paperpile.com/b/hqnLqQ/9PRMH" TargetMode="External"/><Relationship Id="rId1126" Type="http://schemas.openxmlformats.org/officeDocument/2006/relationships/hyperlink" Target="http://paperpile.com/b/hqnLqQ/9PRMH" TargetMode="External"/><Relationship Id="rId1127" Type="http://schemas.openxmlformats.org/officeDocument/2006/relationships/hyperlink" Target="http://paperpile.com/b/hqnLqQ/9PRMH" TargetMode="External"/><Relationship Id="rId1128" Type="http://schemas.openxmlformats.org/officeDocument/2006/relationships/hyperlink" Target="http://paperpile.com/b/hqnLqQ/9PRMH" TargetMode="External"/><Relationship Id="rId1129" Type="http://schemas.openxmlformats.org/officeDocument/2006/relationships/hyperlink" Target="http://paperpile.com/b/hqnLqQ/9PRMH" TargetMode="External"/><Relationship Id="rId536" Type="http://schemas.openxmlformats.org/officeDocument/2006/relationships/hyperlink" Target="http://paperpile.com/b/hqnLqQ/oRczI" TargetMode="External"/><Relationship Id="rId778" Type="http://schemas.openxmlformats.org/officeDocument/2006/relationships/hyperlink" Target="http://paperpile.com/b/hqnLqQ/RRCNM" TargetMode="External"/><Relationship Id="rId535" Type="http://schemas.openxmlformats.org/officeDocument/2006/relationships/hyperlink" Target="http://paperpile.com/b/hqnLqQ/oRczI" TargetMode="External"/><Relationship Id="rId777" Type="http://schemas.openxmlformats.org/officeDocument/2006/relationships/hyperlink" Target="http://paperpile.com/b/hqnLqQ/RRCNM" TargetMode="External"/><Relationship Id="rId534" Type="http://schemas.openxmlformats.org/officeDocument/2006/relationships/hyperlink" Target="http://paperpile.com/b/hqnLqQ/oRczI" TargetMode="External"/><Relationship Id="rId776" Type="http://schemas.openxmlformats.org/officeDocument/2006/relationships/hyperlink" Target="http://paperpile.com/b/hqnLqQ/RRCNM" TargetMode="External"/><Relationship Id="rId533" Type="http://schemas.openxmlformats.org/officeDocument/2006/relationships/hyperlink" Target="http://paperpile.com/b/hqnLqQ/oRczI" TargetMode="External"/><Relationship Id="rId775" Type="http://schemas.openxmlformats.org/officeDocument/2006/relationships/hyperlink" Target="http://paperpile.com/b/hqnLqQ/RRCNM" TargetMode="External"/><Relationship Id="rId539" Type="http://schemas.openxmlformats.org/officeDocument/2006/relationships/hyperlink" Target="http://paperpile.com/b/hqnLqQ/E47th" TargetMode="External"/><Relationship Id="rId538" Type="http://schemas.openxmlformats.org/officeDocument/2006/relationships/hyperlink" Target="http://paperpile.com/b/hqnLqQ/E47th" TargetMode="External"/><Relationship Id="rId537" Type="http://schemas.openxmlformats.org/officeDocument/2006/relationships/hyperlink" Target="http://paperpile.com/b/hqnLqQ/E47th" TargetMode="External"/><Relationship Id="rId779" Type="http://schemas.openxmlformats.org/officeDocument/2006/relationships/hyperlink" Target="http://paperpile.com/b/hqnLqQ/RRCNM" TargetMode="External"/><Relationship Id="rId770" Type="http://schemas.openxmlformats.org/officeDocument/2006/relationships/hyperlink" Target="http://paperpile.com/b/hqnLqQ/HE65i" TargetMode="External"/><Relationship Id="rId1120" Type="http://schemas.openxmlformats.org/officeDocument/2006/relationships/hyperlink" Target="http://paperpile.com/b/hqnLqQ/PsVeU" TargetMode="External"/><Relationship Id="rId532" Type="http://schemas.openxmlformats.org/officeDocument/2006/relationships/hyperlink" Target="http://paperpile.com/b/hqnLqQ/oRczI" TargetMode="External"/><Relationship Id="rId774" Type="http://schemas.openxmlformats.org/officeDocument/2006/relationships/hyperlink" Target="http://paperpile.com/b/hqnLqQ/RRCNM" TargetMode="External"/><Relationship Id="rId1121" Type="http://schemas.openxmlformats.org/officeDocument/2006/relationships/hyperlink" Target="http://paperpile.com/b/hqnLqQ/PsVeU" TargetMode="External"/><Relationship Id="rId531" Type="http://schemas.openxmlformats.org/officeDocument/2006/relationships/hyperlink" Target="http://paperpile.com/b/hqnLqQ/oRczI" TargetMode="External"/><Relationship Id="rId773" Type="http://schemas.openxmlformats.org/officeDocument/2006/relationships/hyperlink" Target="http://paperpile.com/b/hqnLqQ/HE65i" TargetMode="External"/><Relationship Id="rId1122" Type="http://schemas.openxmlformats.org/officeDocument/2006/relationships/hyperlink" Target="http://paperpile.com/b/hqnLqQ/PsVeU" TargetMode="External"/><Relationship Id="rId530" Type="http://schemas.openxmlformats.org/officeDocument/2006/relationships/hyperlink" Target="http://paperpile.com/b/hqnLqQ/oRczI" TargetMode="External"/><Relationship Id="rId772" Type="http://schemas.openxmlformats.org/officeDocument/2006/relationships/hyperlink" Target="http://dx.doi.org/10.1101/gr.267534.120" TargetMode="External"/><Relationship Id="rId1123" Type="http://schemas.openxmlformats.org/officeDocument/2006/relationships/hyperlink" Target="http://paperpile.com/b/hqnLqQ/PsVeU" TargetMode="External"/><Relationship Id="rId771" Type="http://schemas.openxmlformats.org/officeDocument/2006/relationships/hyperlink" Target="http://paperpile.com/b/hqnLqQ/HE65i" TargetMode="External"/><Relationship Id="rId1124" Type="http://schemas.openxmlformats.org/officeDocument/2006/relationships/hyperlink" Target="http://paperpile.com/b/hqnLqQ/PsVeU" TargetMode="External"/><Relationship Id="rId1158" Type="http://schemas.openxmlformats.org/officeDocument/2006/relationships/hyperlink" Target="http://paperpile.com/b/hqnLqQ/MNI8E" TargetMode="External"/><Relationship Id="rId1159" Type="http://schemas.openxmlformats.org/officeDocument/2006/relationships/hyperlink" Target="http://paperpile.com/b/hqnLqQ/MNI8E" TargetMode="External"/><Relationship Id="rId327" Type="http://schemas.openxmlformats.org/officeDocument/2006/relationships/hyperlink" Target="http://paperpile.com/b/hqnLqQ/1kMDv" TargetMode="External"/><Relationship Id="rId569" Type="http://schemas.openxmlformats.org/officeDocument/2006/relationships/hyperlink" Target="http://paperpile.com/b/hqnLqQ/D9KYI" TargetMode="External"/><Relationship Id="rId326" Type="http://schemas.openxmlformats.org/officeDocument/2006/relationships/hyperlink" Target="http://paperpile.com/b/hqnLqQ/1kMDv" TargetMode="External"/><Relationship Id="rId568" Type="http://schemas.openxmlformats.org/officeDocument/2006/relationships/hyperlink" Target="http://paperpile.com/b/hqnLqQ/D9KYI" TargetMode="External"/><Relationship Id="rId325" Type="http://schemas.openxmlformats.org/officeDocument/2006/relationships/hyperlink" Target="http://paperpile.com/b/hqnLqQ/FlXoC" TargetMode="External"/><Relationship Id="rId567" Type="http://schemas.openxmlformats.org/officeDocument/2006/relationships/hyperlink" Target="http://paperpile.com/b/hqnLqQ/D9KYI" TargetMode="External"/><Relationship Id="rId324" Type="http://schemas.openxmlformats.org/officeDocument/2006/relationships/hyperlink" Target="http://paperpile.com/b/hqnLqQ/FlXoC" TargetMode="External"/><Relationship Id="rId566" Type="http://schemas.openxmlformats.org/officeDocument/2006/relationships/hyperlink" Target="http://paperpile.com/b/hqnLqQ/D9KYI" TargetMode="External"/><Relationship Id="rId329" Type="http://schemas.openxmlformats.org/officeDocument/2006/relationships/hyperlink" Target="http://paperpile.com/b/hqnLqQ/1kMDv" TargetMode="External"/><Relationship Id="rId328" Type="http://schemas.openxmlformats.org/officeDocument/2006/relationships/hyperlink" Target="http://paperpile.com/b/hqnLqQ/1kMDv" TargetMode="External"/><Relationship Id="rId561" Type="http://schemas.openxmlformats.org/officeDocument/2006/relationships/hyperlink" Target="http://paperpile.com/b/hqnLqQ/RcjO" TargetMode="External"/><Relationship Id="rId1150" Type="http://schemas.openxmlformats.org/officeDocument/2006/relationships/hyperlink" Target="http://paperpile.com/b/hqnLqQ/DlY7" TargetMode="External"/><Relationship Id="rId560" Type="http://schemas.openxmlformats.org/officeDocument/2006/relationships/hyperlink" Target="http://paperpile.com/b/hqnLqQ/RcjO" TargetMode="External"/><Relationship Id="rId1151" Type="http://schemas.openxmlformats.org/officeDocument/2006/relationships/hyperlink" Target="http://paperpile.com/b/hqnLqQ/DlY7" TargetMode="External"/><Relationship Id="rId1152" Type="http://schemas.openxmlformats.org/officeDocument/2006/relationships/hyperlink" Target="http://paperpile.com/b/hqnLqQ/DlY7" TargetMode="External"/><Relationship Id="rId1153" Type="http://schemas.openxmlformats.org/officeDocument/2006/relationships/hyperlink" Target="http://paperpile.com/b/hqnLqQ/DlY7" TargetMode="External"/><Relationship Id="rId323" Type="http://schemas.openxmlformats.org/officeDocument/2006/relationships/hyperlink" Target="http://paperpile.com/b/hqnLqQ/FlXoC" TargetMode="External"/><Relationship Id="rId565" Type="http://schemas.openxmlformats.org/officeDocument/2006/relationships/hyperlink" Target="http://paperpile.com/b/hqnLqQ/D9KYI" TargetMode="External"/><Relationship Id="rId1154" Type="http://schemas.openxmlformats.org/officeDocument/2006/relationships/hyperlink" Target="http://paperpile.com/b/hqnLqQ/DlY7" TargetMode="External"/><Relationship Id="rId322" Type="http://schemas.openxmlformats.org/officeDocument/2006/relationships/hyperlink" Target="http://paperpile.com/b/hqnLqQ/FlXoC" TargetMode="External"/><Relationship Id="rId564" Type="http://schemas.openxmlformats.org/officeDocument/2006/relationships/hyperlink" Target="http://paperpile.com/b/hqnLqQ/RcjO" TargetMode="External"/><Relationship Id="rId1155" Type="http://schemas.openxmlformats.org/officeDocument/2006/relationships/hyperlink" Target="http://paperpile.com/b/hqnLqQ/DlY7" TargetMode="External"/><Relationship Id="rId321" Type="http://schemas.openxmlformats.org/officeDocument/2006/relationships/hyperlink" Target="http://paperpile.com/b/hqnLqQ/FlXoC" TargetMode="External"/><Relationship Id="rId563" Type="http://schemas.openxmlformats.org/officeDocument/2006/relationships/hyperlink" Target="http://paperpile.com/b/hqnLqQ/RcjO" TargetMode="External"/><Relationship Id="rId1156" Type="http://schemas.openxmlformats.org/officeDocument/2006/relationships/hyperlink" Target="http://paperpile.com/b/hqnLqQ/MNI8E" TargetMode="External"/><Relationship Id="rId320" Type="http://schemas.openxmlformats.org/officeDocument/2006/relationships/hyperlink" Target="http://paperpile.com/b/hqnLqQ/XG0p9" TargetMode="External"/><Relationship Id="rId562" Type="http://schemas.openxmlformats.org/officeDocument/2006/relationships/hyperlink" Target="http://paperpile.com/b/hqnLqQ/RcjO" TargetMode="External"/><Relationship Id="rId1157" Type="http://schemas.openxmlformats.org/officeDocument/2006/relationships/hyperlink" Target="http://paperpile.com/b/hqnLqQ/MNI8E" TargetMode="External"/><Relationship Id="rId1147" Type="http://schemas.openxmlformats.org/officeDocument/2006/relationships/hyperlink" Target="http://paperpile.com/b/hqnLqQ/FqI9e" TargetMode="External"/><Relationship Id="rId1148" Type="http://schemas.openxmlformats.org/officeDocument/2006/relationships/hyperlink" Target="http://paperpile.com/b/hqnLqQ/FqI9e" TargetMode="External"/><Relationship Id="rId1149" Type="http://schemas.openxmlformats.org/officeDocument/2006/relationships/hyperlink" Target="http://paperpile.com/b/hqnLqQ/DlY7" TargetMode="External"/><Relationship Id="rId316" Type="http://schemas.openxmlformats.org/officeDocument/2006/relationships/hyperlink" Target="http://paperpile.com/b/hqnLqQ/2b9vP" TargetMode="External"/><Relationship Id="rId558" Type="http://schemas.openxmlformats.org/officeDocument/2006/relationships/hyperlink" Target="http://paperpile.com/b/hqnLqQ/RcjO" TargetMode="External"/><Relationship Id="rId315" Type="http://schemas.openxmlformats.org/officeDocument/2006/relationships/hyperlink" Target="http://paperpile.com/b/hqnLqQ/2b9vP" TargetMode="External"/><Relationship Id="rId557" Type="http://schemas.openxmlformats.org/officeDocument/2006/relationships/hyperlink" Target="http://paperpile.com/b/hqnLqQ/QtLQE" TargetMode="External"/><Relationship Id="rId799" Type="http://schemas.openxmlformats.org/officeDocument/2006/relationships/hyperlink" Target="http://paperpile.com/b/hqnLqQ/yqoEm" TargetMode="External"/><Relationship Id="rId314" Type="http://schemas.openxmlformats.org/officeDocument/2006/relationships/hyperlink" Target="http://paperpile.com/b/hqnLqQ/13R3k" TargetMode="External"/><Relationship Id="rId556" Type="http://schemas.openxmlformats.org/officeDocument/2006/relationships/hyperlink" Target="http://paperpile.com/b/hqnLqQ/QtLQE" TargetMode="External"/><Relationship Id="rId798" Type="http://schemas.openxmlformats.org/officeDocument/2006/relationships/hyperlink" Target="http://paperpile.com/b/hqnLqQ/yqoEm" TargetMode="External"/><Relationship Id="rId313" Type="http://schemas.openxmlformats.org/officeDocument/2006/relationships/hyperlink" Target="http://paperpile.com/b/hqnLqQ/13R3k" TargetMode="External"/><Relationship Id="rId555" Type="http://schemas.openxmlformats.org/officeDocument/2006/relationships/hyperlink" Target="http://paperpile.com/b/hqnLqQ/QtLQE" TargetMode="External"/><Relationship Id="rId797" Type="http://schemas.openxmlformats.org/officeDocument/2006/relationships/hyperlink" Target="http://paperpile.com/b/hqnLqQ/yqoEm" TargetMode="External"/><Relationship Id="rId319" Type="http://schemas.openxmlformats.org/officeDocument/2006/relationships/hyperlink" Target="http://paperpile.com/b/hqnLqQ/XG0p9" TargetMode="External"/><Relationship Id="rId318" Type="http://schemas.openxmlformats.org/officeDocument/2006/relationships/hyperlink" Target="http://paperpile.com/b/hqnLqQ/XG0p9" TargetMode="External"/><Relationship Id="rId317" Type="http://schemas.openxmlformats.org/officeDocument/2006/relationships/hyperlink" Target="http://paperpile.com/b/hqnLqQ/2b9vP" TargetMode="External"/><Relationship Id="rId559" Type="http://schemas.openxmlformats.org/officeDocument/2006/relationships/hyperlink" Target="http://paperpile.com/b/hqnLqQ/RcjO" TargetMode="External"/><Relationship Id="rId550" Type="http://schemas.openxmlformats.org/officeDocument/2006/relationships/hyperlink" Target="http://paperpile.com/b/hqnLqQ/fu8UO" TargetMode="External"/><Relationship Id="rId792" Type="http://schemas.openxmlformats.org/officeDocument/2006/relationships/hyperlink" Target="http://paperpile.com/b/hqnLqQ/Ik8SB" TargetMode="External"/><Relationship Id="rId791" Type="http://schemas.openxmlformats.org/officeDocument/2006/relationships/hyperlink" Target="http://paperpile.com/b/hqnLqQ/Ik8SB" TargetMode="External"/><Relationship Id="rId1140" Type="http://schemas.openxmlformats.org/officeDocument/2006/relationships/hyperlink" Target="http://paperpile.com/b/hqnLqQ/oGgkh" TargetMode="External"/><Relationship Id="rId790" Type="http://schemas.openxmlformats.org/officeDocument/2006/relationships/hyperlink" Target="http://paperpile.com/b/hqnLqQ/Ik8SB" TargetMode="External"/><Relationship Id="rId1141" Type="http://schemas.openxmlformats.org/officeDocument/2006/relationships/hyperlink" Target="http://paperpile.com/b/hqnLqQ/oGgkh" TargetMode="External"/><Relationship Id="rId1142" Type="http://schemas.openxmlformats.org/officeDocument/2006/relationships/hyperlink" Target="http://paperpile.com/b/hqnLqQ/FqI9e" TargetMode="External"/><Relationship Id="rId312" Type="http://schemas.openxmlformats.org/officeDocument/2006/relationships/hyperlink" Target="http://paperpile.com/b/hqnLqQ/13R3k" TargetMode="External"/><Relationship Id="rId554" Type="http://schemas.openxmlformats.org/officeDocument/2006/relationships/hyperlink" Target="http://paperpile.com/b/hqnLqQ/QtLQE" TargetMode="External"/><Relationship Id="rId796" Type="http://schemas.openxmlformats.org/officeDocument/2006/relationships/hyperlink" Target="http://paperpile.com/b/hqnLqQ/yqoEm" TargetMode="External"/><Relationship Id="rId1143" Type="http://schemas.openxmlformats.org/officeDocument/2006/relationships/hyperlink" Target="http://paperpile.com/b/hqnLqQ/FqI9e" TargetMode="External"/><Relationship Id="rId311" Type="http://schemas.openxmlformats.org/officeDocument/2006/relationships/hyperlink" Target="http://paperpile.com/b/hqnLqQ/hRn6w" TargetMode="External"/><Relationship Id="rId553" Type="http://schemas.openxmlformats.org/officeDocument/2006/relationships/hyperlink" Target="http://paperpile.com/b/hqnLqQ/QtLQE" TargetMode="External"/><Relationship Id="rId795" Type="http://schemas.openxmlformats.org/officeDocument/2006/relationships/hyperlink" Target="http://paperpile.com/b/hqnLqQ/yqoEm" TargetMode="External"/><Relationship Id="rId1144" Type="http://schemas.openxmlformats.org/officeDocument/2006/relationships/hyperlink" Target="http://paperpile.com/b/hqnLqQ/FqI9e" TargetMode="External"/><Relationship Id="rId310" Type="http://schemas.openxmlformats.org/officeDocument/2006/relationships/hyperlink" Target="http://paperpile.com/b/hqnLqQ/hRn6w" TargetMode="External"/><Relationship Id="rId552" Type="http://schemas.openxmlformats.org/officeDocument/2006/relationships/hyperlink" Target="http://paperpile.com/b/hqnLqQ/QtLQE" TargetMode="External"/><Relationship Id="rId794" Type="http://schemas.openxmlformats.org/officeDocument/2006/relationships/hyperlink" Target="http://paperpile.com/b/hqnLqQ/Ik8SB" TargetMode="External"/><Relationship Id="rId1145" Type="http://schemas.openxmlformats.org/officeDocument/2006/relationships/hyperlink" Target="http://paperpile.com/b/hqnLqQ/FqI9e" TargetMode="External"/><Relationship Id="rId551" Type="http://schemas.openxmlformats.org/officeDocument/2006/relationships/hyperlink" Target="http://paperpile.com/b/hqnLqQ/QtLQE" TargetMode="External"/><Relationship Id="rId793" Type="http://schemas.openxmlformats.org/officeDocument/2006/relationships/hyperlink" Target="http://paperpile.com/b/hqnLqQ/Ik8SB" TargetMode="External"/><Relationship Id="rId1146" Type="http://schemas.openxmlformats.org/officeDocument/2006/relationships/hyperlink" Target="http://paperpile.com/b/hqnLqQ/FqI9e" TargetMode="External"/><Relationship Id="rId297" Type="http://schemas.openxmlformats.org/officeDocument/2006/relationships/hyperlink" Target="http://paperpile.com/b/hqnLqQ/L0Ztk" TargetMode="External"/><Relationship Id="rId296" Type="http://schemas.openxmlformats.org/officeDocument/2006/relationships/hyperlink" Target="http://paperpile.com/b/hqnLqQ/ZQhag" TargetMode="External"/><Relationship Id="rId295" Type="http://schemas.openxmlformats.org/officeDocument/2006/relationships/hyperlink" Target="http://paperpile.com/b/hqnLqQ/ZQhag" TargetMode="External"/><Relationship Id="rId294" Type="http://schemas.openxmlformats.org/officeDocument/2006/relationships/hyperlink" Target="http://paperpile.com/b/hqnLqQ/ZQhag" TargetMode="External"/><Relationship Id="rId299" Type="http://schemas.openxmlformats.org/officeDocument/2006/relationships/hyperlink" Target="http://paperpile.com/b/hqnLqQ/L0Ztk" TargetMode="External"/><Relationship Id="rId298" Type="http://schemas.openxmlformats.org/officeDocument/2006/relationships/hyperlink" Target="http://paperpile.com/b/hqnLqQ/L0Ztk" TargetMode="External"/><Relationship Id="rId271" Type="http://schemas.openxmlformats.org/officeDocument/2006/relationships/hyperlink" Target="http://paperpile.com/b/hqnLqQ/skTi8" TargetMode="External"/><Relationship Id="rId270" Type="http://schemas.openxmlformats.org/officeDocument/2006/relationships/hyperlink" Target="http://paperpile.com/b/hqnLqQ/skTi8" TargetMode="External"/><Relationship Id="rId269" Type="http://schemas.openxmlformats.org/officeDocument/2006/relationships/hyperlink" Target="http://paperpile.com/b/hqnLqQ/Lyhrp" TargetMode="External"/><Relationship Id="rId264" Type="http://schemas.openxmlformats.org/officeDocument/2006/relationships/hyperlink" Target="http://paperpile.com/b/hqnLqQ/Gy9n6" TargetMode="External"/><Relationship Id="rId263" Type="http://schemas.openxmlformats.org/officeDocument/2006/relationships/hyperlink" Target="http://paperpile.com/b/hqnLqQ/Gy9n6" TargetMode="External"/><Relationship Id="rId262" Type="http://schemas.openxmlformats.org/officeDocument/2006/relationships/hyperlink" Target="http://paperpile.com/b/hqnLqQ/Gy9n6" TargetMode="External"/><Relationship Id="rId261" Type="http://schemas.openxmlformats.org/officeDocument/2006/relationships/hyperlink" Target="http://paperpile.com/b/hqnLqQ/s5oNd" TargetMode="External"/><Relationship Id="rId268" Type="http://schemas.openxmlformats.org/officeDocument/2006/relationships/hyperlink" Target="http://paperpile.com/b/hqnLqQ/Lyhrp" TargetMode="External"/><Relationship Id="rId267" Type="http://schemas.openxmlformats.org/officeDocument/2006/relationships/hyperlink" Target="http://paperpile.com/b/hqnLqQ/Lyhrp" TargetMode="External"/><Relationship Id="rId266" Type="http://schemas.openxmlformats.org/officeDocument/2006/relationships/hyperlink" Target="http://paperpile.com/b/hqnLqQ/Gy9n6" TargetMode="External"/><Relationship Id="rId265" Type="http://schemas.openxmlformats.org/officeDocument/2006/relationships/hyperlink" Target="http://paperpile.com/b/hqnLqQ/Gy9n6" TargetMode="External"/><Relationship Id="rId260" Type="http://schemas.openxmlformats.org/officeDocument/2006/relationships/hyperlink" Target="http://paperpile.com/b/hqnLqQ/s5oNd" TargetMode="External"/><Relationship Id="rId259" Type="http://schemas.openxmlformats.org/officeDocument/2006/relationships/hyperlink" Target="http://paperpile.com/b/hqnLqQ/s5oNd" TargetMode="External"/><Relationship Id="rId258" Type="http://schemas.openxmlformats.org/officeDocument/2006/relationships/hyperlink" Target="http://paperpile.com/b/hqnLqQ/bwBUZ" TargetMode="External"/><Relationship Id="rId253" Type="http://schemas.openxmlformats.org/officeDocument/2006/relationships/hyperlink" Target="http://paperpile.com/b/hqnLqQ/IJ2Jc" TargetMode="External"/><Relationship Id="rId495" Type="http://schemas.openxmlformats.org/officeDocument/2006/relationships/hyperlink" Target="http://paperpile.com/b/hqnLqQ/tJLVT" TargetMode="External"/><Relationship Id="rId252" Type="http://schemas.openxmlformats.org/officeDocument/2006/relationships/hyperlink" Target="http://paperpile.com/b/hqnLqQ/IJ2Jc" TargetMode="External"/><Relationship Id="rId494" Type="http://schemas.openxmlformats.org/officeDocument/2006/relationships/hyperlink" Target="http://paperpile.com/b/hqnLqQ/tJLVT" TargetMode="External"/><Relationship Id="rId251" Type="http://schemas.openxmlformats.org/officeDocument/2006/relationships/hyperlink" Target="http://paperpile.com/b/hqnLqQ/IJ2Jc" TargetMode="External"/><Relationship Id="rId493" Type="http://schemas.openxmlformats.org/officeDocument/2006/relationships/hyperlink" Target="http://paperpile.com/b/hqnLqQ/tJLVT" TargetMode="External"/><Relationship Id="rId250" Type="http://schemas.openxmlformats.org/officeDocument/2006/relationships/hyperlink" Target="http://paperpile.com/b/hqnLqQ/erQAB" TargetMode="External"/><Relationship Id="rId492" Type="http://schemas.openxmlformats.org/officeDocument/2006/relationships/hyperlink" Target="http://paperpile.com/b/hqnLqQ/tJLVT" TargetMode="External"/><Relationship Id="rId257" Type="http://schemas.openxmlformats.org/officeDocument/2006/relationships/hyperlink" Target="http://paperpile.com/b/hqnLqQ/bwBUZ" TargetMode="External"/><Relationship Id="rId499" Type="http://schemas.openxmlformats.org/officeDocument/2006/relationships/hyperlink" Target="http://paperpile.com/b/hqnLqQ/eNteK" TargetMode="External"/><Relationship Id="rId256" Type="http://schemas.openxmlformats.org/officeDocument/2006/relationships/hyperlink" Target="http://paperpile.com/b/hqnLqQ/bwBUZ" TargetMode="External"/><Relationship Id="rId498" Type="http://schemas.openxmlformats.org/officeDocument/2006/relationships/hyperlink" Target="http://paperpile.com/b/hqnLqQ/eNteK" TargetMode="External"/><Relationship Id="rId255" Type="http://schemas.openxmlformats.org/officeDocument/2006/relationships/hyperlink" Target="http://paperpile.com/b/hqnLqQ/bwBUZ" TargetMode="External"/><Relationship Id="rId497" Type="http://schemas.openxmlformats.org/officeDocument/2006/relationships/hyperlink" Target="http://paperpile.com/b/hqnLqQ/eNteK" TargetMode="External"/><Relationship Id="rId254" Type="http://schemas.openxmlformats.org/officeDocument/2006/relationships/hyperlink" Target="http://paperpile.com/b/hqnLqQ/bwBUZ" TargetMode="External"/><Relationship Id="rId496" Type="http://schemas.openxmlformats.org/officeDocument/2006/relationships/hyperlink" Target="http://paperpile.com/b/hqnLqQ/tJLVT" TargetMode="External"/><Relationship Id="rId293" Type="http://schemas.openxmlformats.org/officeDocument/2006/relationships/hyperlink" Target="http://paperpile.com/b/hqnLqQ/tBFMI" TargetMode="External"/><Relationship Id="rId292" Type="http://schemas.openxmlformats.org/officeDocument/2006/relationships/hyperlink" Target="http://paperpile.com/b/hqnLqQ/tBFMI" TargetMode="External"/><Relationship Id="rId291" Type="http://schemas.openxmlformats.org/officeDocument/2006/relationships/hyperlink" Target="http://paperpile.com/b/hqnLqQ/tBFMI" TargetMode="External"/><Relationship Id="rId290" Type="http://schemas.openxmlformats.org/officeDocument/2006/relationships/hyperlink" Target="http://paperpile.com/b/hqnLqQ/tn7C8" TargetMode="External"/><Relationship Id="rId286" Type="http://schemas.openxmlformats.org/officeDocument/2006/relationships/hyperlink" Target="http://paperpile.com/b/hqnLqQ/tn7C8" TargetMode="External"/><Relationship Id="rId285" Type="http://schemas.openxmlformats.org/officeDocument/2006/relationships/hyperlink" Target="http://paperpile.com/b/hqnLqQ/ZKupT" TargetMode="External"/><Relationship Id="rId284" Type="http://schemas.openxmlformats.org/officeDocument/2006/relationships/hyperlink" Target="http://paperpile.com/b/hqnLqQ/ZKupT" TargetMode="External"/><Relationship Id="rId283" Type="http://schemas.openxmlformats.org/officeDocument/2006/relationships/hyperlink" Target="http://paperpile.com/b/hqnLqQ/ZKupT" TargetMode="External"/><Relationship Id="rId289" Type="http://schemas.openxmlformats.org/officeDocument/2006/relationships/hyperlink" Target="http://paperpile.com/b/hqnLqQ/tn7C8" TargetMode="External"/><Relationship Id="rId288" Type="http://schemas.openxmlformats.org/officeDocument/2006/relationships/hyperlink" Target="http://paperpile.com/b/hqnLqQ/tn7C8" TargetMode="External"/><Relationship Id="rId287" Type="http://schemas.openxmlformats.org/officeDocument/2006/relationships/hyperlink" Target="http://paperpile.com/b/hqnLqQ/tn7C8" TargetMode="External"/><Relationship Id="rId282" Type="http://schemas.openxmlformats.org/officeDocument/2006/relationships/hyperlink" Target="http://paperpile.com/b/hqnLqQ/ZKupT" TargetMode="External"/><Relationship Id="rId281" Type="http://schemas.openxmlformats.org/officeDocument/2006/relationships/hyperlink" Target="http://paperpile.com/b/hqnLqQ/ZKupT" TargetMode="External"/><Relationship Id="rId280" Type="http://schemas.openxmlformats.org/officeDocument/2006/relationships/hyperlink" Target="http://paperpile.com/b/hqnLqQ/uGHi7" TargetMode="External"/><Relationship Id="rId275" Type="http://schemas.openxmlformats.org/officeDocument/2006/relationships/hyperlink" Target="http://paperpile.com/b/hqnLqQ/X64wa" TargetMode="External"/><Relationship Id="rId274" Type="http://schemas.openxmlformats.org/officeDocument/2006/relationships/hyperlink" Target="http://paperpile.com/b/hqnLqQ/skTi8" TargetMode="External"/><Relationship Id="rId273" Type="http://schemas.openxmlformats.org/officeDocument/2006/relationships/hyperlink" Target="http://paperpile.com/b/hqnLqQ/skTi8" TargetMode="External"/><Relationship Id="rId272" Type="http://schemas.openxmlformats.org/officeDocument/2006/relationships/hyperlink" Target="http://paperpile.com/b/hqnLqQ/skTi8" TargetMode="External"/><Relationship Id="rId279" Type="http://schemas.openxmlformats.org/officeDocument/2006/relationships/hyperlink" Target="http://paperpile.com/b/hqnLqQ/uGHi7" TargetMode="External"/><Relationship Id="rId278" Type="http://schemas.openxmlformats.org/officeDocument/2006/relationships/hyperlink" Target="http://paperpile.com/b/hqnLqQ/uGHi7" TargetMode="External"/><Relationship Id="rId277" Type="http://schemas.openxmlformats.org/officeDocument/2006/relationships/hyperlink" Target="http://paperpile.com/b/hqnLqQ/X64wa" TargetMode="External"/><Relationship Id="rId276" Type="http://schemas.openxmlformats.org/officeDocument/2006/relationships/hyperlink" Target="http://paperpile.com/b/hqnLqQ/X64wa" TargetMode="External"/><Relationship Id="rId907" Type="http://schemas.openxmlformats.org/officeDocument/2006/relationships/hyperlink" Target="http://paperpile.com/b/hqnLqQ/2oozR" TargetMode="External"/><Relationship Id="rId906" Type="http://schemas.openxmlformats.org/officeDocument/2006/relationships/hyperlink" Target="http://paperpile.com/b/hqnLqQ/8E2G5" TargetMode="External"/><Relationship Id="rId905" Type="http://schemas.openxmlformats.org/officeDocument/2006/relationships/hyperlink" Target="http://paperpile.com/b/hqnLqQ/8E2G5" TargetMode="External"/><Relationship Id="rId904" Type="http://schemas.openxmlformats.org/officeDocument/2006/relationships/hyperlink" Target="http://paperpile.com/b/hqnLqQ/8E2G5" TargetMode="External"/><Relationship Id="rId909" Type="http://schemas.openxmlformats.org/officeDocument/2006/relationships/hyperlink" Target="http://paperpile.com/b/hqnLqQ/2oozR" TargetMode="External"/><Relationship Id="rId908" Type="http://schemas.openxmlformats.org/officeDocument/2006/relationships/hyperlink" Target="http://paperpile.com/b/hqnLqQ/2oozR" TargetMode="External"/><Relationship Id="rId903" Type="http://schemas.openxmlformats.org/officeDocument/2006/relationships/hyperlink" Target="http://paperpile.com/b/hqnLqQ/8E2G5" TargetMode="External"/><Relationship Id="rId902" Type="http://schemas.openxmlformats.org/officeDocument/2006/relationships/hyperlink" Target="http://paperpile.com/b/hqnLqQ/8E2G5" TargetMode="External"/><Relationship Id="rId901" Type="http://schemas.openxmlformats.org/officeDocument/2006/relationships/hyperlink" Target="http://paperpile.com/b/hqnLqQ/8E2G5" TargetMode="External"/><Relationship Id="rId900" Type="http://schemas.openxmlformats.org/officeDocument/2006/relationships/hyperlink" Target="http://paperpile.com/b/hqnLqQ/8E2G5" TargetMode="External"/><Relationship Id="rId929" Type="http://schemas.openxmlformats.org/officeDocument/2006/relationships/hyperlink" Target="http://paperpile.com/b/hqnLqQ/WPSxx" TargetMode="External"/><Relationship Id="rId928" Type="http://schemas.openxmlformats.org/officeDocument/2006/relationships/hyperlink" Target="http://paperpile.com/b/hqnLqQ/WPSxx" TargetMode="External"/><Relationship Id="rId927" Type="http://schemas.openxmlformats.org/officeDocument/2006/relationships/hyperlink" Target="http://paperpile.com/b/hqnLqQ/e10z3" TargetMode="External"/><Relationship Id="rId926" Type="http://schemas.openxmlformats.org/officeDocument/2006/relationships/hyperlink" Target="http://paperpile.com/b/hqnLqQ/e10z3" TargetMode="External"/><Relationship Id="rId921" Type="http://schemas.openxmlformats.org/officeDocument/2006/relationships/hyperlink" Target="http://paperpile.com/b/hqnLqQ/e10z3" TargetMode="External"/><Relationship Id="rId920" Type="http://schemas.openxmlformats.org/officeDocument/2006/relationships/hyperlink" Target="http://paperpile.com/b/hqnLqQ/1SkHO" TargetMode="External"/><Relationship Id="rId925" Type="http://schemas.openxmlformats.org/officeDocument/2006/relationships/hyperlink" Target="http://paperpile.com/b/hqnLqQ/e10z3" TargetMode="External"/><Relationship Id="rId924" Type="http://schemas.openxmlformats.org/officeDocument/2006/relationships/hyperlink" Target="http://paperpile.com/b/hqnLqQ/e10z3" TargetMode="External"/><Relationship Id="rId923" Type="http://schemas.openxmlformats.org/officeDocument/2006/relationships/hyperlink" Target="http://paperpile.com/b/hqnLqQ/e10z3" TargetMode="External"/><Relationship Id="rId922" Type="http://schemas.openxmlformats.org/officeDocument/2006/relationships/hyperlink" Target="http://paperpile.com/b/hqnLqQ/e10z3" TargetMode="External"/><Relationship Id="rId918" Type="http://schemas.openxmlformats.org/officeDocument/2006/relationships/hyperlink" Target="http://paperpile.com/b/hqnLqQ/1SkHO" TargetMode="External"/><Relationship Id="rId917" Type="http://schemas.openxmlformats.org/officeDocument/2006/relationships/hyperlink" Target="http://paperpile.com/b/hqnLqQ/1SkHO" TargetMode="External"/><Relationship Id="rId916" Type="http://schemas.openxmlformats.org/officeDocument/2006/relationships/hyperlink" Target="http://paperpile.com/b/hqnLqQ/1SkHO" TargetMode="External"/><Relationship Id="rId915" Type="http://schemas.openxmlformats.org/officeDocument/2006/relationships/hyperlink" Target="http://paperpile.com/b/hqnLqQ/1SkHO" TargetMode="External"/><Relationship Id="rId919" Type="http://schemas.openxmlformats.org/officeDocument/2006/relationships/hyperlink" Target="http://paperpile.com/b/hqnLqQ/1SkHO" TargetMode="External"/><Relationship Id="rId910" Type="http://schemas.openxmlformats.org/officeDocument/2006/relationships/hyperlink" Target="http://paperpile.com/b/hqnLqQ/2oozR" TargetMode="External"/><Relationship Id="rId914" Type="http://schemas.openxmlformats.org/officeDocument/2006/relationships/hyperlink" Target="http://paperpile.com/b/hqnLqQ/1SkHO" TargetMode="External"/><Relationship Id="rId913" Type="http://schemas.openxmlformats.org/officeDocument/2006/relationships/hyperlink" Target="http://paperpile.com/b/hqnLqQ/2oozR" TargetMode="External"/><Relationship Id="rId912" Type="http://schemas.openxmlformats.org/officeDocument/2006/relationships/hyperlink" Target="http://paperpile.com/b/hqnLqQ/2oozR" TargetMode="External"/><Relationship Id="rId911" Type="http://schemas.openxmlformats.org/officeDocument/2006/relationships/hyperlink" Target="http://paperpile.com/b/hqnLqQ/2oozR" TargetMode="External"/><Relationship Id="rId1213" Type="http://schemas.openxmlformats.org/officeDocument/2006/relationships/hyperlink" Target="http://paperpile.com/b/hqnLqQ/0uPIW" TargetMode="External"/><Relationship Id="rId1214" Type="http://schemas.openxmlformats.org/officeDocument/2006/relationships/hyperlink" Target="http://paperpile.com/b/hqnLqQ/0uPIW" TargetMode="External"/><Relationship Id="rId1215" Type="http://schemas.openxmlformats.org/officeDocument/2006/relationships/hyperlink" Target="http://paperpile.com/b/hqnLqQ/0uPIW" TargetMode="External"/><Relationship Id="rId1216" Type="http://schemas.openxmlformats.org/officeDocument/2006/relationships/hyperlink" Target="http://paperpile.com/b/hqnLqQ/eK1xv" TargetMode="External"/><Relationship Id="rId1217" Type="http://schemas.openxmlformats.org/officeDocument/2006/relationships/hyperlink" Target="http://paperpile.com/b/hqnLqQ/eK1xv" TargetMode="External"/><Relationship Id="rId1218" Type="http://schemas.openxmlformats.org/officeDocument/2006/relationships/hyperlink" Target="http://paperpile.com/b/hqnLqQ/eK1xv" TargetMode="External"/><Relationship Id="rId1219" Type="http://schemas.openxmlformats.org/officeDocument/2006/relationships/hyperlink" Target="http://paperpile.com/b/hqnLqQ/eK1xv" TargetMode="External"/><Relationship Id="rId629" Type="http://schemas.openxmlformats.org/officeDocument/2006/relationships/hyperlink" Target="http://paperpile.com/b/hqnLqQ/0aHzs" TargetMode="External"/><Relationship Id="rId624" Type="http://schemas.openxmlformats.org/officeDocument/2006/relationships/hyperlink" Target="http://paperpile.com/b/hqnLqQ/X7M1r" TargetMode="External"/><Relationship Id="rId866" Type="http://schemas.openxmlformats.org/officeDocument/2006/relationships/hyperlink" Target="http://paperpile.com/b/hqnLqQ/IJm1H" TargetMode="External"/><Relationship Id="rId623" Type="http://schemas.openxmlformats.org/officeDocument/2006/relationships/hyperlink" Target="http://paperpile.com/b/hqnLqQ/X7M1r" TargetMode="External"/><Relationship Id="rId865" Type="http://schemas.openxmlformats.org/officeDocument/2006/relationships/hyperlink" Target="http://paperpile.com/b/hqnLqQ/IJm1H" TargetMode="External"/><Relationship Id="rId622" Type="http://schemas.openxmlformats.org/officeDocument/2006/relationships/hyperlink" Target="http://paperpile.com/b/hqnLqQ/X7M1r" TargetMode="External"/><Relationship Id="rId864" Type="http://schemas.openxmlformats.org/officeDocument/2006/relationships/hyperlink" Target="http://paperpile.com/b/hqnLqQ/7F4ac" TargetMode="External"/><Relationship Id="rId621" Type="http://schemas.openxmlformats.org/officeDocument/2006/relationships/hyperlink" Target="http://paperpile.com/b/hqnLqQ/L1lCW" TargetMode="External"/><Relationship Id="rId863" Type="http://schemas.openxmlformats.org/officeDocument/2006/relationships/hyperlink" Target="http://paperpile.com/b/hqnLqQ/7F4ac" TargetMode="External"/><Relationship Id="rId628" Type="http://schemas.openxmlformats.org/officeDocument/2006/relationships/hyperlink" Target="http://paperpile.com/b/hqnLqQ/X7M1r" TargetMode="External"/><Relationship Id="rId627" Type="http://schemas.openxmlformats.org/officeDocument/2006/relationships/hyperlink" Target="http://paperpile.com/b/hqnLqQ/X7M1r" TargetMode="External"/><Relationship Id="rId869" Type="http://schemas.openxmlformats.org/officeDocument/2006/relationships/hyperlink" Target="http://paperpile.com/b/hqnLqQ/IJm1H" TargetMode="External"/><Relationship Id="rId626" Type="http://schemas.openxmlformats.org/officeDocument/2006/relationships/hyperlink" Target="http://paperpile.com/b/hqnLqQ/X7M1r" TargetMode="External"/><Relationship Id="rId868" Type="http://schemas.openxmlformats.org/officeDocument/2006/relationships/hyperlink" Target="http://paperpile.com/b/hqnLqQ/IJm1H" TargetMode="External"/><Relationship Id="rId625" Type="http://schemas.openxmlformats.org/officeDocument/2006/relationships/hyperlink" Target="http://paperpile.com/b/hqnLqQ/X7M1r" TargetMode="External"/><Relationship Id="rId867" Type="http://schemas.openxmlformats.org/officeDocument/2006/relationships/hyperlink" Target="http://paperpile.com/b/hqnLqQ/IJm1H" TargetMode="External"/><Relationship Id="rId620" Type="http://schemas.openxmlformats.org/officeDocument/2006/relationships/hyperlink" Target="http://paperpile.com/b/hqnLqQ/L1lCW" TargetMode="External"/><Relationship Id="rId862" Type="http://schemas.openxmlformats.org/officeDocument/2006/relationships/hyperlink" Target="http://paperpile.com/b/hqnLqQ/7F4ac" TargetMode="External"/><Relationship Id="rId861" Type="http://schemas.openxmlformats.org/officeDocument/2006/relationships/hyperlink" Target="http://paperpile.com/b/hqnLqQ/7F4ac" TargetMode="External"/><Relationship Id="rId1210" Type="http://schemas.openxmlformats.org/officeDocument/2006/relationships/hyperlink" Target="http://paperpile.com/b/hqnLqQ/0uPIW" TargetMode="External"/><Relationship Id="rId860" Type="http://schemas.openxmlformats.org/officeDocument/2006/relationships/hyperlink" Target="http://paperpile.com/b/hqnLqQ/7F4ac" TargetMode="External"/><Relationship Id="rId1211" Type="http://schemas.openxmlformats.org/officeDocument/2006/relationships/hyperlink" Target="http://paperpile.com/b/hqnLqQ/0uPIW" TargetMode="External"/><Relationship Id="rId1212" Type="http://schemas.openxmlformats.org/officeDocument/2006/relationships/hyperlink" Target="http://paperpile.com/b/hqnLqQ/0uPIW" TargetMode="External"/><Relationship Id="rId1202" Type="http://schemas.openxmlformats.org/officeDocument/2006/relationships/hyperlink" Target="http://paperpile.com/b/hqnLqQ/AnR16" TargetMode="External"/><Relationship Id="rId1203" Type="http://schemas.openxmlformats.org/officeDocument/2006/relationships/hyperlink" Target="http://paperpile.com/b/hqnLqQ/AnR16" TargetMode="External"/><Relationship Id="rId1204" Type="http://schemas.openxmlformats.org/officeDocument/2006/relationships/hyperlink" Target="http://paperpile.com/b/hqnLqQ/m3c0y" TargetMode="External"/><Relationship Id="rId1205" Type="http://schemas.openxmlformats.org/officeDocument/2006/relationships/hyperlink" Target="http://paperpile.com/b/hqnLqQ/m3c0y" TargetMode="External"/><Relationship Id="rId1206" Type="http://schemas.openxmlformats.org/officeDocument/2006/relationships/hyperlink" Target="http://paperpile.com/b/hqnLqQ/m3c0y" TargetMode="External"/><Relationship Id="rId1207" Type="http://schemas.openxmlformats.org/officeDocument/2006/relationships/hyperlink" Target="http://paperpile.com/b/hqnLqQ/m3c0y" TargetMode="External"/><Relationship Id="rId1208" Type="http://schemas.openxmlformats.org/officeDocument/2006/relationships/hyperlink" Target="http://paperpile.com/b/hqnLqQ/m3c0y" TargetMode="External"/><Relationship Id="rId1209" Type="http://schemas.openxmlformats.org/officeDocument/2006/relationships/hyperlink" Target="http://paperpile.com/b/hqnLqQ/0uPIW" TargetMode="External"/><Relationship Id="rId619" Type="http://schemas.openxmlformats.org/officeDocument/2006/relationships/hyperlink" Target="http://paperpile.com/b/hqnLqQ/L1lCW" TargetMode="External"/><Relationship Id="rId618" Type="http://schemas.openxmlformats.org/officeDocument/2006/relationships/hyperlink" Target="http://paperpile.com/b/hqnLqQ/L1lCW" TargetMode="External"/><Relationship Id="rId613" Type="http://schemas.openxmlformats.org/officeDocument/2006/relationships/hyperlink" Target="http://paperpile.com/b/hqnLqQ/3Th9" TargetMode="External"/><Relationship Id="rId855" Type="http://schemas.openxmlformats.org/officeDocument/2006/relationships/hyperlink" Target="http://paperpile.com/b/hqnLqQ/gMorQ" TargetMode="External"/><Relationship Id="rId612" Type="http://schemas.openxmlformats.org/officeDocument/2006/relationships/hyperlink" Target="http://paperpile.com/b/hqnLqQ/3Th9" TargetMode="External"/><Relationship Id="rId854" Type="http://schemas.openxmlformats.org/officeDocument/2006/relationships/hyperlink" Target="http://paperpile.com/b/hqnLqQ/gMorQ" TargetMode="External"/><Relationship Id="rId611" Type="http://schemas.openxmlformats.org/officeDocument/2006/relationships/hyperlink" Target="http://paperpile.com/b/hqnLqQ/3Th9" TargetMode="External"/><Relationship Id="rId853" Type="http://schemas.openxmlformats.org/officeDocument/2006/relationships/hyperlink" Target="http://paperpile.com/b/hqnLqQ/gMorQ" TargetMode="External"/><Relationship Id="rId610" Type="http://schemas.openxmlformats.org/officeDocument/2006/relationships/hyperlink" Target="http://paperpile.com/b/hqnLqQ/3Th9" TargetMode="External"/><Relationship Id="rId852" Type="http://schemas.openxmlformats.org/officeDocument/2006/relationships/hyperlink" Target="http://paperpile.com/b/hqnLqQ/gMorQ" TargetMode="External"/><Relationship Id="rId617" Type="http://schemas.openxmlformats.org/officeDocument/2006/relationships/hyperlink" Target="http://paperpile.com/b/hqnLqQ/L1lCW" TargetMode="External"/><Relationship Id="rId859" Type="http://schemas.openxmlformats.org/officeDocument/2006/relationships/hyperlink" Target="http://paperpile.com/b/hqnLqQ/7F4ac" TargetMode="External"/><Relationship Id="rId616" Type="http://schemas.openxmlformats.org/officeDocument/2006/relationships/hyperlink" Target="http://paperpile.com/b/hqnLqQ/L1lCW" TargetMode="External"/><Relationship Id="rId858" Type="http://schemas.openxmlformats.org/officeDocument/2006/relationships/hyperlink" Target="http://paperpile.com/b/hqnLqQ/7F4ac" TargetMode="External"/><Relationship Id="rId615" Type="http://schemas.openxmlformats.org/officeDocument/2006/relationships/hyperlink" Target="http://paperpile.com/b/hqnLqQ/L1lCW" TargetMode="External"/><Relationship Id="rId857" Type="http://schemas.openxmlformats.org/officeDocument/2006/relationships/hyperlink" Target="http://paperpile.com/b/hqnLqQ/gMorQ" TargetMode="External"/><Relationship Id="rId614" Type="http://schemas.openxmlformats.org/officeDocument/2006/relationships/hyperlink" Target="http://paperpile.com/b/hqnLqQ/3Th9" TargetMode="External"/><Relationship Id="rId856" Type="http://schemas.openxmlformats.org/officeDocument/2006/relationships/hyperlink" Target="http://paperpile.com/b/hqnLqQ/gMorQ" TargetMode="External"/><Relationship Id="rId851" Type="http://schemas.openxmlformats.org/officeDocument/2006/relationships/hyperlink" Target="http://paperpile.com/b/hqnLqQ/gMorQ" TargetMode="External"/><Relationship Id="rId850" Type="http://schemas.openxmlformats.org/officeDocument/2006/relationships/hyperlink" Target="http://paperpile.com/b/hqnLqQ/4qN2w" TargetMode="External"/><Relationship Id="rId1200" Type="http://schemas.openxmlformats.org/officeDocument/2006/relationships/hyperlink" Target="http://paperpile.com/b/hqnLqQ/AnR16" TargetMode="External"/><Relationship Id="rId1201" Type="http://schemas.openxmlformats.org/officeDocument/2006/relationships/hyperlink" Target="http://paperpile.com/b/hqnLqQ/AnR16" TargetMode="External"/><Relationship Id="rId1235" Type="http://schemas.openxmlformats.org/officeDocument/2006/relationships/hyperlink" Target="http://paperpile.com/b/hqnLqQ/5aYUV" TargetMode="External"/><Relationship Id="rId1236" Type="http://schemas.openxmlformats.org/officeDocument/2006/relationships/hyperlink" Target="http://paperpile.com/b/hqnLqQ/5aYUV" TargetMode="External"/><Relationship Id="rId1237" Type="http://schemas.openxmlformats.org/officeDocument/2006/relationships/hyperlink" Target="http://paperpile.com/b/hqnLqQ/5aYUV" TargetMode="External"/><Relationship Id="rId1238" Type="http://schemas.openxmlformats.org/officeDocument/2006/relationships/hyperlink" Target="http://paperpile.com/b/hqnLqQ/5aYUV" TargetMode="External"/><Relationship Id="rId1239" Type="http://schemas.openxmlformats.org/officeDocument/2006/relationships/hyperlink" Target="http://paperpile.com/b/hqnLqQ/5aYUV" TargetMode="External"/><Relationship Id="rId409" Type="http://schemas.openxmlformats.org/officeDocument/2006/relationships/hyperlink" Target="http://paperpile.com/b/hqnLqQ/VgMMY" TargetMode="External"/><Relationship Id="rId404" Type="http://schemas.openxmlformats.org/officeDocument/2006/relationships/hyperlink" Target="http://paperpile.com/b/hqnLqQ/n9Uaz" TargetMode="External"/><Relationship Id="rId646" Type="http://schemas.openxmlformats.org/officeDocument/2006/relationships/hyperlink" Target="http://paperpile.com/b/hqnLqQ/CnCIo" TargetMode="External"/><Relationship Id="rId888" Type="http://schemas.openxmlformats.org/officeDocument/2006/relationships/hyperlink" Target="http://paperpile.com/b/hqnLqQ/jnKBm" TargetMode="External"/><Relationship Id="rId403" Type="http://schemas.openxmlformats.org/officeDocument/2006/relationships/hyperlink" Target="http://paperpile.com/b/hqnLqQ/n9Uaz" TargetMode="External"/><Relationship Id="rId645" Type="http://schemas.openxmlformats.org/officeDocument/2006/relationships/hyperlink" Target="http://paperpile.com/b/hqnLqQ/CnCIo" TargetMode="External"/><Relationship Id="rId887" Type="http://schemas.openxmlformats.org/officeDocument/2006/relationships/hyperlink" Target="http://paperpile.com/b/hqnLqQ/jnKBm" TargetMode="External"/><Relationship Id="rId402" Type="http://schemas.openxmlformats.org/officeDocument/2006/relationships/hyperlink" Target="http://paperpile.com/b/hqnLqQ/9TLSP" TargetMode="External"/><Relationship Id="rId644" Type="http://schemas.openxmlformats.org/officeDocument/2006/relationships/hyperlink" Target="http://paperpile.com/b/hqnLqQ/CnCIo" TargetMode="External"/><Relationship Id="rId886" Type="http://schemas.openxmlformats.org/officeDocument/2006/relationships/hyperlink" Target="http://paperpile.com/b/hqnLqQ/jnKBm" TargetMode="External"/><Relationship Id="rId401" Type="http://schemas.openxmlformats.org/officeDocument/2006/relationships/hyperlink" Target="http://paperpile.com/b/hqnLqQ/9TLSP" TargetMode="External"/><Relationship Id="rId643" Type="http://schemas.openxmlformats.org/officeDocument/2006/relationships/hyperlink" Target="http://paperpile.com/b/hqnLqQ/CnCIo" TargetMode="External"/><Relationship Id="rId885" Type="http://schemas.openxmlformats.org/officeDocument/2006/relationships/hyperlink" Target="http://paperpile.com/b/hqnLqQ/spmY" TargetMode="External"/><Relationship Id="rId408" Type="http://schemas.openxmlformats.org/officeDocument/2006/relationships/hyperlink" Target="http://paperpile.com/b/hqnLqQ/bGUNw" TargetMode="External"/><Relationship Id="rId407" Type="http://schemas.openxmlformats.org/officeDocument/2006/relationships/hyperlink" Target="http://paperpile.com/b/hqnLqQ/bGUNw" TargetMode="External"/><Relationship Id="rId649" Type="http://schemas.openxmlformats.org/officeDocument/2006/relationships/hyperlink" Target="http://paperpile.com/b/hqnLqQ/CnCIo" TargetMode="External"/><Relationship Id="rId406" Type="http://schemas.openxmlformats.org/officeDocument/2006/relationships/hyperlink" Target="http://paperpile.com/b/hqnLqQ/bGUNw" TargetMode="External"/><Relationship Id="rId648" Type="http://schemas.openxmlformats.org/officeDocument/2006/relationships/hyperlink" Target="http://paperpile.com/b/hqnLqQ/CnCIo" TargetMode="External"/><Relationship Id="rId405" Type="http://schemas.openxmlformats.org/officeDocument/2006/relationships/hyperlink" Target="http://paperpile.com/b/hqnLqQ/n9Uaz" TargetMode="External"/><Relationship Id="rId647" Type="http://schemas.openxmlformats.org/officeDocument/2006/relationships/hyperlink" Target="http://paperpile.com/b/hqnLqQ/CnCIo" TargetMode="External"/><Relationship Id="rId889" Type="http://schemas.openxmlformats.org/officeDocument/2006/relationships/hyperlink" Target="http://paperpile.com/b/hqnLqQ/jnKBm" TargetMode="External"/><Relationship Id="rId880" Type="http://schemas.openxmlformats.org/officeDocument/2006/relationships/hyperlink" Target="http://paperpile.com/b/hqnLqQ/spmY" TargetMode="External"/><Relationship Id="rId1230" Type="http://schemas.openxmlformats.org/officeDocument/2006/relationships/hyperlink" Target="http://paperpile.com/b/hqnLqQ/VgyN1" TargetMode="External"/><Relationship Id="rId400" Type="http://schemas.openxmlformats.org/officeDocument/2006/relationships/hyperlink" Target="http://paperpile.com/b/hqnLqQ/9TLSP" TargetMode="External"/><Relationship Id="rId642" Type="http://schemas.openxmlformats.org/officeDocument/2006/relationships/hyperlink" Target="http://paperpile.com/b/hqnLqQ/VTvWq" TargetMode="External"/><Relationship Id="rId884" Type="http://schemas.openxmlformats.org/officeDocument/2006/relationships/hyperlink" Target="http://paperpile.com/b/hqnLqQ/spmY" TargetMode="External"/><Relationship Id="rId1231" Type="http://schemas.openxmlformats.org/officeDocument/2006/relationships/hyperlink" Target="http://paperpile.com/b/hqnLqQ/VgyN1" TargetMode="External"/><Relationship Id="rId641" Type="http://schemas.openxmlformats.org/officeDocument/2006/relationships/hyperlink" Target="http://paperpile.com/b/hqnLqQ/VTvWq" TargetMode="External"/><Relationship Id="rId883" Type="http://schemas.openxmlformats.org/officeDocument/2006/relationships/hyperlink" Target="http://paperpile.com/b/hqnLqQ/spmY" TargetMode="External"/><Relationship Id="rId1232" Type="http://schemas.openxmlformats.org/officeDocument/2006/relationships/hyperlink" Target="http://paperpile.com/b/hqnLqQ/VgyN1" TargetMode="External"/><Relationship Id="rId640" Type="http://schemas.openxmlformats.org/officeDocument/2006/relationships/hyperlink" Target="http://paperpile.com/b/hqnLqQ/VTvWq" TargetMode="External"/><Relationship Id="rId882" Type="http://schemas.openxmlformats.org/officeDocument/2006/relationships/hyperlink" Target="http://paperpile.com/b/hqnLqQ/spmY" TargetMode="External"/><Relationship Id="rId1233" Type="http://schemas.openxmlformats.org/officeDocument/2006/relationships/hyperlink" Target="http://paperpile.com/b/hqnLqQ/5aYUV" TargetMode="External"/><Relationship Id="rId881" Type="http://schemas.openxmlformats.org/officeDocument/2006/relationships/hyperlink" Target="http://paperpile.com/b/hqnLqQ/spmY" TargetMode="External"/><Relationship Id="rId1234" Type="http://schemas.openxmlformats.org/officeDocument/2006/relationships/hyperlink" Target="http://paperpile.com/b/hqnLqQ/5aYUV" TargetMode="External"/><Relationship Id="rId1224" Type="http://schemas.openxmlformats.org/officeDocument/2006/relationships/hyperlink" Target="http://paperpile.com/b/hqnLqQ/TNMqU" TargetMode="External"/><Relationship Id="rId1225" Type="http://schemas.openxmlformats.org/officeDocument/2006/relationships/hyperlink" Target="http://paperpile.com/b/hqnLqQ/TNMqU" TargetMode="External"/><Relationship Id="rId1226" Type="http://schemas.openxmlformats.org/officeDocument/2006/relationships/hyperlink" Target="http://paperpile.com/b/hqnLqQ/TNMqU" TargetMode="External"/><Relationship Id="rId1227" Type="http://schemas.openxmlformats.org/officeDocument/2006/relationships/hyperlink" Target="http://paperpile.com/b/hqnLqQ/TNMqU" TargetMode="External"/><Relationship Id="rId1228" Type="http://schemas.openxmlformats.org/officeDocument/2006/relationships/hyperlink" Target="http://paperpile.com/b/hqnLqQ/VgyN1" TargetMode="External"/><Relationship Id="rId1229" Type="http://schemas.openxmlformats.org/officeDocument/2006/relationships/hyperlink" Target="http://paperpile.com/b/hqnLqQ/VgyN1" TargetMode="External"/><Relationship Id="rId635" Type="http://schemas.openxmlformats.org/officeDocument/2006/relationships/hyperlink" Target="http://paperpile.com/b/hqnLqQ/0aHzs" TargetMode="External"/><Relationship Id="rId877" Type="http://schemas.openxmlformats.org/officeDocument/2006/relationships/hyperlink" Target="http://paperpile.com/b/hqnLqQ/aElE1" TargetMode="External"/><Relationship Id="rId634" Type="http://schemas.openxmlformats.org/officeDocument/2006/relationships/hyperlink" Target="http://paperpile.com/b/hqnLqQ/0aHzs" TargetMode="External"/><Relationship Id="rId876" Type="http://schemas.openxmlformats.org/officeDocument/2006/relationships/hyperlink" Target="http://paperpile.com/b/hqnLqQ/aElE1" TargetMode="External"/><Relationship Id="rId633" Type="http://schemas.openxmlformats.org/officeDocument/2006/relationships/hyperlink" Target="http://paperpile.com/b/hqnLqQ/0aHzs" TargetMode="External"/><Relationship Id="rId875" Type="http://schemas.openxmlformats.org/officeDocument/2006/relationships/hyperlink" Target="http://paperpile.com/b/hqnLqQ/aElE1" TargetMode="External"/><Relationship Id="rId632" Type="http://schemas.openxmlformats.org/officeDocument/2006/relationships/hyperlink" Target="http://paperpile.com/b/hqnLqQ/0aHzs" TargetMode="External"/><Relationship Id="rId874" Type="http://schemas.openxmlformats.org/officeDocument/2006/relationships/hyperlink" Target="http://paperpile.com/b/hqnLqQ/aElE1" TargetMode="External"/><Relationship Id="rId639" Type="http://schemas.openxmlformats.org/officeDocument/2006/relationships/hyperlink" Target="http://paperpile.com/b/hqnLqQ/VTvWq" TargetMode="External"/><Relationship Id="rId638" Type="http://schemas.openxmlformats.org/officeDocument/2006/relationships/hyperlink" Target="http://paperpile.com/b/hqnLqQ/VTvWq" TargetMode="External"/><Relationship Id="rId637" Type="http://schemas.openxmlformats.org/officeDocument/2006/relationships/hyperlink" Target="http://paperpile.com/b/hqnLqQ/VTvWq" TargetMode="External"/><Relationship Id="rId879" Type="http://schemas.openxmlformats.org/officeDocument/2006/relationships/hyperlink" Target="http://paperpile.com/b/hqnLqQ/spmY" TargetMode="External"/><Relationship Id="rId636" Type="http://schemas.openxmlformats.org/officeDocument/2006/relationships/hyperlink" Target="http://paperpile.com/b/hqnLqQ/VTvWq" TargetMode="External"/><Relationship Id="rId878" Type="http://schemas.openxmlformats.org/officeDocument/2006/relationships/hyperlink" Target="http://paperpile.com/b/hqnLqQ/aElE1" TargetMode="External"/><Relationship Id="rId631" Type="http://schemas.openxmlformats.org/officeDocument/2006/relationships/hyperlink" Target="http://paperpile.com/b/hqnLqQ/0aHzs" TargetMode="External"/><Relationship Id="rId873" Type="http://schemas.openxmlformats.org/officeDocument/2006/relationships/hyperlink" Target="http://paperpile.com/b/hqnLqQ/aElE1" TargetMode="External"/><Relationship Id="rId1220" Type="http://schemas.openxmlformats.org/officeDocument/2006/relationships/hyperlink" Target="http://paperpile.com/b/hqnLqQ/eK1xv" TargetMode="External"/><Relationship Id="rId630" Type="http://schemas.openxmlformats.org/officeDocument/2006/relationships/hyperlink" Target="http://paperpile.com/b/hqnLqQ/0aHzs" TargetMode="External"/><Relationship Id="rId872" Type="http://schemas.openxmlformats.org/officeDocument/2006/relationships/hyperlink" Target="http://paperpile.com/b/hqnLqQ/aElE1" TargetMode="External"/><Relationship Id="rId1221" Type="http://schemas.openxmlformats.org/officeDocument/2006/relationships/hyperlink" Target="http://paperpile.com/b/hqnLqQ/eK1xv" TargetMode="External"/><Relationship Id="rId871" Type="http://schemas.openxmlformats.org/officeDocument/2006/relationships/hyperlink" Target="http://paperpile.com/b/hqnLqQ/IJm1H" TargetMode="External"/><Relationship Id="rId1222" Type="http://schemas.openxmlformats.org/officeDocument/2006/relationships/hyperlink" Target="http://paperpile.com/b/hqnLqQ/eK1xv" TargetMode="External"/><Relationship Id="rId870" Type="http://schemas.openxmlformats.org/officeDocument/2006/relationships/hyperlink" Target="http://paperpile.com/b/hqnLqQ/IJm1H" TargetMode="External"/><Relationship Id="rId1223" Type="http://schemas.openxmlformats.org/officeDocument/2006/relationships/hyperlink" Target="http://paperpile.com/b/hqnLqQ/TNMqU" TargetMode="External"/><Relationship Id="rId829" Type="http://schemas.openxmlformats.org/officeDocument/2006/relationships/hyperlink" Target="http://paperpile.com/b/hqnLqQ/L7WJT" TargetMode="External"/><Relationship Id="rId828" Type="http://schemas.openxmlformats.org/officeDocument/2006/relationships/hyperlink" Target="http://paperpile.com/b/hqnLqQ/L7WJT" TargetMode="External"/><Relationship Id="rId827" Type="http://schemas.openxmlformats.org/officeDocument/2006/relationships/hyperlink" Target="http://paperpile.com/b/hqnLqQ/L7WJT" TargetMode="External"/><Relationship Id="rId822" Type="http://schemas.openxmlformats.org/officeDocument/2006/relationships/hyperlink" Target="http://paperpile.com/b/hqnLqQ/55V1D" TargetMode="External"/><Relationship Id="rId821" Type="http://schemas.openxmlformats.org/officeDocument/2006/relationships/hyperlink" Target="http://paperpile.com/b/hqnLqQ/55V1D" TargetMode="External"/><Relationship Id="rId820" Type="http://schemas.openxmlformats.org/officeDocument/2006/relationships/hyperlink" Target="http://paperpile.com/b/hqnLqQ/55V1D" TargetMode="External"/><Relationship Id="rId826" Type="http://schemas.openxmlformats.org/officeDocument/2006/relationships/hyperlink" Target="http://paperpile.com/b/hqnLqQ/L7WJT" TargetMode="External"/><Relationship Id="rId825" Type="http://schemas.openxmlformats.org/officeDocument/2006/relationships/hyperlink" Target="http://paperpile.com/b/hqnLqQ/L7WJT" TargetMode="External"/><Relationship Id="rId824" Type="http://schemas.openxmlformats.org/officeDocument/2006/relationships/hyperlink" Target="http://paperpile.com/b/hqnLqQ/L7WJT" TargetMode="External"/><Relationship Id="rId823" Type="http://schemas.openxmlformats.org/officeDocument/2006/relationships/hyperlink" Target="http://paperpile.com/b/hqnLqQ/L7WJT" TargetMode="External"/><Relationship Id="rId819" Type="http://schemas.openxmlformats.org/officeDocument/2006/relationships/hyperlink" Target="http://paperpile.com/b/hqnLqQ/55V1D" TargetMode="External"/><Relationship Id="rId818" Type="http://schemas.openxmlformats.org/officeDocument/2006/relationships/hyperlink" Target="http://paperpile.com/b/hqnLqQ/55V1D" TargetMode="External"/><Relationship Id="rId817" Type="http://schemas.openxmlformats.org/officeDocument/2006/relationships/hyperlink" Target="http://paperpile.com/b/hqnLqQ/55V1D" TargetMode="External"/><Relationship Id="rId816" Type="http://schemas.openxmlformats.org/officeDocument/2006/relationships/hyperlink" Target="http://paperpile.com/b/hqnLqQ/55V1D" TargetMode="External"/><Relationship Id="rId811" Type="http://schemas.openxmlformats.org/officeDocument/2006/relationships/hyperlink" Target="http://paperpile.com/b/hqnLqQ/knSCH" TargetMode="External"/><Relationship Id="rId810" Type="http://schemas.openxmlformats.org/officeDocument/2006/relationships/hyperlink" Target="http://paperpile.com/b/hqnLqQ/knSCH" TargetMode="External"/><Relationship Id="rId815" Type="http://schemas.openxmlformats.org/officeDocument/2006/relationships/hyperlink" Target="http://paperpile.com/b/hqnLqQ/knSCH" TargetMode="External"/><Relationship Id="rId814" Type="http://schemas.openxmlformats.org/officeDocument/2006/relationships/hyperlink" Target="http://paperpile.com/b/hqnLqQ/knSCH" TargetMode="External"/><Relationship Id="rId813" Type="http://schemas.openxmlformats.org/officeDocument/2006/relationships/hyperlink" Target="http://paperpile.com/b/hqnLqQ/knSCH" TargetMode="External"/><Relationship Id="rId812" Type="http://schemas.openxmlformats.org/officeDocument/2006/relationships/hyperlink" Target="http://paperpile.com/b/hqnLqQ/knSCH" TargetMode="External"/><Relationship Id="rId609" Type="http://schemas.openxmlformats.org/officeDocument/2006/relationships/hyperlink" Target="http://paperpile.com/b/hqnLqQ/3Th9" TargetMode="External"/><Relationship Id="rId608" Type="http://schemas.openxmlformats.org/officeDocument/2006/relationships/hyperlink" Target="http://paperpile.com/b/hqnLqQ/3Th9" TargetMode="External"/><Relationship Id="rId607" Type="http://schemas.openxmlformats.org/officeDocument/2006/relationships/hyperlink" Target="http://paperpile.com/b/hqnLqQ/e38C6" TargetMode="External"/><Relationship Id="rId849" Type="http://schemas.openxmlformats.org/officeDocument/2006/relationships/hyperlink" Target="http://paperpile.com/b/hqnLqQ/4qN2w" TargetMode="External"/><Relationship Id="rId602" Type="http://schemas.openxmlformats.org/officeDocument/2006/relationships/hyperlink" Target="http://paperpile.com/b/hqnLqQ/e38C6" TargetMode="External"/><Relationship Id="rId844" Type="http://schemas.openxmlformats.org/officeDocument/2006/relationships/hyperlink" Target="http://paperpile.com/b/hqnLqQ/4qN2w" TargetMode="External"/><Relationship Id="rId601" Type="http://schemas.openxmlformats.org/officeDocument/2006/relationships/hyperlink" Target="http://paperpile.com/b/hqnLqQ/e38C6" TargetMode="External"/><Relationship Id="rId843" Type="http://schemas.openxmlformats.org/officeDocument/2006/relationships/hyperlink" Target="http://paperpile.com/b/hqnLqQ/AdxKv" TargetMode="External"/><Relationship Id="rId600" Type="http://schemas.openxmlformats.org/officeDocument/2006/relationships/hyperlink" Target="http://paperpile.com/b/hqnLqQ/lvyLC" TargetMode="External"/><Relationship Id="rId842" Type="http://schemas.openxmlformats.org/officeDocument/2006/relationships/hyperlink" Target="http://paperpile.com/b/hqnLqQ/AdxKv" TargetMode="External"/><Relationship Id="rId841" Type="http://schemas.openxmlformats.org/officeDocument/2006/relationships/hyperlink" Target="http://paperpile.com/b/hqnLqQ/AdxKv" TargetMode="External"/><Relationship Id="rId606" Type="http://schemas.openxmlformats.org/officeDocument/2006/relationships/hyperlink" Target="http://paperpile.com/b/hqnLqQ/e38C6" TargetMode="External"/><Relationship Id="rId848" Type="http://schemas.openxmlformats.org/officeDocument/2006/relationships/hyperlink" Target="http://paperpile.com/b/hqnLqQ/4qN2w" TargetMode="External"/><Relationship Id="rId605" Type="http://schemas.openxmlformats.org/officeDocument/2006/relationships/hyperlink" Target="http://paperpile.com/b/hqnLqQ/e38C6" TargetMode="External"/><Relationship Id="rId847" Type="http://schemas.openxmlformats.org/officeDocument/2006/relationships/hyperlink" Target="http://paperpile.com/b/hqnLqQ/4qN2w" TargetMode="External"/><Relationship Id="rId604" Type="http://schemas.openxmlformats.org/officeDocument/2006/relationships/hyperlink" Target="http://paperpile.com/b/hqnLqQ/e38C6" TargetMode="External"/><Relationship Id="rId846" Type="http://schemas.openxmlformats.org/officeDocument/2006/relationships/hyperlink" Target="http://paperpile.com/b/hqnLqQ/4qN2w" TargetMode="External"/><Relationship Id="rId603" Type="http://schemas.openxmlformats.org/officeDocument/2006/relationships/hyperlink" Target="http://paperpile.com/b/hqnLqQ/e38C6" TargetMode="External"/><Relationship Id="rId845" Type="http://schemas.openxmlformats.org/officeDocument/2006/relationships/hyperlink" Target="http://paperpile.com/b/hqnLqQ/4qN2w" TargetMode="External"/><Relationship Id="rId840" Type="http://schemas.openxmlformats.org/officeDocument/2006/relationships/hyperlink" Target="http://paperpile.com/b/hqnLqQ/AdxKv" TargetMode="External"/><Relationship Id="rId839" Type="http://schemas.openxmlformats.org/officeDocument/2006/relationships/hyperlink" Target="http://paperpile.com/b/hqnLqQ/AdxKv" TargetMode="External"/><Relationship Id="rId838" Type="http://schemas.openxmlformats.org/officeDocument/2006/relationships/hyperlink" Target="http://paperpile.com/b/hqnLqQ/AdxKv" TargetMode="External"/><Relationship Id="rId833" Type="http://schemas.openxmlformats.org/officeDocument/2006/relationships/hyperlink" Target="http://paperpile.com/b/hqnLqQ/DEho3" TargetMode="External"/><Relationship Id="rId832" Type="http://schemas.openxmlformats.org/officeDocument/2006/relationships/hyperlink" Target="http://paperpile.com/b/hqnLqQ/DEho3" TargetMode="External"/><Relationship Id="rId831" Type="http://schemas.openxmlformats.org/officeDocument/2006/relationships/hyperlink" Target="http://paperpile.com/b/hqnLqQ/DEho3" TargetMode="External"/><Relationship Id="rId830" Type="http://schemas.openxmlformats.org/officeDocument/2006/relationships/hyperlink" Target="http://paperpile.com/b/hqnLqQ/DEho3" TargetMode="External"/><Relationship Id="rId837" Type="http://schemas.openxmlformats.org/officeDocument/2006/relationships/hyperlink" Target="http://paperpile.com/b/hqnLqQ/AdxKv" TargetMode="External"/><Relationship Id="rId836" Type="http://schemas.openxmlformats.org/officeDocument/2006/relationships/hyperlink" Target="http://paperpile.com/b/hqnLqQ/DEho3" TargetMode="External"/><Relationship Id="rId835" Type="http://schemas.openxmlformats.org/officeDocument/2006/relationships/hyperlink" Target="http://paperpile.com/b/hqnLqQ/DEho3" TargetMode="External"/><Relationship Id="rId834" Type="http://schemas.openxmlformats.org/officeDocument/2006/relationships/hyperlink" Target="http://paperpile.com/b/hqnLqQ/DEho3" TargetMode="External"/><Relationship Id="rId1059" Type="http://schemas.openxmlformats.org/officeDocument/2006/relationships/hyperlink" Target="http://paperpile.com/b/hqnLqQ/2lYj1" TargetMode="External"/><Relationship Id="rId228" Type="http://schemas.openxmlformats.org/officeDocument/2006/relationships/hyperlink" Target="http://paperpile.com/b/hqnLqQ/ZybRd" TargetMode="External"/><Relationship Id="rId227" Type="http://schemas.openxmlformats.org/officeDocument/2006/relationships/hyperlink" Target="http://paperpile.com/b/hqnLqQ/ZybRd" TargetMode="External"/><Relationship Id="rId469" Type="http://schemas.openxmlformats.org/officeDocument/2006/relationships/hyperlink" Target="http://paperpile.com/b/hqnLqQ/tbeMT" TargetMode="External"/><Relationship Id="rId226" Type="http://schemas.openxmlformats.org/officeDocument/2006/relationships/hyperlink" Target="http://paperpile.com/b/hqnLqQ/ZybRd" TargetMode="External"/><Relationship Id="rId468" Type="http://schemas.openxmlformats.org/officeDocument/2006/relationships/hyperlink" Target="http://paperpile.com/b/hqnLqQ/P78rj" TargetMode="External"/><Relationship Id="rId225" Type="http://schemas.openxmlformats.org/officeDocument/2006/relationships/image" Target="media/image33.png"/><Relationship Id="rId467" Type="http://schemas.openxmlformats.org/officeDocument/2006/relationships/hyperlink" Target="http://paperpile.com/b/hqnLqQ/P78rj" TargetMode="External"/><Relationship Id="rId1290" Type="http://schemas.openxmlformats.org/officeDocument/2006/relationships/footer" Target="footer1.xml"/><Relationship Id="rId229" Type="http://schemas.openxmlformats.org/officeDocument/2006/relationships/hyperlink" Target="http://paperpile.com/b/hqnLqQ/ZybRd" TargetMode="External"/><Relationship Id="rId1050" Type="http://schemas.openxmlformats.org/officeDocument/2006/relationships/hyperlink" Target="http://paperpile.com/b/hqnLqQ/pPRlO" TargetMode="External"/><Relationship Id="rId220" Type="http://schemas.openxmlformats.org/officeDocument/2006/relationships/hyperlink" Target="https://paperpile.com/c/hqnLqQ/eLLr1+spmY+0Jl9L+qyDmA" TargetMode="External"/><Relationship Id="rId462" Type="http://schemas.openxmlformats.org/officeDocument/2006/relationships/hyperlink" Target="http://paperpile.com/b/hqnLqQ/jJsdH" TargetMode="External"/><Relationship Id="rId1051" Type="http://schemas.openxmlformats.org/officeDocument/2006/relationships/hyperlink" Target="http://paperpile.com/b/hqnLqQ/pPRlO" TargetMode="External"/><Relationship Id="rId461" Type="http://schemas.openxmlformats.org/officeDocument/2006/relationships/hyperlink" Target="http://paperpile.com/b/hqnLqQ/jJsdH" TargetMode="External"/><Relationship Id="rId1052" Type="http://schemas.openxmlformats.org/officeDocument/2006/relationships/hyperlink" Target="http://paperpile.com/b/hqnLqQ/pPRlO" TargetMode="External"/><Relationship Id="rId460" Type="http://schemas.openxmlformats.org/officeDocument/2006/relationships/hyperlink" Target="http://paperpile.com/b/hqnLqQ/jJsdH" TargetMode="External"/><Relationship Id="rId1053" Type="http://schemas.openxmlformats.org/officeDocument/2006/relationships/hyperlink" Target="http://paperpile.com/b/hqnLqQ/pPRlO" TargetMode="External"/><Relationship Id="rId1054" Type="http://schemas.openxmlformats.org/officeDocument/2006/relationships/hyperlink" Target="http://paperpile.com/b/hqnLqQ/2lYj1" TargetMode="External"/><Relationship Id="rId224" Type="http://schemas.openxmlformats.org/officeDocument/2006/relationships/image" Target="media/image34.png"/><Relationship Id="rId466" Type="http://schemas.openxmlformats.org/officeDocument/2006/relationships/hyperlink" Target="http://paperpile.com/b/hqnLqQ/P78rj" TargetMode="External"/><Relationship Id="rId1055" Type="http://schemas.openxmlformats.org/officeDocument/2006/relationships/hyperlink" Target="http://paperpile.com/b/hqnLqQ/2lYj1" TargetMode="External"/><Relationship Id="rId223" Type="http://schemas.openxmlformats.org/officeDocument/2006/relationships/hyperlink" Target="https://paperpile.com/c/hqnLqQ/wOVd7" TargetMode="External"/><Relationship Id="rId465" Type="http://schemas.openxmlformats.org/officeDocument/2006/relationships/hyperlink" Target="http://paperpile.com/b/hqnLqQ/P78rj" TargetMode="External"/><Relationship Id="rId1056" Type="http://schemas.openxmlformats.org/officeDocument/2006/relationships/hyperlink" Target="http://paperpile.com/b/hqnLqQ/2lYj1" TargetMode="External"/><Relationship Id="rId222" Type="http://schemas.openxmlformats.org/officeDocument/2006/relationships/hyperlink" Target="https://paperpile.com/c/hqnLqQ/eLLr1+qyDmA" TargetMode="External"/><Relationship Id="rId464" Type="http://schemas.openxmlformats.org/officeDocument/2006/relationships/hyperlink" Target="http://paperpile.com/b/hqnLqQ/P78rj" TargetMode="External"/><Relationship Id="rId1057" Type="http://schemas.openxmlformats.org/officeDocument/2006/relationships/hyperlink" Target="http://paperpile.com/b/hqnLqQ/2lYj1" TargetMode="External"/><Relationship Id="rId221" Type="http://schemas.openxmlformats.org/officeDocument/2006/relationships/hyperlink" Target="https://paperpile.com/c/hqnLqQ/spmY" TargetMode="External"/><Relationship Id="rId463" Type="http://schemas.openxmlformats.org/officeDocument/2006/relationships/hyperlink" Target="http://paperpile.com/b/hqnLqQ/jJsdH" TargetMode="External"/><Relationship Id="rId1058" Type="http://schemas.openxmlformats.org/officeDocument/2006/relationships/hyperlink" Target="http://paperpile.com/b/hqnLqQ/2lYj1" TargetMode="External"/><Relationship Id="rId1048" Type="http://schemas.openxmlformats.org/officeDocument/2006/relationships/hyperlink" Target="http://paperpile.com/b/hqnLqQ/pPRlO" TargetMode="External"/><Relationship Id="rId1049" Type="http://schemas.openxmlformats.org/officeDocument/2006/relationships/hyperlink" Target="http://paperpile.com/b/hqnLqQ/pPRlO" TargetMode="External"/><Relationship Id="rId217" Type="http://schemas.openxmlformats.org/officeDocument/2006/relationships/hyperlink" Target="https://paperpile.com/c/hqnLqQ/TNMqU" TargetMode="External"/><Relationship Id="rId459" Type="http://schemas.openxmlformats.org/officeDocument/2006/relationships/hyperlink" Target="http://paperpile.com/b/hqnLqQ/jJsdH" TargetMode="External"/><Relationship Id="rId216" Type="http://schemas.openxmlformats.org/officeDocument/2006/relationships/image" Target="media/image25.png"/><Relationship Id="rId458" Type="http://schemas.openxmlformats.org/officeDocument/2006/relationships/hyperlink" Target="http://paperpile.com/b/hqnLqQ/jJsdH" TargetMode="External"/><Relationship Id="rId215" Type="http://schemas.openxmlformats.org/officeDocument/2006/relationships/hyperlink" Target="https://paperpile.com/c/hqnLqQ/HD1jA" TargetMode="External"/><Relationship Id="rId457" Type="http://schemas.openxmlformats.org/officeDocument/2006/relationships/hyperlink" Target="http://paperpile.com/b/hqnLqQ/jJsdH" TargetMode="External"/><Relationship Id="rId699" Type="http://schemas.openxmlformats.org/officeDocument/2006/relationships/hyperlink" Target="http://paperpile.com/b/hqnLqQ/eGMso" TargetMode="External"/><Relationship Id="rId214" Type="http://schemas.openxmlformats.org/officeDocument/2006/relationships/hyperlink" Target="https://paperpile.com/c/hqnLqQ/HD1jA" TargetMode="External"/><Relationship Id="rId456" Type="http://schemas.openxmlformats.org/officeDocument/2006/relationships/hyperlink" Target="http://paperpile.com/b/hqnLqQ/0fg8B" TargetMode="External"/><Relationship Id="rId698" Type="http://schemas.openxmlformats.org/officeDocument/2006/relationships/hyperlink" Target="http://paperpile.com/b/hqnLqQ/I4Koe" TargetMode="External"/><Relationship Id="rId219" Type="http://schemas.openxmlformats.org/officeDocument/2006/relationships/image" Target="media/image21.png"/><Relationship Id="rId1280" Type="http://schemas.openxmlformats.org/officeDocument/2006/relationships/hyperlink" Target="http://paperpile.com/b/hqnLqQ/vtUXz" TargetMode="External"/><Relationship Id="rId218" Type="http://schemas.openxmlformats.org/officeDocument/2006/relationships/hyperlink" Target="https://paperpile.com/c/hqnLqQ/spmY" TargetMode="External"/><Relationship Id="rId1281" Type="http://schemas.openxmlformats.org/officeDocument/2006/relationships/hyperlink" Target="http://paperpile.com/b/hqnLqQ/vtUXz" TargetMode="External"/><Relationship Id="rId451" Type="http://schemas.openxmlformats.org/officeDocument/2006/relationships/hyperlink" Target="http://paperpile.com/b/hqnLqQ/eLLr1" TargetMode="External"/><Relationship Id="rId693" Type="http://schemas.openxmlformats.org/officeDocument/2006/relationships/hyperlink" Target="http://paperpile.com/b/hqnLqQ/I4Koe" TargetMode="External"/><Relationship Id="rId1040" Type="http://schemas.openxmlformats.org/officeDocument/2006/relationships/hyperlink" Target="http://paperpile.com/b/hqnLqQ/Gwgbe" TargetMode="External"/><Relationship Id="rId1282" Type="http://schemas.openxmlformats.org/officeDocument/2006/relationships/hyperlink" Target="http://paperpile.com/b/hqnLqQ/vtUXz" TargetMode="External"/><Relationship Id="rId450" Type="http://schemas.openxmlformats.org/officeDocument/2006/relationships/hyperlink" Target="http://paperpile.com/b/hqnLqQ/eLLr1" TargetMode="External"/><Relationship Id="rId692" Type="http://schemas.openxmlformats.org/officeDocument/2006/relationships/hyperlink" Target="http://paperpile.com/b/hqnLqQ/I4Koe" TargetMode="External"/><Relationship Id="rId1041" Type="http://schemas.openxmlformats.org/officeDocument/2006/relationships/hyperlink" Target="http://paperpile.com/b/hqnLqQ/Gwgbe" TargetMode="External"/><Relationship Id="rId1283" Type="http://schemas.openxmlformats.org/officeDocument/2006/relationships/hyperlink" Target="http://paperpile.com/b/hqnLqQ/vtUXz" TargetMode="External"/><Relationship Id="rId691" Type="http://schemas.openxmlformats.org/officeDocument/2006/relationships/hyperlink" Target="http://paperpile.com/b/hqnLqQ/9O9CJ" TargetMode="External"/><Relationship Id="rId1042" Type="http://schemas.openxmlformats.org/officeDocument/2006/relationships/hyperlink" Target="http://paperpile.com/b/hqnLqQ/Gwgbe" TargetMode="External"/><Relationship Id="rId1284" Type="http://schemas.openxmlformats.org/officeDocument/2006/relationships/hyperlink" Target="http://paperpile.com/b/hqnLqQ/vtUXz" TargetMode="External"/><Relationship Id="rId690" Type="http://schemas.openxmlformats.org/officeDocument/2006/relationships/hyperlink" Target="http://paperpile.com/b/hqnLqQ/9O9CJ" TargetMode="External"/><Relationship Id="rId1043" Type="http://schemas.openxmlformats.org/officeDocument/2006/relationships/hyperlink" Target="http://paperpile.com/b/hqnLqQ/Gwgbe" TargetMode="External"/><Relationship Id="rId1285" Type="http://schemas.openxmlformats.org/officeDocument/2006/relationships/hyperlink" Target="http://paperpile.com/b/hqnLqQ/HD1jA" TargetMode="External"/><Relationship Id="rId213" Type="http://schemas.openxmlformats.org/officeDocument/2006/relationships/image" Target="media/image23.png"/><Relationship Id="rId455" Type="http://schemas.openxmlformats.org/officeDocument/2006/relationships/hyperlink" Target="http://paperpile.com/b/hqnLqQ/0fg8B" TargetMode="External"/><Relationship Id="rId697" Type="http://schemas.openxmlformats.org/officeDocument/2006/relationships/hyperlink" Target="http://paperpile.com/b/hqnLqQ/I4Koe" TargetMode="External"/><Relationship Id="rId1044" Type="http://schemas.openxmlformats.org/officeDocument/2006/relationships/hyperlink" Target="http://paperpile.com/b/hqnLqQ/Gwgbe" TargetMode="External"/><Relationship Id="rId1286" Type="http://schemas.openxmlformats.org/officeDocument/2006/relationships/hyperlink" Target="http://paperpile.com/b/hqnLqQ/HD1jA" TargetMode="External"/><Relationship Id="rId212" Type="http://schemas.openxmlformats.org/officeDocument/2006/relationships/image" Target="media/image26.png"/><Relationship Id="rId454" Type="http://schemas.openxmlformats.org/officeDocument/2006/relationships/hyperlink" Target="http://paperpile.com/b/hqnLqQ/0fg8B" TargetMode="External"/><Relationship Id="rId696" Type="http://schemas.openxmlformats.org/officeDocument/2006/relationships/hyperlink" Target="http://paperpile.com/b/hqnLqQ/I4Koe" TargetMode="External"/><Relationship Id="rId1045" Type="http://schemas.openxmlformats.org/officeDocument/2006/relationships/hyperlink" Target="http://paperpile.com/b/hqnLqQ/Gwgbe" TargetMode="External"/><Relationship Id="rId1287" Type="http://schemas.openxmlformats.org/officeDocument/2006/relationships/hyperlink" Target="http://paperpile.com/b/hqnLqQ/HD1jA" TargetMode="External"/><Relationship Id="rId211" Type="http://schemas.openxmlformats.org/officeDocument/2006/relationships/hyperlink" Target="https://paperpile.com/c/hqnLqQ/2b2nD" TargetMode="External"/><Relationship Id="rId453" Type="http://schemas.openxmlformats.org/officeDocument/2006/relationships/hyperlink" Target="http://paperpile.com/b/hqnLqQ/0fg8B" TargetMode="External"/><Relationship Id="rId695" Type="http://schemas.openxmlformats.org/officeDocument/2006/relationships/hyperlink" Target="http://paperpile.com/b/hqnLqQ/I4Koe" TargetMode="External"/><Relationship Id="rId1046" Type="http://schemas.openxmlformats.org/officeDocument/2006/relationships/hyperlink" Target="http://paperpile.com/b/hqnLqQ/Gwgbe" TargetMode="External"/><Relationship Id="rId1288" Type="http://schemas.openxmlformats.org/officeDocument/2006/relationships/hyperlink" Target="http://paperpile.com/b/hqnLqQ/HD1jA" TargetMode="External"/><Relationship Id="rId210" Type="http://schemas.openxmlformats.org/officeDocument/2006/relationships/hyperlink" Target="https://paperpile.com/c/hqnLqQ/eLLr1+I6Awn+spmY" TargetMode="External"/><Relationship Id="rId452" Type="http://schemas.openxmlformats.org/officeDocument/2006/relationships/hyperlink" Target="http://paperpile.com/b/hqnLqQ/0fg8B" TargetMode="External"/><Relationship Id="rId694" Type="http://schemas.openxmlformats.org/officeDocument/2006/relationships/hyperlink" Target="http://paperpile.com/b/hqnLqQ/I4Koe" TargetMode="External"/><Relationship Id="rId1047" Type="http://schemas.openxmlformats.org/officeDocument/2006/relationships/hyperlink" Target="http://paperpile.com/b/hqnLqQ/pPRlO" TargetMode="External"/><Relationship Id="rId1289" Type="http://schemas.openxmlformats.org/officeDocument/2006/relationships/hyperlink" Target="http://paperpile.com/b/hqnLqQ/HD1jA" TargetMode="External"/><Relationship Id="rId491" Type="http://schemas.openxmlformats.org/officeDocument/2006/relationships/hyperlink" Target="http://paperpile.com/b/hqnLqQ/tJLVT" TargetMode="External"/><Relationship Id="rId490" Type="http://schemas.openxmlformats.org/officeDocument/2006/relationships/hyperlink" Target="http://paperpile.com/b/hqnLqQ/tJLVT" TargetMode="External"/><Relationship Id="rId249" Type="http://schemas.openxmlformats.org/officeDocument/2006/relationships/hyperlink" Target="http://paperpile.com/b/hqnLqQ/erQAB" TargetMode="External"/><Relationship Id="rId248" Type="http://schemas.openxmlformats.org/officeDocument/2006/relationships/hyperlink" Target="http://paperpile.com/b/hqnLqQ/erQAB" TargetMode="External"/><Relationship Id="rId247" Type="http://schemas.openxmlformats.org/officeDocument/2006/relationships/hyperlink" Target="http://paperpile.com/b/hqnLqQ/erQAB" TargetMode="External"/><Relationship Id="rId489" Type="http://schemas.openxmlformats.org/officeDocument/2006/relationships/hyperlink" Target="http://paperpile.com/b/hqnLqQ/6zgL3" TargetMode="External"/><Relationship Id="rId1070" Type="http://schemas.openxmlformats.org/officeDocument/2006/relationships/hyperlink" Target="http://paperpile.com/b/hqnLqQ/h5S9S" TargetMode="External"/><Relationship Id="rId1071" Type="http://schemas.openxmlformats.org/officeDocument/2006/relationships/hyperlink" Target="http://dx.doi.org/10.1101/023374" TargetMode="External"/><Relationship Id="rId1072" Type="http://schemas.openxmlformats.org/officeDocument/2006/relationships/hyperlink" Target="http://paperpile.com/b/hqnLqQ/h5S9S" TargetMode="External"/><Relationship Id="rId242" Type="http://schemas.openxmlformats.org/officeDocument/2006/relationships/hyperlink" Target="http://paperpile.com/b/hqnLqQ/PzhH" TargetMode="External"/><Relationship Id="rId484" Type="http://schemas.openxmlformats.org/officeDocument/2006/relationships/hyperlink" Target="http://paperpile.com/b/hqnLqQ/6zgL3" TargetMode="External"/><Relationship Id="rId1073" Type="http://schemas.openxmlformats.org/officeDocument/2006/relationships/hyperlink" Target="http://paperpile.com/b/hqnLqQ/6hnh9" TargetMode="External"/><Relationship Id="rId241" Type="http://schemas.openxmlformats.org/officeDocument/2006/relationships/hyperlink" Target="http://paperpile.com/b/hqnLqQ/PzhH" TargetMode="External"/><Relationship Id="rId483" Type="http://schemas.openxmlformats.org/officeDocument/2006/relationships/hyperlink" Target="http://paperpile.com/b/hqnLqQ/6zgL3" TargetMode="External"/><Relationship Id="rId1074" Type="http://schemas.openxmlformats.org/officeDocument/2006/relationships/hyperlink" Target="http://paperpile.com/b/hqnLqQ/6hnh9" TargetMode="External"/><Relationship Id="rId240" Type="http://schemas.openxmlformats.org/officeDocument/2006/relationships/hyperlink" Target="http://paperpile.com/b/hqnLqQ/PzhH" TargetMode="External"/><Relationship Id="rId482" Type="http://schemas.openxmlformats.org/officeDocument/2006/relationships/hyperlink" Target="http://paperpile.com/b/hqnLqQ/BiJCM" TargetMode="External"/><Relationship Id="rId1075" Type="http://schemas.openxmlformats.org/officeDocument/2006/relationships/hyperlink" Target="http://paperpile.com/b/hqnLqQ/6hnh9" TargetMode="External"/><Relationship Id="rId481" Type="http://schemas.openxmlformats.org/officeDocument/2006/relationships/hyperlink" Target="http://paperpile.com/b/hqnLqQ/BiJCM" TargetMode="External"/><Relationship Id="rId1076" Type="http://schemas.openxmlformats.org/officeDocument/2006/relationships/hyperlink" Target="http://paperpile.com/b/hqnLqQ/6hnh9" TargetMode="External"/><Relationship Id="rId246" Type="http://schemas.openxmlformats.org/officeDocument/2006/relationships/hyperlink" Target="http://paperpile.com/b/hqnLqQ/erQAB" TargetMode="External"/><Relationship Id="rId488" Type="http://schemas.openxmlformats.org/officeDocument/2006/relationships/hyperlink" Target="http://paperpile.com/b/hqnLqQ/6zgL3" TargetMode="External"/><Relationship Id="rId1077" Type="http://schemas.openxmlformats.org/officeDocument/2006/relationships/hyperlink" Target="http://paperpile.com/b/hqnLqQ/6hnh9" TargetMode="External"/><Relationship Id="rId245" Type="http://schemas.openxmlformats.org/officeDocument/2006/relationships/hyperlink" Target="http://paperpile.com/b/hqnLqQ/rmlm" TargetMode="External"/><Relationship Id="rId487" Type="http://schemas.openxmlformats.org/officeDocument/2006/relationships/hyperlink" Target="http://paperpile.com/b/hqnLqQ/6zgL3" TargetMode="External"/><Relationship Id="rId1078" Type="http://schemas.openxmlformats.org/officeDocument/2006/relationships/hyperlink" Target="http://paperpile.com/b/hqnLqQ/6hnh9" TargetMode="External"/><Relationship Id="rId244" Type="http://schemas.openxmlformats.org/officeDocument/2006/relationships/hyperlink" Target="http://paperpile.com/b/hqnLqQ/rmlm" TargetMode="External"/><Relationship Id="rId486" Type="http://schemas.openxmlformats.org/officeDocument/2006/relationships/hyperlink" Target="http://paperpile.com/b/hqnLqQ/6zgL3" TargetMode="External"/><Relationship Id="rId1079" Type="http://schemas.openxmlformats.org/officeDocument/2006/relationships/hyperlink" Target="http://paperpile.com/b/hqnLqQ/6hnh9" TargetMode="External"/><Relationship Id="rId243" Type="http://schemas.openxmlformats.org/officeDocument/2006/relationships/hyperlink" Target="http://paperpile.com/b/hqnLqQ/rmlm" TargetMode="External"/><Relationship Id="rId485" Type="http://schemas.openxmlformats.org/officeDocument/2006/relationships/hyperlink" Target="http://paperpile.com/b/hqnLqQ/6zgL3" TargetMode="External"/><Relationship Id="rId480" Type="http://schemas.openxmlformats.org/officeDocument/2006/relationships/hyperlink" Target="http://paperpile.com/b/hqnLqQ/BiJCM" TargetMode="External"/><Relationship Id="rId239" Type="http://schemas.openxmlformats.org/officeDocument/2006/relationships/hyperlink" Target="http://paperpile.com/b/hqnLqQ/1dxS" TargetMode="External"/><Relationship Id="rId238" Type="http://schemas.openxmlformats.org/officeDocument/2006/relationships/hyperlink" Target="http://paperpile.com/b/hqnLqQ/1dxS" TargetMode="External"/><Relationship Id="rId237" Type="http://schemas.openxmlformats.org/officeDocument/2006/relationships/hyperlink" Target="http://paperpile.com/b/hqnLqQ/1dxS" TargetMode="External"/><Relationship Id="rId479" Type="http://schemas.openxmlformats.org/officeDocument/2006/relationships/hyperlink" Target="http://paperpile.com/b/hqnLqQ/BiJCM" TargetMode="External"/><Relationship Id="rId236" Type="http://schemas.openxmlformats.org/officeDocument/2006/relationships/hyperlink" Target="http://paperpile.com/b/hqnLqQ/Gu1L" TargetMode="External"/><Relationship Id="rId478" Type="http://schemas.openxmlformats.org/officeDocument/2006/relationships/hyperlink" Target="http://paperpile.com/b/hqnLqQ/BiJCM" TargetMode="External"/><Relationship Id="rId1060" Type="http://schemas.openxmlformats.org/officeDocument/2006/relationships/hyperlink" Target="http://paperpile.com/b/hqnLqQ/2lYj1" TargetMode="External"/><Relationship Id="rId1061" Type="http://schemas.openxmlformats.org/officeDocument/2006/relationships/hyperlink" Target="http://paperpile.com/b/hqnLqQ/jWTHJ" TargetMode="External"/><Relationship Id="rId231" Type="http://schemas.openxmlformats.org/officeDocument/2006/relationships/hyperlink" Target="http://paperpile.com/b/hqnLqQ/G8IaM" TargetMode="External"/><Relationship Id="rId473" Type="http://schemas.openxmlformats.org/officeDocument/2006/relationships/hyperlink" Target="http://paperpile.com/b/hqnLqQ/tbeMT" TargetMode="External"/><Relationship Id="rId1062" Type="http://schemas.openxmlformats.org/officeDocument/2006/relationships/hyperlink" Target="http://paperpile.com/b/hqnLqQ/jWTHJ" TargetMode="External"/><Relationship Id="rId230" Type="http://schemas.openxmlformats.org/officeDocument/2006/relationships/hyperlink" Target="http://paperpile.com/b/hqnLqQ/ZybRd" TargetMode="External"/><Relationship Id="rId472" Type="http://schemas.openxmlformats.org/officeDocument/2006/relationships/hyperlink" Target="http://paperpile.com/b/hqnLqQ/tbeMT" TargetMode="External"/><Relationship Id="rId1063" Type="http://schemas.openxmlformats.org/officeDocument/2006/relationships/hyperlink" Target="http://paperpile.com/b/hqnLqQ/jWTHJ" TargetMode="External"/><Relationship Id="rId471" Type="http://schemas.openxmlformats.org/officeDocument/2006/relationships/hyperlink" Target="http://paperpile.com/b/hqnLqQ/tbeMT" TargetMode="External"/><Relationship Id="rId1064" Type="http://schemas.openxmlformats.org/officeDocument/2006/relationships/hyperlink" Target="http://paperpile.com/b/hqnLqQ/jWTHJ" TargetMode="External"/><Relationship Id="rId470" Type="http://schemas.openxmlformats.org/officeDocument/2006/relationships/hyperlink" Target="http://paperpile.com/b/hqnLqQ/tbeMT" TargetMode="External"/><Relationship Id="rId1065" Type="http://schemas.openxmlformats.org/officeDocument/2006/relationships/hyperlink" Target="http://paperpile.com/b/hqnLqQ/jWTHJ" TargetMode="External"/><Relationship Id="rId235" Type="http://schemas.openxmlformats.org/officeDocument/2006/relationships/hyperlink" Target="http://paperpile.com/b/hqnLqQ/Gu1L" TargetMode="External"/><Relationship Id="rId477" Type="http://schemas.openxmlformats.org/officeDocument/2006/relationships/hyperlink" Target="http://paperpile.com/b/hqnLqQ/BiJCM" TargetMode="External"/><Relationship Id="rId1066" Type="http://schemas.openxmlformats.org/officeDocument/2006/relationships/hyperlink" Target="http://paperpile.com/b/hqnLqQ/jWTHJ" TargetMode="External"/><Relationship Id="rId234" Type="http://schemas.openxmlformats.org/officeDocument/2006/relationships/hyperlink" Target="http://paperpile.com/b/hqnLqQ/Gu1L" TargetMode="External"/><Relationship Id="rId476" Type="http://schemas.openxmlformats.org/officeDocument/2006/relationships/hyperlink" Target="http://paperpile.com/b/hqnLqQ/BiJCM" TargetMode="External"/><Relationship Id="rId1067" Type="http://schemas.openxmlformats.org/officeDocument/2006/relationships/hyperlink" Target="http://paperpile.com/b/hqnLqQ/jWTHJ" TargetMode="External"/><Relationship Id="rId233" Type="http://schemas.openxmlformats.org/officeDocument/2006/relationships/hyperlink" Target="http://paperpile.com/b/hqnLqQ/G8IaM" TargetMode="External"/><Relationship Id="rId475" Type="http://schemas.openxmlformats.org/officeDocument/2006/relationships/hyperlink" Target="http://paperpile.com/b/hqnLqQ/tbeMT" TargetMode="External"/><Relationship Id="rId1068" Type="http://schemas.openxmlformats.org/officeDocument/2006/relationships/hyperlink" Target="http://paperpile.com/b/hqnLqQ/h5S9S" TargetMode="External"/><Relationship Id="rId232" Type="http://schemas.openxmlformats.org/officeDocument/2006/relationships/hyperlink" Target="http://paperpile.com/b/hqnLqQ/G8IaM" TargetMode="External"/><Relationship Id="rId474" Type="http://schemas.openxmlformats.org/officeDocument/2006/relationships/hyperlink" Target="http://paperpile.com/b/hqnLqQ/tbeMT" TargetMode="External"/><Relationship Id="rId1069" Type="http://schemas.openxmlformats.org/officeDocument/2006/relationships/hyperlink" Target="http://paperpile.com/b/hqnLqQ/h5S9S" TargetMode="External"/><Relationship Id="rId1015" Type="http://schemas.openxmlformats.org/officeDocument/2006/relationships/hyperlink" Target="http://paperpile.com/b/hqnLqQ/ZNX1g" TargetMode="External"/><Relationship Id="rId1257" Type="http://schemas.openxmlformats.org/officeDocument/2006/relationships/hyperlink" Target="http://paperpile.com/b/hqnLqQ/4dRfU" TargetMode="External"/><Relationship Id="rId1016" Type="http://schemas.openxmlformats.org/officeDocument/2006/relationships/hyperlink" Target="http://paperpile.com/b/hqnLqQ/ZNX1g" TargetMode="External"/><Relationship Id="rId1258" Type="http://schemas.openxmlformats.org/officeDocument/2006/relationships/hyperlink" Target="http://paperpile.com/b/hqnLqQ/4dRfU" TargetMode="External"/><Relationship Id="rId1017" Type="http://schemas.openxmlformats.org/officeDocument/2006/relationships/hyperlink" Target="http://paperpile.com/b/hqnLqQ/ZNX1g" TargetMode="External"/><Relationship Id="rId1259" Type="http://schemas.openxmlformats.org/officeDocument/2006/relationships/hyperlink" Target="http://paperpile.com/b/hqnLqQ/2b2nD" TargetMode="External"/><Relationship Id="rId1018" Type="http://schemas.openxmlformats.org/officeDocument/2006/relationships/hyperlink" Target="http://paperpile.com/b/hqnLqQ/ZNX1g" TargetMode="External"/><Relationship Id="rId1019" Type="http://schemas.openxmlformats.org/officeDocument/2006/relationships/hyperlink" Target="http://paperpile.com/b/hqnLqQ/cDAYL" TargetMode="External"/><Relationship Id="rId426" Type="http://schemas.openxmlformats.org/officeDocument/2006/relationships/hyperlink" Target="http://paperpile.com/b/hqnLqQ/zSSa7" TargetMode="External"/><Relationship Id="rId668" Type="http://schemas.openxmlformats.org/officeDocument/2006/relationships/hyperlink" Target="http://paperpile.com/b/hqnLqQ/Iw8qF" TargetMode="External"/><Relationship Id="rId425" Type="http://schemas.openxmlformats.org/officeDocument/2006/relationships/hyperlink" Target="http://paperpile.com/b/hqnLqQ/zSSa7" TargetMode="External"/><Relationship Id="rId667" Type="http://schemas.openxmlformats.org/officeDocument/2006/relationships/hyperlink" Target="http://paperpile.com/b/hqnLqQ/Iw8qF" TargetMode="External"/><Relationship Id="rId424" Type="http://schemas.openxmlformats.org/officeDocument/2006/relationships/hyperlink" Target="http://paperpile.com/b/hqnLqQ/IbNtM" TargetMode="External"/><Relationship Id="rId666" Type="http://schemas.openxmlformats.org/officeDocument/2006/relationships/hyperlink" Target="http://paperpile.com/b/hqnLqQ/Iw8qF" TargetMode="External"/><Relationship Id="rId423" Type="http://schemas.openxmlformats.org/officeDocument/2006/relationships/hyperlink" Target="http://paperpile.com/b/hqnLqQ/IbNtM" TargetMode="External"/><Relationship Id="rId665" Type="http://schemas.openxmlformats.org/officeDocument/2006/relationships/hyperlink" Target="http://paperpile.com/b/hqnLqQ/Iw8qF" TargetMode="External"/><Relationship Id="rId429" Type="http://schemas.openxmlformats.org/officeDocument/2006/relationships/hyperlink" Target="http://paperpile.com/b/hqnLqQ/0JrfH" TargetMode="External"/><Relationship Id="rId428" Type="http://schemas.openxmlformats.org/officeDocument/2006/relationships/hyperlink" Target="http://paperpile.com/b/hqnLqQ/0JrfH" TargetMode="External"/><Relationship Id="rId427" Type="http://schemas.openxmlformats.org/officeDocument/2006/relationships/hyperlink" Target="http://paperpile.com/b/hqnLqQ/zSSa7" TargetMode="External"/><Relationship Id="rId669" Type="http://schemas.openxmlformats.org/officeDocument/2006/relationships/hyperlink" Target="http://paperpile.com/b/hqnLqQ/Iw8qF" TargetMode="External"/><Relationship Id="rId660" Type="http://schemas.openxmlformats.org/officeDocument/2006/relationships/hyperlink" Target="http://paperpile.com/b/hqnLqQ/VGqUa" TargetMode="External"/><Relationship Id="rId1250" Type="http://schemas.openxmlformats.org/officeDocument/2006/relationships/hyperlink" Target="http://paperpile.com/b/hqnLqQ/g6Vrb" TargetMode="External"/><Relationship Id="rId1251" Type="http://schemas.openxmlformats.org/officeDocument/2006/relationships/hyperlink" Target="http://paperpile.com/b/hqnLqQ/g6Vrb" TargetMode="External"/><Relationship Id="rId1010" Type="http://schemas.openxmlformats.org/officeDocument/2006/relationships/hyperlink" Target="http://paperpile.com/b/hqnLqQ/2YcIe" TargetMode="External"/><Relationship Id="rId1252" Type="http://schemas.openxmlformats.org/officeDocument/2006/relationships/hyperlink" Target="http://paperpile.com/b/hqnLqQ/4dRfU" TargetMode="External"/><Relationship Id="rId422" Type="http://schemas.openxmlformats.org/officeDocument/2006/relationships/hyperlink" Target="http://paperpile.com/b/hqnLqQ/IbNtM" TargetMode="External"/><Relationship Id="rId664" Type="http://schemas.openxmlformats.org/officeDocument/2006/relationships/hyperlink" Target="http://paperpile.com/b/hqnLqQ/Iw8qF" TargetMode="External"/><Relationship Id="rId1011" Type="http://schemas.openxmlformats.org/officeDocument/2006/relationships/hyperlink" Target="http://paperpile.com/b/hqnLqQ/2YcIe" TargetMode="External"/><Relationship Id="rId1253" Type="http://schemas.openxmlformats.org/officeDocument/2006/relationships/hyperlink" Target="http://paperpile.com/b/hqnLqQ/4dRfU" TargetMode="External"/><Relationship Id="rId421" Type="http://schemas.openxmlformats.org/officeDocument/2006/relationships/hyperlink" Target="http://paperpile.com/b/hqnLqQ/C8xjE" TargetMode="External"/><Relationship Id="rId663" Type="http://schemas.openxmlformats.org/officeDocument/2006/relationships/hyperlink" Target="http://paperpile.com/b/hqnLqQ/VGqUa" TargetMode="External"/><Relationship Id="rId1012" Type="http://schemas.openxmlformats.org/officeDocument/2006/relationships/hyperlink" Target="http://paperpile.com/b/hqnLqQ/ZNX1g" TargetMode="External"/><Relationship Id="rId1254" Type="http://schemas.openxmlformats.org/officeDocument/2006/relationships/hyperlink" Target="http://paperpile.com/b/hqnLqQ/4dRfU" TargetMode="External"/><Relationship Id="rId420" Type="http://schemas.openxmlformats.org/officeDocument/2006/relationships/hyperlink" Target="http://paperpile.com/b/hqnLqQ/C8xjE" TargetMode="External"/><Relationship Id="rId662" Type="http://schemas.openxmlformats.org/officeDocument/2006/relationships/hyperlink" Target="http://paperpile.com/b/hqnLqQ/VGqUa" TargetMode="External"/><Relationship Id="rId1013" Type="http://schemas.openxmlformats.org/officeDocument/2006/relationships/hyperlink" Target="http://paperpile.com/b/hqnLqQ/ZNX1g" TargetMode="External"/><Relationship Id="rId1255" Type="http://schemas.openxmlformats.org/officeDocument/2006/relationships/hyperlink" Target="http://paperpile.com/b/hqnLqQ/4dRfU" TargetMode="External"/><Relationship Id="rId661" Type="http://schemas.openxmlformats.org/officeDocument/2006/relationships/hyperlink" Target="http://paperpile.com/b/hqnLqQ/VGqUa" TargetMode="External"/><Relationship Id="rId1014" Type="http://schemas.openxmlformats.org/officeDocument/2006/relationships/hyperlink" Target="http://paperpile.com/b/hqnLqQ/ZNX1g" TargetMode="External"/><Relationship Id="rId1256" Type="http://schemas.openxmlformats.org/officeDocument/2006/relationships/hyperlink" Target="http://paperpile.com/b/hqnLqQ/4dRfU" TargetMode="External"/><Relationship Id="rId1004" Type="http://schemas.openxmlformats.org/officeDocument/2006/relationships/hyperlink" Target="http://paperpile.com/b/hqnLqQ/I6Awn" TargetMode="External"/><Relationship Id="rId1246" Type="http://schemas.openxmlformats.org/officeDocument/2006/relationships/hyperlink" Target="http://paperpile.com/b/hqnLqQ/egNye" TargetMode="External"/><Relationship Id="rId1005" Type="http://schemas.openxmlformats.org/officeDocument/2006/relationships/hyperlink" Target="http://paperpile.com/b/hqnLqQ/2YcIe" TargetMode="External"/><Relationship Id="rId1247" Type="http://schemas.openxmlformats.org/officeDocument/2006/relationships/hyperlink" Target="http://paperpile.com/b/hqnLqQ/g6Vrb" TargetMode="External"/><Relationship Id="rId1006" Type="http://schemas.openxmlformats.org/officeDocument/2006/relationships/hyperlink" Target="http://paperpile.com/b/hqnLqQ/2YcIe" TargetMode="External"/><Relationship Id="rId1248" Type="http://schemas.openxmlformats.org/officeDocument/2006/relationships/hyperlink" Target="http://paperpile.com/b/hqnLqQ/g6Vrb" TargetMode="External"/><Relationship Id="rId1007" Type="http://schemas.openxmlformats.org/officeDocument/2006/relationships/hyperlink" Target="http://paperpile.com/b/hqnLqQ/2YcIe" TargetMode="External"/><Relationship Id="rId1249" Type="http://schemas.openxmlformats.org/officeDocument/2006/relationships/hyperlink" Target="http://paperpile.com/b/hqnLqQ/g6Vrb" TargetMode="External"/><Relationship Id="rId1008" Type="http://schemas.openxmlformats.org/officeDocument/2006/relationships/hyperlink" Target="http://paperpile.com/b/hqnLqQ/2YcIe" TargetMode="External"/><Relationship Id="rId1009" Type="http://schemas.openxmlformats.org/officeDocument/2006/relationships/hyperlink" Target="http://paperpile.com/b/hqnLqQ/2YcIe" TargetMode="External"/><Relationship Id="rId415" Type="http://schemas.openxmlformats.org/officeDocument/2006/relationships/hyperlink" Target="http://paperpile.com/b/hqnLqQ/gnf6T" TargetMode="External"/><Relationship Id="rId657" Type="http://schemas.openxmlformats.org/officeDocument/2006/relationships/hyperlink" Target="http://paperpile.com/b/hqnLqQ/VGqUa" TargetMode="External"/><Relationship Id="rId899" Type="http://schemas.openxmlformats.org/officeDocument/2006/relationships/hyperlink" Target="http://paperpile.com/b/hqnLqQ/ZjbXz" TargetMode="External"/><Relationship Id="rId414" Type="http://schemas.openxmlformats.org/officeDocument/2006/relationships/hyperlink" Target="http://paperpile.com/b/hqnLqQ/gnf6T" TargetMode="External"/><Relationship Id="rId656" Type="http://schemas.openxmlformats.org/officeDocument/2006/relationships/hyperlink" Target="http://paperpile.com/b/hqnLqQ/r5iW6" TargetMode="External"/><Relationship Id="rId898" Type="http://schemas.openxmlformats.org/officeDocument/2006/relationships/hyperlink" Target="http://paperpile.com/b/hqnLqQ/ZjbXz" TargetMode="External"/><Relationship Id="rId413" Type="http://schemas.openxmlformats.org/officeDocument/2006/relationships/hyperlink" Target="http://paperpile.com/b/hqnLqQ/gnf6T" TargetMode="External"/><Relationship Id="rId655" Type="http://schemas.openxmlformats.org/officeDocument/2006/relationships/hyperlink" Target="http://paperpile.com/b/hqnLqQ/r5iW6" TargetMode="External"/><Relationship Id="rId897" Type="http://schemas.openxmlformats.org/officeDocument/2006/relationships/hyperlink" Target="http://paperpile.com/b/hqnLqQ/ZjbXz" TargetMode="External"/><Relationship Id="rId412" Type="http://schemas.openxmlformats.org/officeDocument/2006/relationships/hyperlink" Target="http://paperpile.com/b/hqnLqQ/gnf6T" TargetMode="External"/><Relationship Id="rId654" Type="http://schemas.openxmlformats.org/officeDocument/2006/relationships/hyperlink" Target="http://paperpile.com/b/hqnLqQ/r5iW6" TargetMode="External"/><Relationship Id="rId896" Type="http://schemas.openxmlformats.org/officeDocument/2006/relationships/hyperlink" Target="http://paperpile.com/b/hqnLqQ/ZjbXz" TargetMode="External"/><Relationship Id="rId419" Type="http://schemas.openxmlformats.org/officeDocument/2006/relationships/hyperlink" Target="http://paperpile.com/b/hqnLqQ/C8xjE" TargetMode="External"/><Relationship Id="rId418" Type="http://schemas.openxmlformats.org/officeDocument/2006/relationships/hyperlink" Target="http://paperpile.com/b/hqnLqQ/C8xjE" TargetMode="External"/><Relationship Id="rId417" Type="http://schemas.openxmlformats.org/officeDocument/2006/relationships/hyperlink" Target="http://paperpile.com/b/hqnLqQ/C8xjE" TargetMode="External"/><Relationship Id="rId659" Type="http://schemas.openxmlformats.org/officeDocument/2006/relationships/hyperlink" Target="http://paperpile.com/b/hqnLqQ/VGqUa" TargetMode="External"/><Relationship Id="rId416" Type="http://schemas.openxmlformats.org/officeDocument/2006/relationships/hyperlink" Target="http://paperpile.com/b/hqnLqQ/gnf6T" TargetMode="External"/><Relationship Id="rId658" Type="http://schemas.openxmlformats.org/officeDocument/2006/relationships/hyperlink" Target="http://paperpile.com/b/hqnLqQ/VGqUa" TargetMode="External"/><Relationship Id="rId891" Type="http://schemas.openxmlformats.org/officeDocument/2006/relationships/hyperlink" Target="http://paperpile.com/b/hqnLqQ/jnKBm" TargetMode="External"/><Relationship Id="rId890" Type="http://schemas.openxmlformats.org/officeDocument/2006/relationships/hyperlink" Target="http://paperpile.com/b/hqnLqQ/jnKBm" TargetMode="External"/><Relationship Id="rId1240" Type="http://schemas.openxmlformats.org/officeDocument/2006/relationships/hyperlink" Target="http://paperpile.com/b/hqnLqQ/egNye" TargetMode="External"/><Relationship Id="rId1241" Type="http://schemas.openxmlformats.org/officeDocument/2006/relationships/hyperlink" Target="http://paperpile.com/b/hqnLqQ/egNye" TargetMode="External"/><Relationship Id="rId411" Type="http://schemas.openxmlformats.org/officeDocument/2006/relationships/hyperlink" Target="http://paperpile.com/b/hqnLqQ/VgMMY" TargetMode="External"/><Relationship Id="rId653" Type="http://schemas.openxmlformats.org/officeDocument/2006/relationships/hyperlink" Target="http://paperpile.com/b/hqnLqQ/r5iW6" TargetMode="External"/><Relationship Id="rId895" Type="http://schemas.openxmlformats.org/officeDocument/2006/relationships/hyperlink" Target="http://paperpile.com/b/hqnLqQ/ZjbXz" TargetMode="External"/><Relationship Id="rId1000" Type="http://schemas.openxmlformats.org/officeDocument/2006/relationships/hyperlink" Target="http://paperpile.com/b/hqnLqQ/I6Awn" TargetMode="External"/><Relationship Id="rId1242" Type="http://schemas.openxmlformats.org/officeDocument/2006/relationships/hyperlink" Target="http://paperpile.com/b/hqnLqQ/egNye" TargetMode="External"/><Relationship Id="rId410" Type="http://schemas.openxmlformats.org/officeDocument/2006/relationships/hyperlink" Target="http://paperpile.com/b/hqnLqQ/VgMMY" TargetMode="External"/><Relationship Id="rId652" Type="http://schemas.openxmlformats.org/officeDocument/2006/relationships/hyperlink" Target="http://paperpile.com/b/hqnLqQ/r5iW6" TargetMode="External"/><Relationship Id="rId894" Type="http://schemas.openxmlformats.org/officeDocument/2006/relationships/hyperlink" Target="http://paperpile.com/b/hqnLqQ/ZjbXz" TargetMode="External"/><Relationship Id="rId1001" Type="http://schemas.openxmlformats.org/officeDocument/2006/relationships/hyperlink" Target="http://paperpile.com/b/hqnLqQ/I6Awn" TargetMode="External"/><Relationship Id="rId1243" Type="http://schemas.openxmlformats.org/officeDocument/2006/relationships/hyperlink" Target="http://paperpile.com/b/hqnLqQ/egNye" TargetMode="External"/><Relationship Id="rId651" Type="http://schemas.openxmlformats.org/officeDocument/2006/relationships/hyperlink" Target="http://paperpile.com/b/hqnLqQ/r5iW6" TargetMode="External"/><Relationship Id="rId893" Type="http://schemas.openxmlformats.org/officeDocument/2006/relationships/hyperlink" Target="http://paperpile.com/b/hqnLqQ/ZjbXz" TargetMode="External"/><Relationship Id="rId1002" Type="http://schemas.openxmlformats.org/officeDocument/2006/relationships/hyperlink" Target="http://paperpile.com/b/hqnLqQ/I6Awn" TargetMode="External"/><Relationship Id="rId1244" Type="http://schemas.openxmlformats.org/officeDocument/2006/relationships/hyperlink" Target="http://paperpile.com/b/hqnLqQ/egNye" TargetMode="External"/><Relationship Id="rId650" Type="http://schemas.openxmlformats.org/officeDocument/2006/relationships/hyperlink" Target="http://paperpile.com/b/hqnLqQ/r5iW6" TargetMode="External"/><Relationship Id="rId892" Type="http://schemas.openxmlformats.org/officeDocument/2006/relationships/hyperlink" Target="http://paperpile.com/b/hqnLqQ/jnKBm" TargetMode="External"/><Relationship Id="rId1003" Type="http://schemas.openxmlformats.org/officeDocument/2006/relationships/hyperlink" Target="http://paperpile.com/b/hqnLqQ/I6Awn" TargetMode="External"/><Relationship Id="rId1245" Type="http://schemas.openxmlformats.org/officeDocument/2006/relationships/hyperlink" Target="http://paperpile.com/b/hqnLqQ/egNye" TargetMode="External"/><Relationship Id="rId1037" Type="http://schemas.openxmlformats.org/officeDocument/2006/relationships/hyperlink" Target="http://paperpile.com/b/hqnLqQ/HNlDt" TargetMode="External"/><Relationship Id="rId1279" Type="http://schemas.openxmlformats.org/officeDocument/2006/relationships/hyperlink" Target="http://paperpile.com/b/hqnLqQ/qyDmA" TargetMode="External"/><Relationship Id="rId1038" Type="http://schemas.openxmlformats.org/officeDocument/2006/relationships/hyperlink" Target="http://paperpile.com/b/hqnLqQ/HNlDt" TargetMode="External"/><Relationship Id="rId1039" Type="http://schemas.openxmlformats.org/officeDocument/2006/relationships/hyperlink" Target="http://paperpile.com/b/hqnLqQ/HNlDt" TargetMode="External"/><Relationship Id="rId206" Type="http://schemas.openxmlformats.org/officeDocument/2006/relationships/image" Target="media/image64.png"/><Relationship Id="rId448" Type="http://schemas.openxmlformats.org/officeDocument/2006/relationships/hyperlink" Target="http://paperpile.com/b/hqnLqQ/eLLr1" TargetMode="External"/><Relationship Id="rId205" Type="http://schemas.openxmlformats.org/officeDocument/2006/relationships/image" Target="media/image60.png"/><Relationship Id="rId447" Type="http://schemas.openxmlformats.org/officeDocument/2006/relationships/hyperlink" Target="http://paperpile.com/b/hqnLqQ/eLLr1" TargetMode="External"/><Relationship Id="rId689" Type="http://schemas.openxmlformats.org/officeDocument/2006/relationships/hyperlink" Target="http://paperpile.com/b/hqnLqQ/9O9CJ" TargetMode="External"/><Relationship Id="rId204" Type="http://schemas.openxmlformats.org/officeDocument/2006/relationships/image" Target="media/image65.png"/><Relationship Id="rId446" Type="http://schemas.openxmlformats.org/officeDocument/2006/relationships/hyperlink" Target="http://paperpile.com/b/hqnLqQ/eLLr1" TargetMode="External"/><Relationship Id="rId688" Type="http://schemas.openxmlformats.org/officeDocument/2006/relationships/hyperlink" Target="http://paperpile.com/b/hqnLqQ/9O9CJ" TargetMode="External"/><Relationship Id="rId203" Type="http://schemas.openxmlformats.org/officeDocument/2006/relationships/image" Target="media/image63.png"/><Relationship Id="rId445" Type="http://schemas.openxmlformats.org/officeDocument/2006/relationships/hyperlink" Target="http://paperpile.com/b/hqnLqQ/eLLr1" TargetMode="External"/><Relationship Id="rId687" Type="http://schemas.openxmlformats.org/officeDocument/2006/relationships/hyperlink" Target="http://paperpile.com/b/hqnLqQ/9O9CJ" TargetMode="External"/><Relationship Id="rId209" Type="http://schemas.openxmlformats.org/officeDocument/2006/relationships/image" Target="media/image27.png"/><Relationship Id="rId208" Type="http://schemas.openxmlformats.org/officeDocument/2006/relationships/image" Target="media/image32.png"/><Relationship Id="rId207" Type="http://schemas.openxmlformats.org/officeDocument/2006/relationships/image" Target="media/image45.png"/><Relationship Id="rId449" Type="http://schemas.openxmlformats.org/officeDocument/2006/relationships/hyperlink" Target="http://paperpile.com/b/hqnLqQ/eLLr1" TargetMode="External"/><Relationship Id="rId1270" Type="http://schemas.openxmlformats.org/officeDocument/2006/relationships/hyperlink" Target="http://paperpile.com/b/hqnLqQ/0Jl9L" TargetMode="External"/><Relationship Id="rId440" Type="http://schemas.openxmlformats.org/officeDocument/2006/relationships/hyperlink" Target="http://paperpile.com/b/hqnLqQ/XdvpV" TargetMode="External"/><Relationship Id="rId682" Type="http://schemas.openxmlformats.org/officeDocument/2006/relationships/hyperlink" Target="http://paperpile.com/b/hqnLqQ/MyIFY" TargetMode="External"/><Relationship Id="rId1271" Type="http://schemas.openxmlformats.org/officeDocument/2006/relationships/hyperlink" Target="http://paperpile.com/b/hqnLqQ/0Jl9L" TargetMode="External"/><Relationship Id="rId681" Type="http://schemas.openxmlformats.org/officeDocument/2006/relationships/hyperlink" Target="http://paperpile.com/b/hqnLqQ/MyIFY" TargetMode="External"/><Relationship Id="rId1030" Type="http://schemas.openxmlformats.org/officeDocument/2006/relationships/hyperlink" Target="http://paperpile.com/b/hqnLqQ/Ag6wX" TargetMode="External"/><Relationship Id="rId1272" Type="http://schemas.openxmlformats.org/officeDocument/2006/relationships/hyperlink" Target="http://paperpile.com/b/hqnLqQ/0Jl9L" TargetMode="External"/><Relationship Id="rId680" Type="http://schemas.openxmlformats.org/officeDocument/2006/relationships/hyperlink" Target="http://paperpile.com/b/hqnLqQ/MyIFY" TargetMode="External"/><Relationship Id="rId1031" Type="http://schemas.openxmlformats.org/officeDocument/2006/relationships/hyperlink" Target="http://paperpile.com/b/hqnLqQ/Ag6wX" TargetMode="External"/><Relationship Id="rId1273" Type="http://schemas.openxmlformats.org/officeDocument/2006/relationships/hyperlink" Target="http://paperpile.com/b/hqnLqQ/qyDmA" TargetMode="External"/><Relationship Id="rId1032" Type="http://schemas.openxmlformats.org/officeDocument/2006/relationships/hyperlink" Target="http://paperpile.com/b/hqnLqQ/Ag6wX" TargetMode="External"/><Relationship Id="rId1274" Type="http://schemas.openxmlformats.org/officeDocument/2006/relationships/hyperlink" Target="http://paperpile.com/b/hqnLqQ/qyDmA" TargetMode="External"/><Relationship Id="rId202" Type="http://schemas.openxmlformats.org/officeDocument/2006/relationships/image" Target="media/image58.png"/><Relationship Id="rId444" Type="http://schemas.openxmlformats.org/officeDocument/2006/relationships/hyperlink" Target="http://paperpile.com/b/hqnLqQ/XdvpV" TargetMode="External"/><Relationship Id="rId686" Type="http://schemas.openxmlformats.org/officeDocument/2006/relationships/hyperlink" Target="http://paperpile.com/b/hqnLqQ/9O9CJ" TargetMode="External"/><Relationship Id="rId1033" Type="http://schemas.openxmlformats.org/officeDocument/2006/relationships/hyperlink" Target="http://paperpile.com/b/hqnLqQ/HNlDt" TargetMode="External"/><Relationship Id="rId1275" Type="http://schemas.openxmlformats.org/officeDocument/2006/relationships/hyperlink" Target="http://paperpile.com/b/hqnLqQ/qyDmA" TargetMode="External"/><Relationship Id="rId201" Type="http://schemas.openxmlformats.org/officeDocument/2006/relationships/image" Target="media/image56.png"/><Relationship Id="rId443" Type="http://schemas.openxmlformats.org/officeDocument/2006/relationships/hyperlink" Target="http://paperpile.com/b/hqnLqQ/XdvpV" TargetMode="External"/><Relationship Id="rId685" Type="http://schemas.openxmlformats.org/officeDocument/2006/relationships/hyperlink" Target="http://paperpile.com/b/hqnLqQ/9O9CJ" TargetMode="External"/><Relationship Id="rId1034" Type="http://schemas.openxmlformats.org/officeDocument/2006/relationships/hyperlink" Target="http://paperpile.com/b/hqnLqQ/HNlDt" TargetMode="External"/><Relationship Id="rId1276" Type="http://schemas.openxmlformats.org/officeDocument/2006/relationships/hyperlink" Target="http://paperpile.com/b/hqnLqQ/qyDmA" TargetMode="External"/><Relationship Id="rId200" Type="http://schemas.openxmlformats.org/officeDocument/2006/relationships/hyperlink" Target="https://paperpile.com/c/hqnLqQ/spmY" TargetMode="External"/><Relationship Id="rId442" Type="http://schemas.openxmlformats.org/officeDocument/2006/relationships/hyperlink" Target="http://paperpile.com/b/hqnLqQ/XdvpV" TargetMode="External"/><Relationship Id="rId684" Type="http://schemas.openxmlformats.org/officeDocument/2006/relationships/hyperlink" Target="http://paperpile.com/b/hqnLqQ/MyIFY" TargetMode="External"/><Relationship Id="rId1035" Type="http://schemas.openxmlformats.org/officeDocument/2006/relationships/hyperlink" Target="http://paperpile.com/b/hqnLqQ/HNlDt" TargetMode="External"/><Relationship Id="rId1277" Type="http://schemas.openxmlformats.org/officeDocument/2006/relationships/hyperlink" Target="http://paperpile.com/b/hqnLqQ/qyDmA" TargetMode="External"/><Relationship Id="rId441" Type="http://schemas.openxmlformats.org/officeDocument/2006/relationships/hyperlink" Target="http://paperpile.com/b/hqnLqQ/XdvpV" TargetMode="External"/><Relationship Id="rId683" Type="http://schemas.openxmlformats.org/officeDocument/2006/relationships/hyperlink" Target="http://paperpile.com/b/hqnLqQ/MyIFY" TargetMode="External"/><Relationship Id="rId1036" Type="http://schemas.openxmlformats.org/officeDocument/2006/relationships/hyperlink" Target="http://paperpile.com/b/hqnLqQ/HNlDt" TargetMode="External"/><Relationship Id="rId1278" Type="http://schemas.openxmlformats.org/officeDocument/2006/relationships/hyperlink" Target="http://paperpile.com/b/hqnLqQ/qyDmA" TargetMode="External"/><Relationship Id="rId1026" Type="http://schemas.openxmlformats.org/officeDocument/2006/relationships/hyperlink" Target="http://paperpile.com/b/hqnLqQ/Ag6wX" TargetMode="External"/><Relationship Id="rId1268" Type="http://schemas.openxmlformats.org/officeDocument/2006/relationships/hyperlink" Target="http://paperpile.com/b/hqnLqQ/0Jl9L" TargetMode="External"/><Relationship Id="rId1027" Type="http://schemas.openxmlformats.org/officeDocument/2006/relationships/hyperlink" Target="http://paperpile.com/b/hqnLqQ/Ag6wX" TargetMode="External"/><Relationship Id="rId1269" Type="http://schemas.openxmlformats.org/officeDocument/2006/relationships/hyperlink" Target="http://paperpile.com/b/hqnLqQ/0Jl9L" TargetMode="External"/><Relationship Id="rId1028" Type="http://schemas.openxmlformats.org/officeDocument/2006/relationships/hyperlink" Target="http://paperpile.com/b/hqnLqQ/Ag6wX" TargetMode="External"/><Relationship Id="rId1029" Type="http://schemas.openxmlformats.org/officeDocument/2006/relationships/hyperlink" Target="http://paperpile.com/b/hqnLqQ/Ag6wX" TargetMode="External"/><Relationship Id="rId437" Type="http://schemas.openxmlformats.org/officeDocument/2006/relationships/hyperlink" Target="http://paperpile.com/b/hqnLqQ/MxYPa" TargetMode="External"/><Relationship Id="rId679" Type="http://schemas.openxmlformats.org/officeDocument/2006/relationships/hyperlink" Target="http://paperpile.com/b/hqnLqQ/MyIFY" TargetMode="External"/><Relationship Id="rId436" Type="http://schemas.openxmlformats.org/officeDocument/2006/relationships/hyperlink" Target="http://paperpile.com/b/hqnLqQ/MxYPa" TargetMode="External"/><Relationship Id="rId678" Type="http://schemas.openxmlformats.org/officeDocument/2006/relationships/hyperlink" Target="http://paperpile.com/b/hqnLqQ/MyIFY" TargetMode="External"/><Relationship Id="rId435" Type="http://schemas.openxmlformats.org/officeDocument/2006/relationships/hyperlink" Target="http://paperpile.com/b/hqnLqQ/MxYPa" TargetMode="External"/><Relationship Id="rId677" Type="http://schemas.openxmlformats.org/officeDocument/2006/relationships/hyperlink" Target="http://paperpile.com/b/hqnLqQ/CxUY7" TargetMode="External"/><Relationship Id="rId434" Type="http://schemas.openxmlformats.org/officeDocument/2006/relationships/hyperlink" Target="http://paperpile.com/b/hqnLqQ/MxYPa" TargetMode="External"/><Relationship Id="rId676" Type="http://schemas.openxmlformats.org/officeDocument/2006/relationships/hyperlink" Target="http://paperpile.com/b/hqnLqQ/CxUY7" TargetMode="External"/><Relationship Id="rId439" Type="http://schemas.openxmlformats.org/officeDocument/2006/relationships/hyperlink" Target="http://paperpile.com/b/hqnLqQ/XdvpV" TargetMode="External"/><Relationship Id="rId438" Type="http://schemas.openxmlformats.org/officeDocument/2006/relationships/hyperlink" Target="http://paperpile.com/b/hqnLqQ/XdvpV" TargetMode="External"/><Relationship Id="rId671" Type="http://schemas.openxmlformats.org/officeDocument/2006/relationships/hyperlink" Target="http://paperpile.com/b/hqnLqQ/CxUY7" TargetMode="External"/><Relationship Id="rId1260" Type="http://schemas.openxmlformats.org/officeDocument/2006/relationships/hyperlink" Target="http://paperpile.com/b/hqnLqQ/2b2nD" TargetMode="External"/><Relationship Id="rId670" Type="http://schemas.openxmlformats.org/officeDocument/2006/relationships/hyperlink" Target="http://paperpile.com/b/hqnLqQ/Iw8qF" TargetMode="External"/><Relationship Id="rId1261" Type="http://schemas.openxmlformats.org/officeDocument/2006/relationships/hyperlink" Target="http://paperpile.com/b/hqnLqQ/2b2nD" TargetMode="External"/><Relationship Id="rId1020" Type="http://schemas.openxmlformats.org/officeDocument/2006/relationships/hyperlink" Target="http://paperpile.com/b/hqnLqQ/cDAYL" TargetMode="External"/><Relationship Id="rId1262" Type="http://schemas.openxmlformats.org/officeDocument/2006/relationships/hyperlink" Target="http://paperpile.com/b/hqnLqQ/2b2nD" TargetMode="External"/><Relationship Id="rId1021" Type="http://schemas.openxmlformats.org/officeDocument/2006/relationships/hyperlink" Target="http://paperpile.com/b/hqnLqQ/cDAYL" TargetMode="External"/><Relationship Id="rId1263" Type="http://schemas.openxmlformats.org/officeDocument/2006/relationships/hyperlink" Target="http://paperpile.com/b/hqnLqQ/2b2nD" TargetMode="External"/><Relationship Id="rId433" Type="http://schemas.openxmlformats.org/officeDocument/2006/relationships/hyperlink" Target="http://paperpile.com/b/hqnLqQ/MxYPa" TargetMode="External"/><Relationship Id="rId675" Type="http://schemas.openxmlformats.org/officeDocument/2006/relationships/hyperlink" Target="http://paperpile.com/b/hqnLqQ/CxUY7" TargetMode="External"/><Relationship Id="rId1022" Type="http://schemas.openxmlformats.org/officeDocument/2006/relationships/hyperlink" Target="http://paperpile.com/b/hqnLqQ/cDAYL" TargetMode="External"/><Relationship Id="rId1264" Type="http://schemas.openxmlformats.org/officeDocument/2006/relationships/hyperlink" Target="http://paperpile.com/b/hqnLqQ/2b2nD" TargetMode="External"/><Relationship Id="rId432" Type="http://schemas.openxmlformats.org/officeDocument/2006/relationships/hyperlink" Target="http://paperpile.com/b/hqnLqQ/MxYPa" TargetMode="External"/><Relationship Id="rId674" Type="http://schemas.openxmlformats.org/officeDocument/2006/relationships/hyperlink" Target="http://paperpile.com/b/hqnLqQ/CxUY7" TargetMode="External"/><Relationship Id="rId1023" Type="http://schemas.openxmlformats.org/officeDocument/2006/relationships/hyperlink" Target="http://paperpile.com/b/hqnLqQ/cDAYL" TargetMode="External"/><Relationship Id="rId1265" Type="http://schemas.openxmlformats.org/officeDocument/2006/relationships/hyperlink" Target="http://paperpile.com/b/hqnLqQ/2b2nD" TargetMode="External"/><Relationship Id="rId431" Type="http://schemas.openxmlformats.org/officeDocument/2006/relationships/hyperlink" Target="http://paperpile.com/b/hqnLqQ/MxYPa" TargetMode="External"/><Relationship Id="rId673" Type="http://schemas.openxmlformats.org/officeDocument/2006/relationships/hyperlink" Target="http://paperpile.com/b/hqnLqQ/CxUY7" TargetMode="External"/><Relationship Id="rId1024" Type="http://schemas.openxmlformats.org/officeDocument/2006/relationships/hyperlink" Target="http://paperpile.com/b/hqnLqQ/cDAYL" TargetMode="External"/><Relationship Id="rId1266" Type="http://schemas.openxmlformats.org/officeDocument/2006/relationships/hyperlink" Target="http://paperpile.com/b/hqnLqQ/0Jl9L" TargetMode="External"/><Relationship Id="rId430" Type="http://schemas.openxmlformats.org/officeDocument/2006/relationships/hyperlink" Target="http://paperpile.com/b/hqnLqQ/0JrfH" TargetMode="External"/><Relationship Id="rId672" Type="http://schemas.openxmlformats.org/officeDocument/2006/relationships/hyperlink" Target="http://paperpile.com/b/hqnLqQ/CxUY7" TargetMode="External"/><Relationship Id="rId1025" Type="http://schemas.openxmlformats.org/officeDocument/2006/relationships/hyperlink" Target="http://paperpile.com/b/hqnLqQ/cDAYL" TargetMode="External"/><Relationship Id="rId1267" Type="http://schemas.openxmlformats.org/officeDocument/2006/relationships/hyperlink" Target="http://paperpile.com/b/hqnLqQ/0Jl9L"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CambriaMath-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C3RaLR22b6ypTxPGgKVyB7iVr/A==">AMUW2mXSgX57V+3o3b9mqkfSr/x1G5m7r6zX12uwMvHiibuh0IUElRSvd6NXFZ6am07h92Qp3+owPMzaxpU8JgIThHRuU8YWYwVLztBblZBTWAOPETo9SvPhEgoxo4JmhGTNv4mk+9K5ACCV31+/ZTHvdfYq0lsiJv/Zl+QPMQMnSibP549Lr8UjbC2XwoVFxKVCYlSAS4Hv04TU5F9y5rE8DNkTMn64qNlYZdI8iBej8SA2hTOzDCspLnlhZKDWDuRVZusVGLDbctNam4QHtL5wU0ZUhh3+/NNHuhfMw46Uj7OajYG4LDNxfyz7Epgm2di7GWNM4zKRz6BGwJ2RX01G71btcx5OyKT5gUTdGKYmyx6dPr+YYrjP9ihXJDTQVDYUAKM1RvHp0vPIpwsAWR/d5hnTbxhbjtOoNEHEdByzegaNP1DenlKw0EdQYOMuejQSO18DzKC9Mg3ivW3xy0pcHJ5aKknem9SkcmWQhjImc85Z34J6LmRiDAaoV3cZPlXk6pEev/9eE6BAjbhFQzg+j5Tl/WdTCu21f49qYz03yGkV/OKodTqMiBh1pHmTlhU3a4VWTIcHbil1PzIEAelznd44/DakEwiG1feQieLqPdBeMXDv9c5GdBcV4Z4VRhi2Mx/lRCqBkTvzrK5zfw/ocW2JYNGyn3uFxz+LVHhC2YT/76oGKNfKbb6YVo1Ss/DJYl/p0DcVKgom+mwSVZ6X6R0m5RP9Bfjh4nDOCRf8SZm4Vtv3BGiAtfBYf/2Mjar8aw/9T/vBiEwSUntd1d0HttaBQlpAOYlQ1fCQPRJLqeD4S2wkarCOXbEX9UFmdbbQMJHb/4AedVhmpYRADV/qizysefOxaBMk4nCPtx80cCHN2JIwDcLatJDtSliq24a7X/gMnWAUijLqplj9+8cXTLgJzc/V16+30iPjvOuCBbBuB0ubrJ2fcm+Vczr4EKZOOgV4RRnoCTltrrxibb8cygCLixKJYsHc9V3cz0O1MEfqyLeSbHadVU1mc6VseX7Tt2Bbqdus0A+MilrSmrLTZNSsi9Mi3z4fX5cd3Wpur51mdOYZIo8oeOZCK7dn9RYivQPKa9ZjoH25/JZUml0NVrVLb5x9OX41vZ8Xf2p430eyDtwLG2/9zcjDYKk2xiL7Wln3XlcFI3ErrTfoTCEbVi+l+eswAqJ4s0lT8MOONE6F6S4enXuIgPKXi1pWVG/CiAOERJciaSMAb9qvTCQTlYgYDw9d2cIlbXaPDzxLiGri3wtlX93U5GQ7f4Ck7yg7ele2/xrktoL3BsOKIvkdEdKK11o7/qS0WH87kr8gOLEZKvvQatc0kP8eVcD1dwZejUqjinYxpCOqUU9aq5JDzuef+94XbPDVmIlMLUXzfSMg6E4r+NZXIdK6C0y53eQK48+06YT2/3dpfuZxoHMieEgT+knRqxdYaWKNU0A1MwAdr1T5cgRhkidl99Sw91I2tEvqxrP0lE7F8lKR+VKHjffnCYpIpIJafHtRdGLfXhuXywI2t3mhEaVhV5A1N5wSOCXeI0wrQzyyLswZtC0eax5wctSV5756uKLUT7/0Na1XcdgGVKce5gUiuDiDLfiNmKR533FrkaVbG4VGc9w82+fs7E47WvOfd6T7rxbpCnyA/XVS9CE4/el8kEIBWUrL2gnRLUhdym2lud13Gs4pV6UGdHYLxdYh536eEbFo0DLqsppeuYnNf8XS9x1GFH2hRjJxRRVml54UBMIfogqyhUnWTsdBN0G6XJGwRucKBRPsmX4aDGhougbkZ6Fpck8w2B7LzMm7JwaHPI09l5+DDOfpTtQieIpb9ID7RUdL03+oAIMzo67tzNpAN9SlqrLNzaMKPPQBEYepW0ajsoXWzlBi1d+NN7EUWMIw4w8ZoBi+k/VgOIQXmWvNEZfc4hcF9f3j6TEdF6IkCs1XO4ZULirGkqGJG75R/2os3mCIn2aGA+bJtrpqZlXhq0WzKgCrbh+LQGj8RUd/jMeMRpZj5zbekF57JHD0E0LBbyyqKw9kCFbBvZmNFKqvINY+D1yGnZ1L5hgx17XUMOQCegD822T7rUHG7Y1UGZ88FEpBAoYsiNddYX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2022-08-07T22:15:00Z</dcterms:created>
</cp:coreProperties>
</file>