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9EF94" w14:textId="77777777" w:rsidR="00570424" w:rsidRDefault="00000000">
      <w:pPr>
        <w:pStyle w:val="Title"/>
        <w:spacing w:line="360" w:lineRule="auto"/>
        <w:jc w:val="both"/>
      </w:pPr>
      <w:bookmarkStart w:id="0" w:name="_gjdgxs" w:colFirst="0" w:colLast="0"/>
      <w:bookmarkEnd w:id="0"/>
      <w:r>
        <w:t>Supplementary Methods and Figures</w:t>
      </w:r>
    </w:p>
    <w:p w14:paraId="67A8BE81" w14:textId="77777777" w:rsidR="00570424" w:rsidRDefault="00000000">
      <w:pPr>
        <w:pStyle w:val="Heading1"/>
        <w:spacing w:line="360" w:lineRule="auto"/>
      </w:pPr>
      <w:bookmarkStart w:id="1" w:name="_30j0zll" w:colFirst="0" w:colLast="0"/>
      <w:bookmarkEnd w:id="1"/>
      <w:r>
        <w:rPr>
          <w:b/>
        </w:rPr>
        <w:t>Section 1</w:t>
      </w:r>
      <w:r>
        <w:t>: Phenotyping from nationwide population-based health registries</w:t>
      </w:r>
    </w:p>
    <w:p w14:paraId="4FA14E7A" w14:textId="77777777" w:rsidR="00570424" w:rsidRDefault="00000000">
      <w:pPr>
        <w:spacing w:before="240" w:after="240" w:line="360" w:lineRule="auto"/>
        <w:jc w:val="both"/>
        <w:rPr>
          <w:i/>
        </w:rPr>
      </w:pPr>
      <w:r>
        <w:t xml:space="preserve">In Finland, </w:t>
      </w:r>
      <w:proofErr w:type="gramStart"/>
      <w:r>
        <w:t>similar to</w:t>
      </w:r>
      <w:proofErr w:type="gramEnd"/>
      <w:r>
        <w:t xml:space="preserve"> the other Nordic Countries, there are nationwide electronic health registers originally established primarily for administrative purposes to monitor the usage of healthcare nationwide and over the lifespan. These registers have almost complete coverage of major health-related events, such as hospitalizations, prescription drug purchases (not including hospital administered medications), medical procedures or deaths with a history of data collection spanning more than 50 years. All registers can be linked electronically using the unique personal identity code (PIC) which is assigned to every permanent resident of Finland (</w:t>
      </w:r>
      <w:hyperlink r:id="rId6">
        <w:r>
          <w:rPr>
            <w:color w:val="1155CC"/>
            <w:u w:val="single"/>
          </w:rPr>
          <w:t>https://dvv.fi/en/personal-identity-code</w:t>
        </w:r>
      </w:hyperlink>
      <w:r>
        <w:t>). Only people who have moved permanently abroad are lost to follow-up. The Finnish health registers, including their diagnostic validity and accuracy, have been reviewed previously</w:t>
      </w:r>
      <w:hyperlink r:id="rId7">
        <w:r>
          <w:rPr>
            <w:vertAlign w:val="superscript"/>
          </w:rPr>
          <w:t>1–4</w:t>
        </w:r>
      </w:hyperlink>
      <w:r>
        <w:t xml:space="preserve"> and more recently using </w:t>
      </w:r>
      <w:proofErr w:type="spellStart"/>
      <w:r>
        <w:t>FinnGen</w:t>
      </w:r>
      <w:proofErr w:type="spellEnd"/>
      <w:r>
        <w:t xml:space="preserve"> data</w:t>
      </w:r>
      <w:hyperlink r:id="rId8">
        <w:r>
          <w:rPr>
            <w:vertAlign w:val="superscript"/>
          </w:rPr>
          <w:t>5,6</w:t>
        </w:r>
      </w:hyperlink>
      <w:r>
        <w:rPr>
          <w:i/>
        </w:rPr>
        <w:t xml:space="preserve">. </w:t>
      </w:r>
    </w:p>
    <w:p w14:paraId="7A4C8292" w14:textId="77777777" w:rsidR="00570424" w:rsidRDefault="00000000">
      <w:pPr>
        <w:spacing w:before="240" w:after="240" w:line="360" w:lineRule="auto"/>
        <w:jc w:val="both"/>
      </w:pPr>
      <w:r>
        <w:t xml:space="preserve">Health </w:t>
      </w:r>
      <w:proofErr w:type="gramStart"/>
      <w:r>
        <w:t>register based</w:t>
      </w:r>
      <w:proofErr w:type="gramEnd"/>
      <w:r>
        <w:t xml:space="preserve"> phenotypes, called endpoints, were created by combining data (mainly using ICD and ATC codes) from different nationwide heath registers (Supplementary Table 1). For a </w:t>
      </w:r>
      <w:proofErr w:type="spellStart"/>
      <w:r>
        <w:t>pheWAS</w:t>
      </w:r>
      <w:proofErr w:type="spellEnd"/>
      <w:r>
        <w:t xml:space="preserve"> approach we have initially constructed more than 2800 endpoints by combining data from different health registers. To create these endpoints, we have mainly used Finnish version of International Classification of Diseases (ICD 8,9,10), in the care register for health care, and in causes of deaths. To further add specificity and sensitivity of endpoints we enhance them by combining data from other registers, which include the Finnish Cancer Registry (ICD-O-3 codes) and prescription drug purchase (using Anatomical Therapeutic Chemical (ATC) codes) and medication reimbursement data (Supplementary Table 1). Besides the register data, smoking, BMI and gender information was provided by biobanks. The baseline data had been collected in different ways, either from hospital EHRs or in the case of legacy cohorts from study questionnaires. Clinical expert groups and Core </w:t>
      </w:r>
      <w:proofErr w:type="spellStart"/>
      <w:r>
        <w:t>FinnGen</w:t>
      </w:r>
      <w:proofErr w:type="spellEnd"/>
      <w:r>
        <w:t xml:space="preserve"> teams designed which codes are used to create each disease endpoint to optimize specificity and sensitivity. Supplementary Table 3 lists codes and code combinations used for the 15 demonstration endpoints. It illustrates the range of complexity </w:t>
      </w:r>
      <w:proofErr w:type="gramStart"/>
      <w:r>
        <w:t>e.g.</w:t>
      </w:r>
      <w:proofErr w:type="gramEnd"/>
      <w:r>
        <w:t xml:space="preserve"> for primary open angle glaucoma only the ICD-10 code H40.1 from discharge registers was needed (with corresponding ICD-8 and ICD-9 codes), whereas for </w:t>
      </w:r>
      <w:r>
        <w:lastRenderedPageBreak/>
        <w:t xml:space="preserve">Alzheimer’s disease and cancers codes from several registers were combined. Additional rules (e.g., age cut offs) for each health-related endpoint are listed as footnotes in Supplementary Table 3. For each endpoint, all recorded events with age at event were first recorded. Then so called first-ever event data was constructed, with age-of-onset for cases, and age at censoring or at the end of follow-up for controls. This data was used for the </w:t>
      </w:r>
      <w:proofErr w:type="spellStart"/>
      <w:r>
        <w:t>FinnGen</w:t>
      </w:r>
      <w:proofErr w:type="spellEnd"/>
      <w:r>
        <w:t xml:space="preserve"> core GWAS analyses. </w:t>
      </w:r>
    </w:p>
    <w:p w14:paraId="643A1C97" w14:textId="77777777" w:rsidR="00570424" w:rsidRDefault="00000000">
      <w:pPr>
        <w:spacing w:before="240" w:after="240" w:line="360" w:lineRule="auto"/>
        <w:jc w:val="both"/>
        <w:rPr>
          <w:shd w:val="clear" w:color="auto" w:fill="FCFCFC"/>
        </w:rPr>
      </w:pPr>
      <w:r>
        <w:t xml:space="preserve">The Finnish ICD-10 </w:t>
      </w:r>
      <w:proofErr w:type="gramStart"/>
      <w:r>
        <w:t>version</w:t>
      </w:r>
      <w:proofErr w:type="gramEnd"/>
      <w:r>
        <w:t xml:space="preserve"> </w:t>
      </w:r>
      <w:r>
        <w:rPr>
          <w:shd w:val="clear" w:color="auto" w:fill="FCFCFC"/>
        </w:rPr>
        <w:t xml:space="preserve">which is used in hospital inpatient stays, hospital outpatient visits, and causes of deaths was the basis for the endpoint creation. The Finnish version is mostly identical to international ICD-10 classification with minor modifications mostly adding levels of specificity, </w:t>
      </w:r>
      <w:proofErr w:type="gramStart"/>
      <w:r>
        <w:rPr>
          <w:shd w:val="clear" w:color="auto" w:fill="FCFCFC"/>
        </w:rPr>
        <w:t>i.e.</w:t>
      </w:r>
      <w:proofErr w:type="gramEnd"/>
      <w:r>
        <w:rPr>
          <w:shd w:val="clear" w:color="auto" w:fill="FCFCFC"/>
        </w:rPr>
        <w:t xml:space="preserve"> there are additions to certain disease classifications in 4</w:t>
      </w:r>
      <w:r>
        <w:rPr>
          <w:shd w:val="clear" w:color="auto" w:fill="FCFCFC"/>
          <w:vertAlign w:val="superscript"/>
        </w:rPr>
        <w:t>th</w:t>
      </w:r>
      <w:r>
        <w:rPr>
          <w:shd w:val="clear" w:color="auto" w:fill="FCFCFC"/>
        </w:rPr>
        <w:t xml:space="preserve"> and 5</w:t>
      </w:r>
      <w:r>
        <w:rPr>
          <w:shd w:val="clear" w:color="auto" w:fill="FCFCFC"/>
          <w:vertAlign w:val="superscript"/>
        </w:rPr>
        <w:t>th</w:t>
      </w:r>
      <w:r>
        <w:rPr>
          <w:shd w:val="clear" w:color="auto" w:fill="FCFCFC"/>
        </w:rPr>
        <w:t xml:space="preserve"> character level.</w:t>
      </w:r>
      <w:r>
        <w:t xml:space="preserve"> ICD definitions were then harmonized over different national ICD versions, ICD-10, ICD-9 and ICD-8. </w:t>
      </w:r>
      <w:r>
        <w:rPr>
          <w:shd w:val="clear" w:color="auto" w:fill="FCFCFC"/>
        </w:rPr>
        <w:t xml:space="preserve">Mapping of the diagnosis codes (ICD8-10, ICD-O, SPAT, ICPC), Finnish therapeutic and diagnostic procedure codes (based on </w:t>
      </w:r>
      <w:proofErr w:type="spellStart"/>
      <w:r>
        <w:rPr>
          <w:shd w:val="clear" w:color="auto" w:fill="FCFCFC"/>
        </w:rPr>
        <w:t>Nomesco</w:t>
      </w:r>
      <w:proofErr w:type="spellEnd"/>
      <w:r>
        <w:rPr>
          <w:shd w:val="clear" w:color="auto" w:fill="FCFCFC"/>
        </w:rPr>
        <w:t>), and pharmaceutical codes (ATC and VNR) into standardized OMOP-CDM vocabulary is ongoing (</w:t>
      </w:r>
      <w:hyperlink r:id="rId9">
        <w:r>
          <w:rPr>
            <w:color w:val="1155CC"/>
            <w:u w:val="single"/>
            <w:shd w:val="clear" w:color="auto" w:fill="FCFCFC"/>
          </w:rPr>
          <w:t>OMOP Common Data Model – OHDSI</w:t>
        </w:r>
      </w:hyperlink>
      <w:r>
        <w:rPr>
          <w:shd w:val="clear" w:color="auto" w:fill="FCFCFC"/>
        </w:rPr>
        <w:t>).</w:t>
      </w:r>
    </w:p>
    <w:p w14:paraId="2467A8F2" w14:textId="77777777" w:rsidR="00570424" w:rsidRDefault="00000000">
      <w:pPr>
        <w:spacing w:before="240" w:after="240" w:line="360" w:lineRule="auto"/>
        <w:jc w:val="both"/>
      </w:pPr>
      <w:r>
        <w:t xml:space="preserve">There is an extensive literature describing the validity of these nationwide registers, thus a comprehensive validation within </w:t>
      </w:r>
      <w:proofErr w:type="spellStart"/>
      <w:r>
        <w:t>FinnGen</w:t>
      </w:r>
      <w:proofErr w:type="spellEnd"/>
      <w:r>
        <w:t xml:space="preserve"> was not prioritized</w:t>
      </w:r>
      <w:hyperlink r:id="rId10">
        <w:r>
          <w:rPr>
            <w:vertAlign w:val="superscript"/>
          </w:rPr>
          <w:t>2–6</w:t>
        </w:r>
      </w:hyperlink>
      <w:r>
        <w:t xml:space="preserve">. The portal, </w:t>
      </w:r>
      <w:proofErr w:type="spellStart"/>
      <w:r>
        <w:t>Risteys</w:t>
      </w:r>
      <w:proofErr w:type="spellEnd"/>
      <w:r>
        <w:t xml:space="preserve"> (r5.risteys.finngen.fi for endpoints used in this manuscript, latest </w:t>
      </w:r>
      <w:proofErr w:type="spellStart"/>
      <w:r>
        <w:t>FinnGen</w:t>
      </w:r>
      <w:proofErr w:type="spellEnd"/>
      <w:r>
        <w:t xml:space="preserve"> endpoints: </w:t>
      </w:r>
      <w:hyperlink r:id="rId11">
        <w:r>
          <w:rPr>
            <w:color w:val="1155CC"/>
            <w:u w:val="single"/>
          </w:rPr>
          <w:t>https://risteys.finngen.fi/</w:t>
        </w:r>
      </w:hyperlink>
      <w:r>
        <w:t xml:space="preserve">) was designed for exploring </w:t>
      </w:r>
      <w:proofErr w:type="spellStart"/>
      <w:r>
        <w:t>FinnGen</w:t>
      </w:r>
      <w:proofErr w:type="spellEnd"/>
      <w:r>
        <w:t xml:space="preserve"> endpoints. </w:t>
      </w:r>
      <w:proofErr w:type="spellStart"/>
      <w:r>
        <w:t>Risteys</w:t>
      </w:r>
      <w:proofErr w:type="spellEnd"/>
      <w:r>
        <w:t xml:space="preserve"> is linked to </w:t>
      </w:r>
      <w:proofErr w:type="spellStart"/>
      <w:r>
        <w:t>MeSH</w:t>
      </w:r>
      <w:proofErr w:type="spellEnd"/>
      <w:r>
        <w:t xml:space="preserve"> (Medical Subject Headings) and SNOMED health terminology standards.</w:t>
      </w:r>
    </w:p>
    <w:p w14:paraId="37C90875" w14:textId="77777777" w:rsidR="00570424" w:rsidRDefault="00000000">
      <w:pPr>
        <w:spacing w:before="240" w:after="240" w:line="360" w:lineRule="auto"/>
        <w:jc w:val="both"/>
        <w:rPr>
          <w:i/>
          <w:color w:val="444499"/>
          <w:sz w:val="20"/>
          <w:szCs w:val="20"/>
        </w:rPr>
      </w:pPr>
      <w:r>
        <w:rPr>
          <w:noProof/>
        </w:rPr>
        <w:lastRenderedPageBreak/>
        <w:drawing>
          <wp:inline distT="114300" distB="114300" distL="114300" distR="114300" wp14:anchorId="33C35E12" wp14:editId="68FCA617">
            <wp:extent cx="5943600" cy="49530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943600" cy="4953000"/>
                    </a:xfrm>
                    <a:prstGeom prst="rect">
                      <a:avLst/>
                    </a:prstGeom>
                    <a:ln/>
                  </pic:spPr>
                </pic:pic>
              </a:graphicData>
            </a:graphic>
          </wp:inline>
        </w:drawing>
      </w:r>
    </w:p>
    <w:p w14:paraId="3656415A" w14:textId="77777777" w:rsidR="00570424" w:rsidRDefault="00570424">
      <w:pPr>
        <w:spacing w:line="360" w:lineRule="auto"/>
        <w:rPr>
          <w:i/>
          <w:color w:val="444499"/>
          <w:sz w:val="20"/>
          <w:szCs w:val="20"/>
        </w:rPr>
      </w:pPr>
    </w:p>
    <w:p w14:paraId="2615F329" w14:textId="77777777" w:rsidR="00570424" w:rsidRDefault="00000000">
      <w:pPr>
        <w:spacing w:line="360" w:lineRule="auto"/>
        <w:rPr>
          <w:sz w:val="24"/>
          <w:szCs w:val="24"/>
        </w:rPr>
      </w:pPr>
      <w:r>
        <w:rPr>
          <w:b/>
          <w:sz w:val="18"/>
          <w:szCs w:val="18"/>
        </w:rPr>
        <w:t xml:space="preserve">Supplementary Figure 1. </w:t>
      </w:r>
      <w:proofErr w:type="spellStart"/>
      <w:r>
        <w:rPr>
          <w:b/>
          <w:sz w:val="18"/>
          <w:szCs w:val="18"/>
        </w:rPr>
        <w:t>FinnGen</w:t>
      </w:r>
      <w:proofErr w:type="spellEnd"/>
      <w:r>
        <w:rPr>
          <w:b/>
          <w:sz w:val="18"/>
          <w:szCs w:val="18"/>
        </w:rPr>
        <w:t xml:space="preserve"> Age Distribution and Registers.</w:t>
      </w:r>
      <w:r>
        <w:rPr>
          <w:sz w:val="18"/>
          <w:szCs w:val="18"/>
        </w:rPr>
        <w:t xml:space="preserve">  A) Distribution of the current age (age at the end of the follow-</w:t>
      </w:r>
      <w:proofErr w:type="gramStart"/>
      <w:r>
        <w:rPr>
          <w:sz w:val="18"/>
          <w:szCs w:val="18"/>
        </w:rPr>
        <w:t>up)  and</w:t>
      </w:r>
      <w:proofErr w:type="gramEnd"/>
      <w:r>
        <w:rPr>
          <w:sz w:val="18"/>
          <w:szCs w:val="18"/>
        </w:rPr>
        <w:t xml:space="preserve"> age of death for </w:t>
      </w:r>
      <w:proofErr w:type="spellStart"/>
      <w:r>
        <w:rPr>
          <w:sz w:val="18"/>
          <w:szCs w:val="18"/>
        </w:rPr>
        <w:t>FinnGen</w:t>
      </w:r>
      <w:proofErr w:type="spellEnd"/>
      <w:r>
        <w:rPr>
          <w:sz w:val="18"/>
          <w:szCs w:val="18"/>
        </w:rPr>
        <w:t xml:space="preserve"> participants B) Follow-up time and main coding used in each register among </w:t>
      </w:r>
      <w:proofErr w:type="spellStart"/>
      <w:r>
        <w:rPr>
          <w:sz w:val="18"/>
          <w:szCs w:val="18"/>
        </w:rPr>
        <w:t>FinnGen</w:t>
      </w:r>
      <w:proofErr w:type="spellEnd"/>
      <w:r>
        <w:rPr>
          <w:sz w:val="18"/>
          <w:szCs w:val="18"/>
        </w:rPr>
        <w:t xml:space="preserve"> participants in </w:t>
      </w:r>
      <w:proofErr w:type="spellStart"/>
      <w:r>
        <w:rPr>
          <w:sz w:val="18"/>
          <w:szCs w:val="18"/>
        </w:rPr>
        <w:t>FinnGen</w:t>
      </w:r>
      <w:proofErr w:type="spellEnd"/>
      <w:r>
        <w:rPr>
          <w:sz w:val="18"/>
          <w:szCs w:val="18"/>
        </w:rPr>
        <w:t xml:space="preserve"> release 5. Abbreviations: CANCER = The Finnish Cancer Registry; DEATH = Cause of death register; INPATIENT =</w:t>
      </w:r>
      <w:r>
        <w:rPr>
          <w:sz w:val="24"/>
          <w:szCs w:val="24"/>
        </w:rPr>
        <w:t xml:space="preserve"> </w:t>
      </w:r>
      <w:r>
        <w:rPr>
          <w:sz w:val="18"/>
          <w:szCs w:val="18"/>
        </w:rPr>
        <w:t>HILMO - Care Register for Health Care: Inpatient hospital visits; OUTPATIENT =</w:t>
      </w:r>
      <w:r>
        <w:rPr>
          <w:sz w:val="24"/>
          <w:szCs w:val="24"/>
        </w:rPr>
        <w:t xml:space="preserve"> </w:t>
      </w:r>
      <w:r>
        <w:rPr>
          <w:sz w:val="18"/>
          <w:szCs w:val="18"/>
        </w:rPr>
        <w:t xml:space="preserve">HILMO - Care Register for Health Care: Specialty outpatient visits and day surgeries; PURCHASE = Drug Purchases: All Prescription drug purchases; REIMBURSEMENT = Drug Reimbursement: entitlements for prescription drug reimbursement for certain chronic diseases.  </w:t>
      </w:r>
    </w:p>
    <w:p w14:paraId="331E4117" w14:textId="77777777" w:rsidR="00570424" w:rsidRDefault="00000000">
      <w:pPr>
        <w:spacing w:line="360" w:lineRule="auto"/>
        <w:rPr>
          <w:i/>
          <w:color w:val="444499"/>
          <w:sz w:val="20"/>
          <w:szCs w:val="20"/>
        </w:rPr>
      </w:pPr>
      <w:r>
        <w:rPr>
          <w:i/>
          <w:noProof/>
          <w:color w:val="444499"/>
          <w:sz w:val="20"/>
          <w:szCs w:val="20"/>
        </w:rPr>
        <w:lastRenderedPageBreak/>
        <w:drawing>
          <wp:inline distT="114300" distB="114300" distL="114300" distR="114300" wp14:anchorId="3F7CB11F" wp14:editId="2DA3DA43">
            <wp:extent cx="5943600" cy="77724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943600" cy="7772400"/>
                    </a:xfrm>
                    <a:prstGeom prst="rect">
                      <a:avLst/>
                    </a:prstGeom>
                    <a:ln/>
                  </pic:spPr>
                </pic:pic>
              </a:graphicData>
            </a:graphic>
          </wp:inline>
        </w:drawing>
      </w:r>
    </w:p>
    <w:p w14:paraId="2AB3D6FD" w14:textId="77777777" w:rsidR="00570424" w:rsidRDefault="00000000">
      <w:pPr>
        <w:spacing w:line="360" w:lineRule="auto"/>
        <w:rPr>
          <w:sz w:val="20"/>
          <w:szCs w:val="20"/>
        </w:rPr>
      </w:pPr>
      <w:r>
        <w:rPr>
          <w:b/>
          <w:sz w:val="20"/>
          <w:szCs w:val="20"/>
        </w:rPr>
        <w:t>Supplementary Figure 2.</w:t>
      </w:r>
      <w:r>
        <w:rPr>
          <w:sz w:val="20"/>
          <w:szCs w:val="20"/>
        </w:rPr>
        <w:t xml:space="preserve"> Distribution of the participants A) age at the baseline (participation age), B) age at the end-of the follow-up or C) age at death.</w:t>
      </w:r>
    </w:p>
    <w:p w14:paraId="504B7443" w14:textId="77777777" w:rsidR="00570424" w:rsidRDefault="00570424">
      <w:pPr>
        <w:spacing w:line="360" w:lineRule="auto"/>
        <w:rPr>
          <w:sz w:val="20"/>
          <w:szCs w:val="20"/>
        </w:rPr>
      </w:pPr>
    </w:p>
    <w:p w14:paraId="79B80BB3" w14:textId="77777777" w:rsidR="00570424" w:rsidRDefault="00000000">
      <w:pPr>
        <w:spacing w:line="360" w:lineRule="auto"/>
        <w:jc w:val="both"/>
        <w:rPr>
          <w:sz w:val="20"/>
          <w:szCs w:val="20"/>
        </w:rPr>
      </w:pPr>
      <w:r>
        <w:rPr>
          <w:noProof/>
          <w:sz w:val="20"/>
          <w:szCs w:val="20"/>
        </w:rPr>
        <w:drawing>
          <wp:inline distT="114300" distB="114300" distL="114300" distR="114300" wp14:anchorId="01F91AAE" wp14:editId="4C812C9F">
            <wp:extent cx="5943600" cy="34671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3467100"/>
                    </a:xfrm>
                    <a:prstGeom prst="rect">
                      <a:avLst/>
                    </a:prstGeom>
                    <a:ln/>
                  </pic:spPr>
                </pic:pic>
              </a:graphicData>
            </a:graphic>
          </wp:inline>
        </w:drawing>
      </w:r>
    </w:p>
    <w:p w14:paraId="24A5B84E" w14:textId="77777777" w:rsidR="00570424" w:rsidRDefault="00570424">
      <w:pPr>
        <w:spacing w:line="360" w:lineRule="auto"/>
        <w:jc w:val="both"/>
        <w:rPr>
          <w:i/>
          <w:color w:val="444499"/>
          <w:sz w:val="20"/>
          <w:szCs w:val="20"/>
        </w:rPr>
      </w:pPr>
    </w:p>
    <w:p w14:paraId="049C5FEE" w14:textId="77777777" w:rsidR="00570424" w:rsidRDefault="00000000">
      <w:pPr>
        <w:spacing w:line="360" w:lineRule="auto"/>
        <w:jc w:val="both"/>
        <w:rPr>
          <w:sz w:val="20"/>
          <w:szCs w:val="20"/>
        </w:rPr>
      </w:pPr>
      <w:r>
        <w:rPr>
          <w:b/>
          <w:sz w:val="18"/>
          <w:szCs w:val="18"/>
          <w:highlight w:val="white"/>
        </w:rPr>
        <w:t>Supplementary Figure 3.</w:t>
      </w:r>
      <w:r>
        <w:rPr>
          <w:rFonts w:ascii="Roboto" w:eastAsia="Roboto" w:hAnsi="Roboto" w:cs="Roboto"/>
          <w:sz w:val="21"/>
          <w:szCs w:val="21"/>
          <w:highlight w:val="white"/>
        </w:rPr>
        <w:t xml:space="preserve"> Number of events (log scale) per individual in each of the registers. Abbreviations: CANCER = The Finnish Cancer Registry (N entries: 47 027,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38 839); DEATH = Cause of death register (N entries: 36 805,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15 734); INPAT = HILMO - Care Register for Health Care: Inpatient hospital visits (N entries: 2 872 935,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212 138); OUTPAT = HILMO - Care Register for Health Care: Outpatient visits and day surgeries (N entries: 10 907 092,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215 777); OPER_IN = Operations in inpatient HILMO register (1 676 826;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179 381), OPER_OUT: Operations in outpatient HILMO register (entries: 4 152 653,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185 849), PURCH = Drug Purchases (N entries: 45 338 945,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xml:space="preserve">. 223 809): All Prescription drug purchases; REIMB = Drug Reimbursement: entitlements for prescription drug reimbursement (N entries: 310 198, N </w:t>
      </w:r>
      <w:proofErr w:type="spellStart"/>
      <w:r>
        <w:rPr>
          <w:rFonts w:ascii="Roboto" w:eastAsia="Roboto" w:hAnsi="Roboto" w:cs="Roboto"/>
          <w:sz w:val="21"/>
          <w:szCs w:val="21"/>
          <w:highlight w:val="white"/>
        </w:rPr>
        <w:t>indiv</w:t>
      </w:r>
      <w:proofErr w:type="spellEnd"/>
      <w:r>
        <w:rPr>
          <w:rFonts w:ascii="Roboto" w:eastAsia="Roboto" w:hAnsi="Roboto" w:cs="Roboto"/>
          <w:sz w:val="21"/>
          <w:szCs w:val="21"/>
          <w:highlight w:val="white"/>
        </w:rPr>
        <w:t>.: 119 950).</w:t>
      </w:r>
      <w:r>
        <w:rPr>
          <w:rFonts w:ascii="Times New Roman" w:eastAsia="Times New Roman" w:hAnsi="Times New Roman" w:cs="Times New Roman"/>
          <w:sz w:val="18"/>
          <w:szCs w:val="18"/>
          <w:highlight w:val="white"/>
        </w:rPr>
        <w:t xml:space="preserve"> </w:t>
      </w:r>
      <w:r>
        <w:rPr>
          <w:rFonts w:ascii="Roboto" w:eastAsia="Roboto" w:hAnsi="Roboto" w:cs="Roboto"/>
          <w:sz w:val="21"/>
          <w:szCs w:val="21"/>
          <w:highlight w:val="white"/>
        </w:rPr>
        <w:t>Horizontal line in the box indicates median and lower and upper bounds of the boxes indicate 25th and 75th percentile. Lines from boxes extend 1.5 * inter-quartile range (distance between the first and third quartiles). Data beyond lines are plotted individually.</w:t>
      </w:r>
    </w:p>
    <w:p w14:paraId="7E18EDE5" w14:textId="77777777" w:rsidR="00570424" w:rsidRDefault="00570424">
      <w:pPr>
        <w:spacing w:line="360" w:lineRule="auto"/>
        <w:jc w:val="both"/>
        <w:rPr>
          <w:sz w:val="20"/>
          <w:szCs w:val="20"/>
        </w:rPr>
      </w:pPr>
    </w:p>
    <w:p w14:paraId="1D6B727D" w14:textId="77777777" w:rsidR="00570424" w:rsidRDefault="00570424">
      <w:pPr>
        <w:spacing w:line="360" w:lineRule="auto"/>
        <w:jc w:val="both"/>
        <w:rPr>
          <w:sz w:val="20"/>
          <w:szCs w:val="20"/>
        </w:rPr>
      </w:pPr>
    </w:p>
    <w:p w14:paraId="3E13E879" w14:textId="77777777" w:rsidR="00570424" w:rsidRDefault="00000000">
      <w:pPr>
        <w:spacing w:line="360" w:lineRule="auto"/>
        <w:jc w:val="both"/>
        <w:rPr>
          <w:i/>
          <w:color w:val="444499"/>
          <w:sz w:val="20"/>
          <w:szCs w:val="20"/>
        </w:rPr>
      </w:pPr>
      <w:r>
        <w:rPr>
          <w:noProof/>
          <w:sz w:val="20"/>
          <w:szCs w:val="20"/>
        </w:rPr>
        <w:lastRenderedPageBreak/>
        <w:drawing>
          <wp:inline distT="114300" distB="114300" distL="114300" distR="114300" wp14:anchorId="1299BE70" wp14:editId="2F2B7DAB">
            <wp:extent cx="5943600" cy="59436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43600" cy="5943600"/>
                    </a:xfrm>
                    <a:prstGeom prst="rect">
                      <a:avLst/>
                    </a:prstGeom>
                    <a:ln/>
                  </pic:spPr>
                </pic:pic>
              </a:graphicData>
            </a:graphic>
          </wp:inline>
        </w:drawing>
      </w:r>
    </w:p>
    <w:p w14:paraId="1CCA333D" w14:textId="77777777" w:rsidR="00570424" w:rsidRDefault="00570424">
      <w:pPr>
        <w:spacing w:line="360" w:lineRule="auto"/>
        <w:jc w:val="both"/>
        <w:rPr>
          <w:sz w:val="20"/>
          <w:szCs w:val="20"/>
        </w:rPr>
      </w:pPr>
    </w:p>
    <w:p w14:paraId="141C775E" w14:textId="77777777" w:rsidR="00570424" w:rsidRDefault="00000000">
      <w:pPr>
        <w:spacing w:line="360" w:lineRule="auto"/>
        <w:jc w:val="both"/>
        <w:rPr>
          <w:sz w:val="20"/>
          <w:szCs w:val="20"/>
        </w:rPr>
      </w:pPr>
      <w:r>
        <w:rPr>
          <w:b/>
          <w:sz w:val="20"/>
          <w:szCs w:val="20"/>
        </w:rPr>
        <w:t>Supplementary Figure 4</w:t>
      </w:r>
      <w:r>
        <w:rPr>
          <w:sz w:val="20"/>
          <w:szCs w:val="20"/>
        </w:rPr>
        <w:t xml:space="preserve">. Number of events (log scale for A-E) per individual in each of the registers. </w:t>
      </w:r>
    </w:p>
    <w:p w14:paraId="231BFA36" w14:textId="77777777" w:rsidR="00570424" w:rsidRDefault="00000000">
      <w:pPr>
        <w:rPr>
          <w:b/>
          <w:sz w:val="40"/>
          <w:szCs w:val="40"/>
        </w:rPr>
      </w:pPr>
      <w:bookmarkStart w:id="2" w:name="_1fob9te" w:colFirst="0" w:colLast="0"/>
      <w:bookmarkEnd w:id="2"/>
      <w:r>
        <w:br w:type="page"/>
      </w:r>
    </w:p>
    <w:p w14:paraId="035AB1C7" w14:textId="77777777" w:rsidR="00570424" w:rsidRDefault="00000000">
      <w:pPr>
        <w:pStyle w:val="Heading1"/>
        <w:spacing w:line="360" w:lineRule="auto"/>
      </w:pPr>
      <w:bookmarkStart w:id="3" w:name="_3znysh7" w:colFirst="0" w:colLast="0"/>
      <w:bookmarkEnd w:id="3"/>
      <w:r>
        <w:rPr>
          <w:b/>
        </w:rPr>
        <w:lastRenderedPageBreak/>
        <w:t>Section 2</w:t>
      </w:r>
      <w:r>
        <w:t xml:space="preserve">: </w:t>
      </w:r>
      <w:proofErr w:type="spellStart"/>
      <w:r>
        <w:t>FinnGen</w:t>
      </w:r>
      <w:proofErr w:type="spellEnd"/>
      <w:r>
        <w:t xml:space="preserve"> participant recruitment and legacy cohorts</w:t>
      </w:r>
    </w:p>
    <w:p w14:paraId="4962CFB2" w14:textId="77777777" w:rsidR="00570424" w:rsidRDefault="00570424">
      <w:pPr>
        <w:spacing w:line="360" w:lineRule="auto"/>
        <w:jc w:val="both"/>
        <w:rPr>
          <w:sz w:val="16"/>
          <w:szCs w:val="16"/>
        </w:rPr>
      </w:pPr>
    </w:p>
    <w:p w14:paraId="6EC6C68A" w14:textId="77777777" w:rsidR="00570424" w:rsidRDefault="00000000">
      <w:pPr>
        <w:spacing w:before="120" w:after="360" w:line="360" w:lineRule="auto"/>
        <w:jc w:val="both"/>
      </w:pPr>
      <w:r>
        <w:t xml:space="preserve">The </w:t>
      </w:r>
      <w:proofErr w:type="spellStart"/>
      <w:r>
        <w:t>FinnGen</w:t>
      </w:r>
      <w:proofErr w:type="spellEnd"/>
      <w:r>
        <w:t xml:space="preserve"> study is a nationwide cohort of Finnish individuals, combining genome information with digital health care and registry data. </w:t>
      </w:r>
    </w:p>
    <w:p w14:paraId="5ABB8508" w14:textId="77777777" w:rsidR="00570424" w:rsidRDefault="00000000">
      <w:pPr>
        <w:spacing w:before="120" w:after="360" w:line="360" w:lineRule="auto"/>
        <w:jc w:val="both"/>
      </w:pPr>
      <w:r>
        <w:t xml:space="preserve">The </w:t>
      </w:r>
      <w:proofErr w:type="spellStart"/>
      <w:r>
        <w:t>FinnGen</w:t>
      </w:r>
      <w:proofErr w:type="spellEnd"/>
      <w:r>
        <w:t xml:space="preserve"> cohort consists of (a) legacy samples recruited by specific research projects, collected based on study-specific consents (Supplementary Table 2) and later transferred to a biobank according to the Finnish Biobank Act 13 § (mainly from the Biobank of the Finnish Institute for Health and Welfare (THL)), and (b) prospective biobank samples recruited by Finnish biobanks, collected based on a wide biobank consent, according to the Finnish Biobank Act 11 §. Prospective samples in the </w:t>
      </w:r>
      <w:proofErr w:type="spellStart"/>
      <w:r>
        <w:t>FinnGen</w:t>
      </w:r>
      <w:proofErr w:type="spellEnd"/>
      <w:r>
        <w:t xml:space="preserve"> cohort originate from three complementary approaches: (</w:t>
      </w:r>
      <w:proofErr w:type="spellStart"/>
      <w:r>
        <w:t>i</w:t>
      </w:r>
      <w:proofErr w:type="spellEnd"/>
      <w:r>
        <w:t xml:space="preserve">) samples from six regional hospital biobanks represent a vast variety of patients enrolled in specialized health care, (ii) samples from a private health care biobank allow for targeted enrichment of the </w:t>
      </w:r>
      <w:proofErr w:type="spellStart"/>
      <w:r>
        <w:t>FinnGen</w:t>
      </w:r>
      <w:proofErr w:type="spellEnd"/>
      <w:r>
        <w:t xml:space="preserve"> cohort with patients underrepresented in specialized health care, and (iii) participants recruited through Blood Service Biobank enrich the cohort with healthier individuals. In the present study, we included samples from altogether </w:t>
      </w:r>
      <w:r>
        <w:rPr>
          <w:color w:val="3C4043"/>
          <w:highlight w:val="white"/>
        </w:rPr>
        <w:t>224,737</w:t>
      </w:r>
      <w:r>
        <w:t xml:space="preserve"> participants (</w:t>
      </w:r>
      <w:proofErr w:type="spellStart"/>
      <w:r>
        <w:t>FinnGen</w:t>
      </w:r>
      <w:proofErr w:type="spellEnd"/>
      <w:r>
        <w:t xml:space="preserve"> release 5, August 2020) from the following biobanks: Auria Biobank, Helsinki Biobank, Biobank of Eastern Finland, Central Finland Biobank, Northern Finland Biobank Borealis, Finnish Clinical Biobank Tampere, THL Biobank, Blood Service Biobank, and </w:t>
      </w:r>
      <w:proofErr w:type="spellStart"/>
      <w:r>
        <w:t>Terveystalo</w:t>
      </w:r>
      <w:proofErr w:type="spellEnd"/>
      <w:r>
        <w:t xml:space="preserve"> Biobank. </w:t>
      </w:r>
    </w:p>
    <w:p w14:paraId="66EB6922" w14:textId="77777777" w:rsidR="00570424" w:rsidRDefault="00000000">
      <w:pPr>
        <w:spacing w:before="120" w:after="360" w:line="360" w:lineRule="auto"/>
        <w:jc w:val="both"/>
      </w:pPr>
      <w:r>
        <w:t xml:space="preserve">Various means were utilized for informing individuals about ongoing biobank recruitment, including active informing by hospital personnel, locally distributed leaflets, national advertising campaigns on TV and in social media, and dedicated biobank research nurses operating in hospital districts. Information about the </w:t>
      </w:r>
      <w:proofErr w:type="spellStart"/>
      <w:r>
        <w:t>FinnGen</w:t>
      </w:r>
      <w:proofErr w:type="spellEnd"/>
      <w:r>
        <w:t xml:space="preserve"> research project was mostly distributed to the public in news articles, interviews, leaflets and on the </w:t>
      </w:r>
      <w:proofErr w:type="spellStart"/>
      <w:r>
        <w:t>FinnGen</w:t>
      </w:r>
      <w:proofErr w:type="spellEnd"/>
      <w:r>
        <w:t xml:space="preserve"> website. Prospective samples collected by the hospital biobanks and the Blood Service Biobank were collected without any specific prioritization. All individuals volunteering to provide a biobank consent and to donate a biobank sample to a Finnish biobank were eligible for the </w:t>
      </w:r>
      <w:proofErr w:type="spellStart"/>
      <w:r>
        <w:t>FinnGen</w:t>
      </w:r>
      <w:proofErr w:type="spellEnd"/>
      <w:r>
        <w:t xml:space="preserve"> study Biobank recruitment and sampling protocols followed the protocols approved by the Finnish Medicines Agency (</w:t>
      </w:r>
      <w:proofErr w:type="spellStart"/>
      <w:r>
        <w:t>Fimea</w:t>
      </w:r>
      <w:proofErr w:type="spellEnd"/>
      <w:r>
        <w:t xml:space="preserve">), the organization with the legal responsibility for supervising biobank operations in Finland. The </w:t>
      </w:r>
      <w:r>
        <w:lastRenderedPageBreak/>
        <w:t xml:space="preserve">Coordinating Ethics Committee of the Hospital District of Helsinki and </w:t>
      </w:r>
      <w:proofErr w:type="spellStart"/>
      <w:r>
        <w:t>Uusimaa</w:t>
      </w:r>
      <w:proofErr w:type="spellEnd"/>
      <w:r>
        <w:t xml:space="preserve"> (HUS) approved the </w:t>
      </w:r>
      <w:proofErr w:type="spellStart"/>
      <w:r>
        <w:t>FinnGen</w:t>
      </w:r>
      <w:proofErr w:type="spellEnd"/>
      <w:r>
        <w:t xml:space="preserve"> study protocol Nr HUS/990/2017. </w:t>
      </w:r>
    </w:p>
    <w:p w14:paraId="702D2666" w14:textId="77777777" w:rsidR="00570424" w:rsidRDefault="00000000">
      <w:pPr>
        <w:spacing w:before="120" w:after="360" w:line="360" w:lineRule="auto"/>
        <w:jc w:val="both"/>
      </w:pPr>
      <w:r>
        <w:t xml:space="preserve">. </w:t>
      </w:r>
    </w:p>
    <w:p w14:paraId="0F270A39" w14:textId="77777777" w:rsidR="00570424" w:rsidRDefault="00000000">
      <w:pPr>
        <w:spacing w:line="360" w:lineRule="auto"/>
        <w:jc w:val="both"/>
        <w:rPr>
          <w:sz w:val="18"/>
          <w:szCs w:val="18"/>
        </w:rPr>
      </w:pPr>
      <w:r>
        <w:t xml:space="preserve">DNA samples were obtained from participating biobanks. DNA was extracted either from whole blood or buffy coat according to the standard procedure of each </w:t>
      </w:r>
      <w:proofErr w:type="gramStart"/>
      <w:r>
        <w:t>biobank, and</w:t>
      </w:r>
      <w:proofErr w:type="gramEnd"/>
      <w:r>
        <w:t xml:space="preserve"> sent to a centralized logistics laboratory in the THL Biobank. THL Biobank laboratory aliquoted and normalized all samples in 96-well plates in 60 µl volume and 15 ng\µl concentration, and delivered the plated samples to Affymetrix Research Services Laboratory, </w:t>
      </w:r>
      <w:proofErr w:type="spellStart"/>
      <w:r>
        <w:t>Thermo</w:t>
      </w:r>
      <w:proofErr w:type="spellEnd"/>
      <w:r>
        <w:t xml:space="preserve"> Fisher Scientific (San Diego, USA).</w:t>
      </w:r>
      <w:r>
        <w:br w:type="page"/>
      </w:r>
    </w:p>
    <w:p w14:paraId="67BFE739" w14:textId="77777777" w:rsidR="00570424" w:rsidRDefault="00000000">
      <w:pPr>
        <w:pStyle w:val="Heading1"/>
        <w:spacing w:line="360" w:lineRule="auto"/>
      </w:pPr>
      <w:bookmarkStart w:id="4" w:name="_2et92p0" w:colFirst="0" w:colLast="0"/>
      <w:bookmarkEnd w:id="4"/>
      <w:r>
        <w:rPr>
          <w:b/>
        </w:rPr>
        <w:lastRenderedPageBreak/>
        <w:t>Section 3:</w:t>
      </w:r>
      <w:r>
        <w:t xml:space="preserve"> Genotyping and genotype data QC</w:t>
      </w:r>
    </w:p>
    <w:p w14:paraId="48167097" w14:textId="77777777" w:rsidR="00570424" w:rsidRDefault="00000000">
      <w:pPr>
        <w:spacing w:line="360" w:lineRule="auto"/>
        <w:jc w:val="both"/>
      </w:pPr>
      <w:proofErr w:type="spellStart"/>
      <w:r>
        <w:t>FinnGen</w:t>
      </w:r>
      <w:proofErr w:type="spellEnd"/>
      <w:r>
        <w:t xml:space="preserve"> Release 5 presented here contains genotype data for 224,737 individuals after quality control (QC). A total of 154,714 individuals were genotyped with custom Axiom FinnGen1 array and 70,023 individuals from legacy collections genotyped with non-custom genotyping arrays. </w:t>
      </w:r>
    </w:p>
    <w:p w14:paraId="1FEA2680" w14:textId="77777777" w:rsidR="00570424" w:rsidRDefault="00570424">
      <w:pPr>
        <w:spacing w:line="360" w:lineRule="auto"/>
        <w:jc w:val="both"/>
        <w:rPr>
          <w:b/>
        </w:rPr>
      </w:pPr>
    </w:p>
    <w:p w14:paraId="74D3C793" w14:textId="77777777" w:rsidR="00570424" w:rsidRDefault="00000000">
      <w:pPr>
        <w:spacing w:line="360" w:lineRule="auto"/>
        <w:jc w:val="both"/>
        <w:rPr>
          <w:b/>
        </w:rPr>
      </w:pPr>
      <w:proofErr w:type="spellStart"/>
      <w:r>
        <w:rPr>
          <w:b/>
        </w:rPr>
        <w:t>Thermo</w:t>
      </w:r>
      <w:proofErr w:type="spellEnd"/>
      <w:r>
        <w:rPr>
          <w:b/>
        </w:rPr>
        <w:t xml:space="preserve"> Fisher array genotyping and genotype calling</w:t>
      </w:r>
    </w:p>
    <w:p w14:paraId="7B9C52C0" w14:textId="77777777" w:rsidR="00570424" w:rsidRDefault="00000000">
      <w:pPr>
        <w:spacing w:line="360" w:lineRule="auto"/>
        <w:jc w:val="both"/>
      </w:pPr>
      <w:r>
        <w:t xml:space="preserve">The FinnGen1 (v1) array, technically </w:t>
      </w:r>
      <w:proofErr w:type="gramStart"/>
      <w:r>
        <w:t>similar to</w:t>
      </w:r>
      <w:proofErr w:type="gramEnd"/>
      <w:r>
        <w:t xml:space="preserve"> the UK Biobank (UKBB) genotyping array, is a custom </w:t>
      </w:r>
      <w:proofErr w:type="spellStart"/>
      <w:r>
        <w:t>ThermoFisher</w:t>
      </w:r>
      <w:proofErr w:type="spellEnd"/>
      <w:r>
        <w:t xml:space="preserve"> Axiom array consisting of 736,145 probes interrogating 655,973 variants. In addition to the core imputation ‘backbone’, we added 116,402 (97,665 missense and 20,432 predicted loss of function) rare (MAF &lt; 0.5%) coding variants (97,665 missense and 20,432 predicted loss of function) that had been identified in 15 000 Finnish exomes to be directly genotyped. We also added variants for the KIR and HLA haplotypes (10,800), known pathogenic </w:t>
      </w:r>
      <w:proofErr w:type="spellStart"/>
      <w:r>
        <w:t>ClinVar</w:t>
      </w:r>
      <w:proofErr w:type="spellEnd"/>
      <w:r>
        <w:t xml:space="preserve"> variants (14,900), pharmacogenomic markers (4,600) and 57,008 additional markers that were of special interest for the </w:t>
      </w:r>
      <w:proofErr w:type="spellStart"/>
      <w:r>
        <w:t>FinnGen</w:t>
      </w:r>
      <w:proofErr w:type="spellEnd"/>
      <w:r>
        <w:t xml:space="preserve"> partners investigators in academia and </w:t>
      </w:r>
      <w:proofErr w:type="spellStart"/>
      <w:r>
        <w:t>and</w:t>
      </w:r>
      <w:proofErr w:type="spellEnd"/>
      <w:r>
        <w:t xml:space="preserve"> industry.</w:t>
      </w:r>
    </w:p>
    <w:p w14:paraId="371F95CC" w14:textId="77777777" w:rsidR="00570424" w:rsidRDefault="00570424">
      <w:pPr>
        <w:spacing w:line="360" w:lineRule="auto"/>
        <w:jc w:val="both"/>
      </w:pPr>
    </w:p>
    <w:p w14:paraId="51C28B4D" w14:textId="77777777" w:rsidR="00570424" w:rsidRDefault="00000000">
      <w:pPr>
        <w:spacing w:line="360" w:lineRule="auto"/>
        <w:jc w:val="both"/>
      </w:pPr>
      <w:r>
        <w:t xml:space="preserve">DNA samples were plated and shipped to </w:t>
      </w:r>
      <w:proofErr w:type="spellStart"/>
      <w:r>
        <w:t>Thermo</w:t>
      </w:r>
      <w:proofErr w:type="spellEnd"/>
      <w:r>
        <w:t xml:space="preserve"> Fisher Scientific Inc. (San Diego, USA) on pre-barcoded 96-well plates provided by the company. Sample DNA quantity was assessed using the </w:t>
      </w:r>
      <w:proofErr w:type="spellStart"/>
      <w:r>
        <w:t>PicoGreen</w:t>
      </w:r>
      <w:proofErr w:type="spellEnd"/>
      <w:r>
        <w:t xml:space="preserve">™ assay in the </w:t>
      </w:r>
      <w:proofErr w:type="spellStart"/>
      <w:r>
        <w:t>Thermo</w:t>
      </w:r>
      <w:proofErr w:type="spellEnd"/>
      <w:r>
        <w:t xml:space="preserve"> Fisher Microarray Services Research Laboratory (MRSL). Samples were processed using the Axiom™ 2.0 Assay 96-Array Format Automated Workflow (</w:t>
      </w:r>
      <w:hyperlink r:id="rId16">
        <w:r>
          <w:rPr>
            <w:color w:val="1155CC"/>
            <w:u w:val="single"/>
          </w:rPr>
          <w:t>https://assets.thermofisher.com/TFS-Assets/LSG/manuals/702963_Final_Ax_96FX_UG.pdf</w:t>
        </w:r>
      </w:hyperlink>
      <w:r>
        <w:t>), including in-line quality control measures. Two positive control samples were included on each 96-well processing plate.</w:t>
      </w:r>
    </w:p>
    <w:p w14:paraId="2F66DACC" w14:textId="77777777" w:rsidR="00570424" w:rsidRDefault="00570424">
      <w:pPr>
        <w:spacing w:line="360" w:lineRule="auto"/>
        <w:jc w:val="both"/>
      </w:pPr>
    </w:p>
    <w:p w14:paraId="17E48513" w14:textId="77777777" w:rsidR="00570424" w:rsidRDefault="00000000">
      <w:pPr>
        <w:spacing w:line="360" w:lineRule="auto"/>
        <w:jc w:val="both"/>
      </w:pPr>
      <w:r>
        <w:t>Sample data quality was assessed using two metrics described in the Axiom™ Genotyping Solution Data Analysis User Guide (</w:t>
      </w:r>
      <w:hyperlink r:id="rId17">
        <w:r>
          <w:rPr>
            <w:color w:val="1155CC"/>
            <w:u w:val="single"/>
          </w:rPr>
          <w:t>https://assets.thermofisher.com/TFS-Assets/LSG/manuals/axiom_genotyping_solution_analysis_guide.pdf</w:t>
        </w:r>
      </w:hyperlink>
      <w:r>
        <w:t xml:space="preserve">). DQC is a single-sample metric that assesses the separation of foreground and background signal distributions on a set of control probes for non-polymorphic, autosomal loci. A DQC threshold of greater than or equal to 0.82 was applied. Samples falling below this threshold were excluded from further analysis. QC Call Rate (QCCR) is the genotype call rate over a set of 20,000 autosomal SNP </w:t>
      </w:r>
      <w:proofErr w:type="spellStart"/>
      <w:r>
        <w:t>probesets</w:t>
      </w:r>
      <w:proofErr w:type="spellEnd"/>
      <w:r>
        <w:t xml:space="preserve"> which were previously observed to have good performance in the assay and were included on the array with two replicates of each probe sequence, in a cluster of all samples with DQC greater than or equal to 0.82. Samples with QCCR less than 97% were excluded from further analysis.</w:t>
      </w:r>
    </w:p>
    <w:p w14:paraId="34D1EFE3" w14:textId="77777777" w:rsidR="00570424" w:rsidRDefault="00570424">
      <w:pPr>
        <w:spacing w:line="360" w:lineRule="auto"/>
        <w:jc w:val="both"/>
      </w:pPr>
    </w:p>
    <w:p w14:paraId="74ECA3F7" w14:textId="77777777" w:rsidR="00570424" w:rsidRDefault="00000000">
      <w:pPr>
        <w:spacing w:line="360" w:lineRule="auto"/>
        <w:jc w:val="both"/>
      </w:pPr>
      <w:r>
        <w:t>Genotype calling was performed using the Array Power Tools (APT) software (</w:t>
      </w:r>
      <w:hyperlink r:id="rId18">
        <w:r>
          <w:rPr>
            <w:color w:val="1155CC"/>
            <w:u w:val="single"/>
          </w:rPr>
          <w:t>https://www.thermofisher.com/us/en/home/life-science/microarray-analysis/microarray-analysis-partners-programs/affymetrix-developers-network/affymetrix-power-tools.html</w:t>
        </w:r>
      </w:hyperlink>
      <w:r>
        <w:t>) with recommended settings. Individual probe sets were assessed using the QC metrics described in the Axiom™ Genotyping Solution Data Analysis User Guide (</w:t>
      </w:r>
      <w:hyperlink r:id="rId19">
        <w:r>
          <w:rPr>
            <w:color w:val="1155CC"/>
            <w:u w:val="single"/>
          </w:rPr>
          <w:t>https://assets.thermofisher.com/TFS-Assets/LSG/manuals/axiom_genotyping_solution_analysis_guide.pdf</w:t>
        </w:r>
      </w:hyperlink>
      <w:r>
        <w:rPr>
          <w:rFonts w:ascii="Arial Unicode MS" w:eastAsia="Arial Unicode MS" w:hAnsi="Arial Unicode MS" w:cs="Arial Unicode MS"/>
        </w:rPr>
        <w:t xml:space="preserve">) using the default thresholds, including call-rate ≥95%. Only genotype calls from </w:t>
      </w:r>
      <w:proofErr w:type="spellStart"/>
      <w:r>
        <w:rPr>
          <w:rFonts w:ascii="Arial Unicode MS" w:eastAsia="Arial Unicode MS" w:hAnsi="Arial Unicode MS" w:cs="Arial Unicode MS"/>
        </w:rPr>
        <w:t>probesets</w:t>
      </w:r>
      <w:proofErr w:type="spellEnd"/>
      <w:r>
        <w:rPr>
          <w:rFonts w:ascii="Arial Unicode MS" w:eastAsia="Arial Unicode MS" w:hAnsi="Arial Unicode MS" w:cs="Arial Unicode MS"/>
        </w:rPr>
        <w:t xml:space="preserve"> passing all QC thresholds were included in the data release.</w:t>
      </w:r>
    </w:p>
    <w:p w14:paraId="355B2607" w14:textId="77777777" w:rsidR="00570424" w:rsidRDefault="00570424">
      <w:pPr>
        <w:spacing w:line="360" w:lineRule="auto"/>
        <w:jc w:val="both"/>
      </w:pPr>
    </w:p>
    <w:p w14:paraId="04CEB895" w14:textId="77777777" w:rsidR="00570424" w:rsidRDefault="00000000">
      <w:pPr>
        <w:spacing w:line="360" w:lineRule="auto"/>
        <w:jc w:val="both"/>
        <w:rPr>
          <w:b/>
        </w:rPr>
      </w:pPr>
      <w:r>
        <w:rPr>
          <w:b/>
        </w:rPr>
        <w:t>Legacy chip data genotyping and genotype calling</w:t>
      </w:r>
    </w:p>
    <w:p w14:paraId="098BDE09" w14:textId="77777777" w:rsidR="00570424" w:rsidRDefault="00000000">
      <w:pPr>
        <w:spacing w:line="360" w:lineRule="auto"/>
        <w:jc w:val="both"/>
      </w:pPr>
      <w:r>
        <w:t xml:space="preserve">Samples originating from various cohort collections were genotyped with different Illumina (Illumina Inc., San Diego, CA, USA) chips. Different sample collections were called with the either </w:t>
      </w:r>
      <w:proofErr w:type="spellStart"/>
      <w:r>
        <w:t>GenCall</w:t>
      </w:r>
      <w:proofErr w:type="spellEnd"/>
      <w:r>
        <w:t xml:space="preserve"> or </w:t>
      </w:r>
      <w:proofErr w:type="spellStart"/>
      <w:r>
        <w:t>zCall</w:t>
      </w:r>
      <w:proofErr w:type="spellEnd"/>
      <w:r>
        <w:t xml:space="preserve"> algorithm and the corresponding genotype calls were used to perform quality control procedures.</w:t>
      </w:r>
    </w:p>
    <w:p w14:paraId="55D1B1B2" w14:textId="77777777" w:rsidR="00570424" w:rsidRDefault="00570424">
      <w:pPr>
        <w:spacing w:line="360" w:lineRule="auto"/>
        <w:jc w:val="both"/>
      </w:pPr>
    </w:p>
    <w:p w14:paraId="689ADCDE" w14:textId="77777777" w:rsidR="00570424" w:rsidRDefault="00000000">
      <w:pPr>
        <w:spacing w:line="360" w:lineRule="auto"/>
        <w:jc w:val="both"/>
        <w:rPr>
          <w:b/>
        </w:rPr>
      </w:pPr>
      <w:r>
        <w:rPr>
          <w:b/>
        </w:rPr>
        <w:t>Chip data QC</w:t>
      </w:r>
    </w:p>
    <w:p w14:paraId="18181D5F" w14:textId="77777777" w:rsidR="00570424" w:rsidRDefault="00000000">
      <w:pPr>
        <w:spacing w:line="360" w:lineRule="auto"/>
        <w:jc w:val="both"/>
      </w:pPr>
      <w:r>
        <w:rPr>
          <w:rFonts w:ascii="Arial Unicode MS" w:eastAsia="Arial Unicode MS" w:hAnsi="Arial Unicode MS" w:cs="Arial Unicode MS"/>
        </w:rPr>
        <w:t xml:space="preserve">In total there were 239173 samples (164794 samples genotyped with </w:t>
      </w:r>
      <w:proofErr w:type="spellStart"/>
      <w:r>
        <w:rPr>
          <w:rFonts w:ascii="Arial Unicode MS" w:eastAsia="Arial Unicode MS" w:hAnsi="Arial Unicode MS" w:cs="Arial Unicode MS"/>
        </w:rPr>
        <w:t>FinnGen</w:t>
      </w:r>
      <w:proofErr w:type="spellEnd"/>
      <w:r>
        <w:rPr>
          <w:rFonts w:ascii="Arial Unicode MS" w:eastAsia="Arial Unicode MS" w:hAnsi="Arial Unicode MS" w:cs="Arial Unicode MS"/>
        </w:rPr>
        <w:t xml:space="preserve"> custom Axiom chip, 74379 legacy samples). The basic quality control included checking of Mendelian errors, exclusion of samples having PI-HAT values &gt;0.9 between sample pairs that were not monozygotic twins or replicate samples, samples with discrepant </w:t>
      </w:r>
      <w:proofErr w:type="gramStart"/>
      <w:r>
        <w:rPr>
          <w:rFonts w:ascii="Arial Unicode MS" w:eastAsia="Arial Unicode MS" w:hAnsi="Arial Unicode MS" w:cs="Arial Unicode MS"/>
        </w:rPr>
        <w:t>sex based</w:t>
      </w:r>
      <w:proofErr w:type="gramEnd"/>
      <w:r>
        <w:rPr>
          <w:rFonts w:ascii="Arial Unicode MS" w:eastAsia="Arial Unicode MS" w:hAnsi="Arial Unicode MS" w:cs="Arial Unicode MS"/>
        </w:rPr>
        <w:t xml:space="preserve"> information between reported sex in register and the sex chromosome and replicate samples with over 50,000 markers with discrepant results. All replicate samples except the one with the highest call rate for each replicate were excluded. Markers with replicate and Mendelian errors were not excluded but were tagged. The following quality control exclusion cut-off criteria were further used: sample-wise missingness rate &gt;0.05%, heterozygosity rate greater than population average ±4 standard deviations (SD), </w:t>
      </w:r>
      <w:r>
        <w:rPr>
          <w:rFonts w:ascii="Arial Unicode MS" w:eastAsia="Arial Unicode MS" w:hAnsi="Arial Unicode MS" w:cs="Arial Unicode MS"/>
        </w:rPr>
        <w:lastRenderedPageBreak/>
        <w:t>sample contamination detection with PI-HAT &gt;0.1 to more than 14 samples, principal component analysis (PCA) outliers in the first 2 dimensions considering ±4SD. Sex-check F-value ≤0.3 was used for female and ≥0.8 for expected male samples. Variant-wise QC was done by applying Hardy-Weinberg equilibrium test p-value cut-off of &lt;10</w:t>
      </w:r>
      <w:r>
        <w:rPr>
          <w:vertAlign w:val="superscript"/>
        </w:rPr>
        <w:t>-6</w:t>
      </w:r>
      <w:r>
        <w:t xml:space="preserve">, call-rate of &gt;98% and minimum allele count of 1.  We ended up removing 10 080 Axiom genotyped samples and 4 356 legacy samples and retained 224 737 samples. </w:t>
      </w:r>
    </w:p>
    <w:p w14:paraId="702B8E7D" w14:textId="77777777" w:rsidR="00570424" w:rsidRDefault="00570424">
      <w:pPr>
        <w:spacing w:line="360" w:lineRule="auto"/>
        <w:jc w:val="both"/>
      </w:pPr>
    </w:p>
    <w:p w14:paraId="52064E77" w14:textId="77777777" w:rsidR="00570424" w:rsidRDefault="00000000">
      <w:pPr>
        <w:spacing w:line="360" w:lineRule="auto"/>
        <w:jc w:val="both"/>
      </w:pPr>
      <w:r>
        <w:t xml:space="preserve">Before genotype imputation, all chip data was checked and mitochondrial, chromosome Y and unmapped or ambiguously mapped variants were excluded. All autosomal chromosomes and chromosome X data were lifted to human reference genome build 38 (GRCh38/hg38) and all reference and alternative alleles were converted and left-aligned according to the build 38 reference sequence as described in </w:t>
      </w:r>
      <w:proofErr w:type="spellStart"/>
      <w:r>
        <w:t>Pärn</w:t>
      </w:r>
      <w:proofErr w:type="spellEnd"/>
      <w:r>
        <w:t xml:space="preserve"> </w:t>
      </w:r>
      <w:r>
        <w:rPr>
          <w:i/>
        </w:rPr>
        <w:t>et al</w:t>
      </w:r>
      <w:r>
        <w:t>.</w:t>
      </w:r>
      <w:hyperlink r:id="rId20">
        <w:r>
          <w:rPr>
            <w:vertAlign w:val="superscript"/>
          </w:rPr>
          <w:t>7</w:t>
        </w:r>
      </w:hyperlink>
      <w:r>
        <w:t xml:space="preserve">. Samples overlapping with the imputation reference panel were excluded. Variants with alternative allele count less than 3 (on batch level) were excluded. Alternative allele frequency (AF) comparison to the </w:t>
      </w:r>
      <w:proofErr w:type="spellStart"/>
      <w:r>
        <w:t>SISu</w:t>
      </w:r>
      <w:proofErr w:type="spellEnd"/>
      <w:r>
        <w:t xml:space="preserve"> v3 reference panel was done and variants </w:t>
      </w:r>
      <w:proofErr w:type="gramStart"/>
      <w:r>
        <w:t>not present</w:t>
      </w:r>
      <w:proofErr w:type="gramEnd"/>
      <w:r>
        <w:t xml:space="preserve"> in the panel or displaying significant AF differences to the panel were excluded (AF difference &gt;10 percent points or AF fold change greater than ±5). Plink 2.0</w:t>
      </w:r>
      <w:hyperlink r:id="rId21">
        <w:r>
          <w:rPr>
            <w:vertAlign w:val="superscript"/>
          </w:rPr>
          <w:t>8</w:t>
        </w:r>
      </w:hyperlink>
      <w:r>
        <w:t xml:space="preserve"> </w:t>
      </w:r>
      <w:proofErr w:type="spellStart"/>
      <w:r>
        <w:t>glm</w:t>
      </w:r>
      <w:proofErr w:type="spellEnd"/>
      <w:r>
        <w:t xml:space="preserve"> </w:t>
      </w:r>
      <w:proofErr w:type="gramStart"/>
      <w:r>
        <w:t>firth-fallback</w:t>
      </w:r>
      <w:proofErr w:type="gramEnd"/>
      <w:r>
        <w:t xml:space="preserve"> GWAS analysis was performed to detect further variants with significantly different AF (as compared to the </w:t>
      </w:r>
      <w:proofErr w:type="spellStart"/>
      <w:r>
        <w:t>SISu</w:t>
      </w:r>
      <w:proofErr w:type="spellEnd"/>
      <w:r>
        <w:t xml:space="preserve"> v3 reference panel). Variants were removed using a dynamic p-value cut-off of 5 x 10</w:t>
      </w:r>
      <w:r>
        <w:rPr>
          <w:vertAlign w:val="superscript"/>
        </w:rPr>
        <w:t>-8</w:t>
      </w:r>
      <w:r>
        <w:t>/genomic-ƛ</w:t>
      </w:r>
      <w:r>
        <w:rPr>
          <w:vertAlign w:val="superscript"/>
        </w:rPr>
        <w:t>3</w:t>
      </w:r>
      <w:r>
        <w:t>.</w:t>
      </w:r>
    </w:p>
    <w:p w14:paraId="56FD0B36" w14:textId="77777777" w:rsidR="00570424" w:rsidRDefault="00570424">
      <w:pPr>
        <w:spacing w:line="360" w:lineRule="auto"/>
        <w:jc w:val="both"/>
      </w:pPr>
    </w:p>
    <w:p w14:paraId="44A40A9B" w14:textId="77777777" w:rsidR="00570424" w:rsidRDefault="00000000">
      <w:pPr>
        <w:spacing w:line="360" w:lineRule="auto"/>
        <w:jc w:val="both"/>
        <w:rPr>
          <w:highlight w:val="yellow"/>
        </w:rPr>
      </w:pPr>
      <w:r>
        <w:rPr>
          <w:b/>
        </w:rPr>
        <w:t xml:space="preserve">Population-specific </w:t>
      </w:r>
      <w:proofErr w:type="spellStart"/>
      <w:r>
        <w:rPr>
          <w:b/>
        </w:rPr>
        <w:t>SISu</w:t>
      </w:r>
      <w:proofErr w:type="spellEnd"/>
      <w:r>
        <w:rPr>
          <w:b/>
        </w:rPr>
        <w:t xml:space="preserve"> v3 imputation reference panel</w:t>
      </w:r>
    </w:p>
    <w:p w14:paraId="6437BD0A" w14:textId="77777777" w:rsidR="00570424" w:rsidRDefault="00000000">
      <w:pPr>
        <w:spacing w:line="360" w:lineRule="auto"/>
        <w:jc w:val="both"/>
      </w:pPr>
      <w:r>
        <w:t xml:space="preserve">After comprehensive QC procedures chip-genotyped samples were pre-phased and imputed with the population-specific </w:t>
      </w:r>
      <w:proofErr w:type="spellStart"/>
      <w:r>
        <w:t>SISu</w:t>
      </w:r>
      <w:proofErr w:type="spellEnd"/>
      <w:r>
        <w:t xml:space="preserve"> v3 imputation reference panel, developed from high-coverage (25-30x) whole-genome sequencing (WGS) data of 3,775 Finns.</w:t>
      </w:r>
    </w:p>
    <w:p w14:paraId="495C1594" w14:textId="77777777" w:rsidR="00570424" w:rsidRDefault="00000000">
      <w:pPr>
        <w:spacing w:line="360" w:lineRule="auto"/>
        <w:jc w:val="both"/>
      </w:pPr>
      <w:r>
        <w:t>Raw high-coverage (25-30x) whole-genome sequencing (WGS) data for 4,083 Finnish samples were aligned to the GRCh38/hg38 human reference genome assembly using BWA-MEM (Li, 2013). PCR duplicates were marked using Picard</w:t>
      </w:r>
      <w:hyperlink r:id="rId22">
        <w:r>
          <w:rPr>
            <w:vertAlign w:val="superscript"/>
          </w:rPr>
          <w:t>9</w:t>
        </w:r>
      </w:hyperlink>
      <w:r>
        <w:t>, and the Genome Analysis Toolkit (GATK) v3 best-practices</w:t>
      </w:r>
      <w:hyperlink r:id="rId23">
        <w:r>
          <w:rPr>
            <w:vertAlign w:val="superscript"/>
          </w:rPr>
          <w:t>10,11</w:t>
        </w:r>
      </w:hyperlink>
      <w:r>
        <w:t xml:space="preserve"> were applied for variant calling. Genotype-, sample- and variant-wise quality control and filtering procedures were applied by using the Hail framework (</w:t>
      </w:r>
      <w:hyperlink r:id="rId24">
        <w:r>
          <w:rPr>
            <w:color w:val="1155CC"/>
            <w:u w:val="single"/>
          </w:rPr>
          <w:t>https://github.com/hail-is/hail</w:t>
        </w:r>
      </w:hyperlink>
      <w:r>
        <w:t>) v0.1 (unless mentioned otherwise). First, low-quality individual genotype calls were set missing. In order to perform the sample-wise filtering, autosomal biallelic variants outside of low-complexity regions (LCRs)</w:t>
      </w:r>
      <w:hyperlink r:id="rId25">
        <w:r>
          <w:rPr>
            <w:vertAlign w:val="superscript"/>
          </w:rPr>
          <w:t>12</w:t>
        </w:r>
      </w:hyperlink>
      <w:r>
        <w:rPr>
          <w:rFonts w:ascii="Arial Unicode MS" w:eastAsia="Arial Unicode MS" w:hAnsi="Arial Unicode MS" w:cs="Arial Unicode MS"/>
        </w:rPr>
        <w:t xml:space="preserve">were included if: call-rate (CR) was ≥90%; variant Hardy-Weinberg </w:t>
      </w:r>
      <w:r>
        <w:rPr>
          <w:rFonts w:ascii="Arial Unicode MS" w:eastAsia="Arial Unicode MS" w:hAnsi="Arial Unicode MS" w:cs="Arial Unicode MS"/>
        </w:rPr>
        <w:lastRenderedPageBreak/>
        <w:t>Equilibrium p-value (</w:t>
      </w:r>
      <w:proofErr w:type="spellStart"/>
      <w:r>
        <w:rPr>
          <w:rFonts w:ascii="Arial Unicode MS" w:eastAsia="Arial Unicode MS" w:hAnsi="Arial Unicode MS" w:cs="Arial Unicode MS"/>
        </w:rPr>
        <w:t>pHWE</w:t>
      </w:r>
      <w:proofErr w:type="spellEnd"/>
      <w:r>
        <w:rPr>
          <w:rFonts w:ascii="Arial Unicode MS" w:eastAsia="Arial Unicode MS" w:hAnsi="Arial Unicode MS" w:cs="Arial Unicode MS"/>
        </w:rPr>
        <w:t>) was ≥1 x 10</w:t>
      </w:r>
      <w:r>
        <w:rPr>
          <w:vertAlign w:val="superscript"/>
        </w:rPr>
        <w:t>-9</w:t>
      </w:r>
      <w:r>
        <w:rPr>
          <w:rFonts w:ascii="Arial Unicode MS" w:eastAsia="Arial Unicode MS" w:hAnsi="Arial Unicode MS" w:cs="Arial Unicode MS"/>
        </w:rPr>
        <w:t>; variant quality score recalibration (VQSR) filter was ‘PASS’; quality by depth (QD) was ≥2 for SNV and ≥3 for indel variants and allele count (AC) was ≥3. Sample-wise metrics were calculated with Hail and outlier samples deviating more than ±3SD were identified from sample-wise QC metrics (</w:t>
      </w:r>
      <w:proofErr w:type="spellStart"/>
      <w:r>
        <w:rPr>
          <w:rFonts w:ascii="Arial Unicode MS" w:eastAsia="Arial Unicode MS" w:hAnsi="Arial Unicode MS" w:cs="Arial Unicode MS"/>
        </w:rPr>
        <w:t>nSNP</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rHetHom</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rInsertionDeletion</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rTiTv</w:t>
      </w:r>
      <w:proofErr w:type="spellEnd"/>
      <w:r>
        <w:rPr>
          <w:rFonts w:ascii="Arial Unicode MS" w:eastAsia="Arial Unicode MS" w:hAnsi="Arial Unicode MS" w:cs="Arial Unicode MS"/>
        </w:rPr>
        <w:t>). Next, relatedness was calculated and highly related individuals (KING</w:t>
      </w:r>
      <w:hyperlink r:id="rId26">
        <w:r>
          <w:rPr>
            <w:vertAlign w:val="superscript"/>
          </w:rPr>
          <w:t>13</w:t>
        </w:r>
      </w:hyperlink>
      <w:r>
        <w:rPr>
          <w:rFonts w:ascii="Arial Unicode MS" w:eastAsia="Arial Unicode MS" w:hAnsi="Arial Unicode MS" w:cs="Arial Unicode MS"/>
        </w:rPr>
        <w:t xml:space="preserve"> kinship coefficient &lt;0.177) were excluded. Then, the top 20 principal component (PC) scores were computed and outlier samples to be excluded were identified based on the first 10 PCs. By using the unfiltered ‘vanilla’ variant call set, variant-wise quality metrics were recalculated for 3,775 high-quality samples. Finally, only variants that met the following criteria were preserved: CR≥90%; VQSR ‘PASS’; QD≥2 for SNVs QD≥6 for indels; </w:t>
      </w:r>
      <w:proofErr w:type="spellStart"/>
      <w:r>
        <w:rPr>
          <w:rFonts w:ascii="Arial Unicode MS" w:eastAsia="Arial Unicode MS" w:hAnsi="Arial Unicode MS" w:cs="Arial Unicode MS"/>
        </w:rPr>
        <w:t>pHWE</w:t>
      </w:r>
      <w:proofErr w:type="spellEnd"/>
      <w:r>
        <w:rPr>
          <w:rFonts w:ascii="Arial Unicode MS" w:eastAsia="Arial Unicode MS" w:hAnsi="Arial Unicode MS" w:cs="Arial Unicode MS"/>
        </w:rPr>
        <w:t xml:space="preserve"> for autosomal chromosomes and for females on chromosome X was ≥ 1e-9; and AC≥3. The resulting samples and variant alleles were pre-phased with Eagle v2.3.5</w:t>
      </w:r>
      <w:hyperlink r:id="rId27">
        <w:r>
          <w:rPr>
            <w:vertAlign w:val="superscript"/>
          </w:rPr>
          <w:t>14</w:t>
        </w:r>
      </w:hyperlink>
      <w:r>
        <w:t xml:space="preserve"> using the default values (except for the </w:t>
      </w:r>
      <w:proofErr w:type="spellStart"/>
      <w:r>
        <w:t>Kpbwt</w:t>
      </w:r>
      <w:proofErr w:type="spellEnd"/>
      <w:r>
        <w:t xml:space="preserve"> that was set to 20,000). The final </w:t>
      </w:r>
      <w:proofErr w:type="spellStart"/>
      <w:r>
        <w:t>SISu</w:t>
      </w:r>
      <w:proofErr w:type="spellEnd"/>
      <w:r>
        <w:t xml:space="preserve"> v3 imputation reference panel included 3,775 high-quality samples and 16,962,023 MAC&gt;=3 SNV/indel variant alleles.</w:t>
      </w:r>
    </w:p>
    <w:p w14:paraId="6CB4ACA6" w14:textId="77777777" w:rsidR="00570424" w:rsidRDefault="00570424">
      <w:pPr>
        <w:spacing w:line="360" w:lineRule="auto"/>
        <w:jc w:val="both"/>
      </w:pPr>
    </w:p>
    <w:p w14:paraId="6A504CFF" w14:textId="77777777" w:rsidR="00570424" w:rsidRDefault="00000000">
      <w:pPr>
        <w:spacing w:line="360" w:lineRule="auto"/>
        <w:jc w:val="both"/>
        <w:rPr>
          <w:b/>
          <w:sz w:val="12"/>
          <w:szCs w:val="12"/>
        </w:rPr>
      </w:pPr>
      <w:r>
        <w:rPr>
          <w:b/>
        </w:rPr>
        <w:t>Chip data pre-phasing and genotype imputation</w:t>
      </w:r>
    </w:p>
    <w:p w14:paraId="25A6B3AC" w14:textId="77777777" w:rsidR="00570424" w:rsidRDefault="00000000">
      <w:pPr>
        <w:spacing w:after="160" w:line="360" w:lineRule="auto"/>
        <w:jc w:val="both"/>
      </w:pPr>
      <w:r>
        <w:t>Chip genotyped samples were pre-phased with Eagle 2.3.5 (</w:t>
      </w:r>
      <w:hyperlink r:id="rId28">
        <w:r>
          <w:rPr>
            <w:color w:val="1155CC"/>
            <w:u w:val="single"/>
          </w:rPr>
          <w:t>https://data.broadinstitute.org/alkesgroup/Eagle/</w:t>
        </w:r>
      </w:hyperlink>
      <w:r>
        <w:t xml:space="preserve">) with the default parameters, except the number of conditioning haplotypes was set to 20,000. Genotypes were imputed with the </w:t>
      </w:r>
      <w:proofErr w:type="gramStart"/>
      <w:r>
        <w:t>population-specific</w:t>
      </w:r>
      <w:proofErr w:type="gramEnd"/>
      <w:r>
        <w:t xml:space="preserve"> </w:t>
      </w:r>
      <w:proofErr w:type="spellStart"/>
      <w:r>
        <w:t>SISu</w:t>
      </w:r>
      <w:proofErr w:type="spellEnd"/>
      <w:r>
        <w:t xml:space="preserve"> v3 imputation reference panel, resulting. This resulted in 16 387 711 confidently imputed (INFO&gt;0.6, 16 962 023 imputed variants in total) variants, imputed accurately</w:t>
      </w:r>
    </w:p>
    <w:p w14:paraId="07478995" w14:textId="77777777" w:rsidR="00570424" w:rsidRDefault="00000000">
      <w:pPr>
        <w:spacing w:line="360" w:lineRule="auto"/>
        <w:jc w:val="both"/>
        <w:rPr>
          <w:b/>
        </w:rPr>
      </w:pPr>
      <w:r>
        <w:rPr>
          <w:b/>
        </w:rPr>
        <w:t>Genotype imputation accuracy estimation</w:t>
      </w:r>
    </w:p>
    <w:p w14:paraId="5E75C02A" w14:textId="77777777" w:rsidR="00570424" w:rsidRDefault="00000000">
      <w:pPr>
        <w:spacing w:line="360" w:lineRule="auto"/>
        <w:jc w:val="both"/>
      </w:pPr>
      <w:r>
        <w:t xml:space="preserve">The ‘best guess’ genotype calls for confidently imputed variants (INFO&gt;0.6) for 6,542 chip-genotyped samples were compared to the whole-exome sequencing (WES) data for the same individuals. Quality control procedures for these WES data were carried out in a similar manner as for the reference panel WGS data. Sample-wise metrics were calculated with Hail and outlier samples deviating more than ±3SD for </w:t>
      </w:r>
      <w:proofErr w:type="spellStart"/>
      <w:r>
        <w:t>nSNP</w:t>
      </w:r>
      <w:proofErr w:type="spellEnd"/>
      <w:r>
        <w:t xml:space="preserve">, </w:t>
      </w:r>
      <w:proofErr w:type="spellStart"/>
      <w:r>
        <w:t>rHetHom</w:t>
      </w:r>
      <w:proofErr w:type="spellEnd"/>
      <w:r>
        <w:t xml:space="preserve">, </w:t>
      </w:r>
      <w:proofErr w:type="spellStart"/>
      <w:r>
        <w:t>rInsertionDeletion</w:t>
      </w:r>
      <w:proofErr w:type="spellEnd"/>
      <w:r>
        <w:t xml:space="preserve"> and </w:t>
      </w:r>
      <w:proofErr w:type="spellStart"/>
      <w:r>
        <w:t>rTiTv</w:t>
      </w:r>
      <w:proofErr w:type="spellEnd"/>
      <w:r>
        <w:t xml:space="preserve"> were excluded. Variants inside of low-complexity regions (LCRs)</w:t>
      </w:r>
      <w:hyperlink r:id="rId29">
        <w:r>
          <w:rPr>
            <w:vertAlign w:val="superscript"/>
          </w:rPr>
          <w:t>12</w:t>
        </w:r>
      </w:hyperlink>
      <w:r>
        <w:rPr>
          <w:rFonts w:ascii="Arial Unicode MS" w:eastAsia="Arial Unicode MS" w:hAnsi="Arial Unicode MS" w:cs="Arial Unicode MS"/>
        </w:rPr>
        <w:t xml:space="preserve"> were excluded, low-quality individual </w:t>
      </w:r>
      <w:r>
        <w:rPr>
          <w:rFonts w:ascii="Arial Unicode MS" w:eastAsia="Arial Unicode MS" w:hAnsi="Arial Unicode MS" w:cs="Arial Unicode MS"/>
        </w:rPr>
        <w:lastRenderedPageBreak/>
        <w:t>genotype calls were set missing, after which variant-wise call-rate of ≥90% and Hardy-Weinberg Equilibrium p-value (</w:t>
      </w:r>
      <w:proofErr w:type="spellStart"/>
      <w:r>
        <w:rPr>
          <w:rFonts w:ascii="Arial Unicode MS" w:eastAsia="Arial Unicode MS" w:hAnsi="Arial Unicode MS" w:cs="Arial Unicode MS"/>
        </w:rPr>
        <w:t>pHWE</w:t>
      </w:r>
      <w:proofErr w:type="spellEnd"/>
      <w:r>
        <w:rPr>
          <w:rFonts w:ascii="Arial Unicode MS" w:eastAsia="Arial Unicode MS" w:hAnsi="Arial Unicode MS" w:cs="Arial Unicode MS"/>
        </w:rPr>
        <w:t>) cut-off of ≥1 x 10</w:t>
      </w:r>
      <w:r>
        <w:rPr>
          <w:vertAlign w:val="superscript"/>
        </w:rPr>
        <w:t>-9</w:t>
      </w:r>
      <w:r>
        <w:rPr>
          <w:rFonts w:ascii="Arial Unicode MS" w:eastAsia="Arial Unicode MS" w:hAnsi="Arial Unicode MS" w:cs="Arial Unicode MS"/>
        </w:rPr>
        <w:t xml:space="preserve"> were applied. Variant quality score recalibration (VQSR) filter ‘PASS’ was applied together with quality by depth (QD) of ≥2 for SNV and ≥3 for indel variants. Finally, only autosomal biallelic variants with allele count (AC) ≥1 </w:t>
      </w:r>
      <w:proofErr w:type="gramStart"/>
      <w:r>
        <w:rPr>
          <w:rFonts w:ascii="Arial Unicode MS" w:eastAsia="Arial Unicode MS" w:hAnsi="Arial Unicode MS" w:cs="Arial Unicode MS"/>
        </w:rPr>
        <w:t>were</w:t>
      </w:r>
      <w:proofErr w:type="gramEnd"/>
      <w:r>
        <w:rPr>
          <w:rFonts w:ascii="Arial Unicode MS" w:eastAsia="Arial Unicode MS" w:hAnsi="Arial Unicode MS" w:cs="Arial Unicode MS"/>
        </w:rPr>
        <w:t xml:space="preserve"> included. </w:t>
      </w:r>
    </w:p>
    <w:p w14:paraId="6659FD72" w14:textId="77777777" w:rsidR="00570424" w:rsidRDefault="00000000">
      <w:pPr>
        <w:spacing w:line="360" w:lineRule="auto"/>
        <w:jc w:val="both"/>
      </w:pPr>
      <w:r>
        <w:t xml:space="preserve">While treating the WES-based genotype calls as 'gold standard', GATK </w:t>
      </w:r>
      <w:proofErr w:type="spellStart"/>
      <w:r>
        <w:t>GenotypeConcordance</w:t>
      </w:r>
      <w:proofErr w:type="spellEnd"/>
      <w:r>
        <w:t xml:space="preserve"> was used to calculate non-reference sensitivity (the proportion of WES-based non-reference genotype calls that were obtained through the imputation process) and discordance rate (the proportion of non-reference imputed or WES-based genotypes, which had discordant genotype calls).</w:t>
      </w:r>
    </w:p>
    <w:p w14:paraId="255CF7BA" w14:textId="77777777" w:rsidR="00570424" w:rsidRDefault="00000000">
      <w:pPr>
        <w:spacing w:line="360" w:lineRule="auto"/>
        <w:jc w:val="both"/>
      </w:pPr>
      <w:r>
        <w:t xml:space="preserve">Upon completion of the steps described in this section, this resulted in 16 387 711 confidently imputed (INFO&gt;0.6, 16,962,023 imputed variants in total) variants across the allele frequency spectrum (Supplementary Figure 5). </w:t>
      </w:r>
    </w:p>
    <w:p w14:paraId="7A9850F7" w14:textId="77777777" w:rsidR="00570424" w:rsidRDefault="00000000">
      <w:pPr>
        <w:spacing w:line="360" w:lineRule="auto"/>
        <w:rPr>
          <w:b/>
          <w:i/>
          <w:color w:val="222222"/>
          <w:sz w:val="20"/>
          <w:szCs w:val="20"/>
        </w:rPr>
      </w:pPr>
      <w:r>
        <w:rPr>
          <w:b/>
          <w:i/>
          <w:noProof/>
          <w:color w:val="222222"/>
          <w:sz w:val="20"/>
          <w:szCs w:val="20"/>
        </w:rPr>
        <w:drawing>
          <wp:inline distT="114300" distB="114300" distL="114300" distR="114300" wp14:anchorId="3280DEB1" wp14:editId="14EBF06A">
            <wp:extent cx="5943600" cy="29591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943600" cy="2959100"/>
                    </a:xfrm>
                    <a:prstGeom prst="rect">
                      <a:avLst/>
                    </a:prstGeom>
                    <a:ln/>
                  </pic:spPr>
                </pic:pic>
              </a:graphicData>
            </a:graphic>
          </wp:inline>
        </w:drawing>
      </w:r>
    </w:p>
    <w:p w14:paraId="40670EFD" w14:textId="77777777" w:rsidR="00570424" w:rsidRDefault="00000000">
      <w:pPr>
        <w:spacing w:line="360" w:lineRule="auto"/>
        <w:rPr>
          <w:b/>
        </w:rPr>
      </w:pPr>
      <w:r>
        <w:rPr>
          <w:b/>
          <w:i/>
          <w:color w:val="222222"/>
          <w:sz w:val="20"/>
          <w:szCs w:val="20"/>
        </w:rPr>
        <w:t xml:space="preserve">Supplementary Figure 5. </w:t>
      </w:r>
      <w:proofErr w:type="spellStart"/>
      <w:r>
        <w:rPr>
          <w:i/>
          <w:color w:val="222222"/>
          <w:sz w:val="20"/>
          <w:szCs w:val="20"/>
        </w:rPr>
        <w:t>FinnGen</w:t>
      </w:r>
      <w:proofErr w:type="spellEnd"/>
      <w:r>
        <w:rPr>
          <w:i/>
          <w:color w:val="222222"/>
          <w:sz w:val="20"/>
          <w:szCs w:val="20"/>
        </w:rPr>
        <w:t xml:space="preserve"> coding variant imputation accuracy among confidently imputed (INFO &gt; 0.6) variants. Imputed best guess non-reference genotypes were compared to exome sequenced genotypes from the same individuals.  The sensitivity to identify non-reference genotypes (black continuous line) and false positive rate (grey dashed line) are shown in different allele frequency bins</w:t>
      </w:r>
    </w:p>
    <w:p w14:paraId="4CB6D21B" w14:textId="77777777" w:rsidR="00570424" w:rsidRDefault="00000000">
      <w:pPr>
        <w:pStyle w:val="Heading1"/>
        <w:spacing w:after="160" w:line="360" w:lineRule="auto"/>
        <w:jc w:val="both"/>
      </w:pPr>
      <w:bookmarkStart w:id="5" w:name="_tyjcwt" w:colFirst="0" w:colLast="0"/>
      <w:bookmarkEnd w:id="5"/>
      <w:r>
        <w:rPr>
          <w:b/>
        </w:rPr>
        <w:lastRenderedPageBreak/>
        <w:t>Section 4:</w:t>
      </w:r>
      <w:r>
        <w:t xml:space="preserve"> Population structure and cryptic relatedness</w:t>
      </w:r>
    </w:p>
    <w:p w14:paraId="1CA7399E" w14:textId="77777777" w:rsidR="00570424" w:rsidRDefault="00000000">
      <w:pPr>
        <w:spacing w:line="360" w:lineRule="auto"/>
        <w:jc w:val="both"/>
      </w:pPr>
      <w:r>
        <w:t xml:space="preserve">We merged 224,737 </w:t>
      </w:r>
      <w:proofErr w:type="spellStart"/>
      <w:r>
        <w:t>FinnGen</w:t>
      </w:r>
      <w:proofErr w:type="spellEnd"/>
      <w:r>
        <w:t xml:space="preserve"> samples with 1000 genomes phase 3 data set into a single data set of 49451 pruned SNPs, on which we calculated PCs. We first removed 2104 duplicated samples. We then utilized Bayesian unsupervised method Aberrant</w:t>
      </w:r>
      <w:hyperlink r:id="rId31">
        <w:r>
          <w:rPr>
            <w:vertAlign w:val="superscript"/>
          </w:rPr>
          <w:t>15</w:t>
        </w:r>
      </w:hyperlink>
      <w:r>
        <w:t xml:space="preserve"> to identify samples that deviated from </w:t>
      </w:r>
      <w:proofErr w:type="gramStart"/>
      <w:r>
        <w:t>the majority of</w:t>
      </w:r>
      <w:proofErr w:type="gramEnd"/>
      <w:r>
        <w:t xml:space="preserve"> the samples in PCA space.  The vast majority of </w:t>
      </w:r>
      <w:proofErr w:type="spellStart"/>
      <w:r>
        <w:t>FinnGen</w:t>
      </w:r>
      <w:proofErr w:type="spellEnd"/>
      <w:r>
        <w:t xml:space="preserve"> samples clustered in their own cluster </w:t>
      </w:r>
      <w:proofErr w:type="gramStart"/>
      <w:r>
        <w:t>next  to</w:t>
      </w:r>
      <w:proofErr w:type="gramEnd"/>
      <w:r>
        <w:t xml:space="preserve"> 1000 genomes of Europeans (Supplementary Figure 6). In outlier detection, 3138 </w:t>
      </w:r>
      <w:proofErr w:type="spellStart"/>
      <w:r>
        <w:t>FinnGen</w:t>
      </w:r>
      <w:proofErr w:type="spellEnd"/>
      <w:r>
        <w:t xml:space="preserve"> samples and all 1000 genomes samples except 96 out of 99 Finns were identified as significantly deviating from </w:t>
      </w:r>
      <w:proofErr w:type="gramStart"/>
      <w:r>
        <w:t>the majority of</w:t>
      </w:r>
      <w:proofErr w:type="gramEnd"/>
      <w:r>
        <w:t xml:space="preserve"> the samples (Supplementary Figure 6) and were removed. Since all non-European 1000 genomes samples had been removed, we used the remaining 404 North-Western Europeans and 99 Finn 1000 genomes samples as known samples of other European and Finnish populations to build a classifier. PCA was calculated for the remaining 219,585 </w:t>
      </w:r>
      <w:proofErr w:type="spellStart"/>
      <w:r>
        <w:t>FinnGen</w:t>
      </w:r>
      <w:proofErr w:type="spellEnd"/>
      <w:r>
        <w:t xml:space="preserve"> samples and the 1000 genomes known samples were projected onto the same space. For each </w:t>
      </w:r>
      <w:proofErr w:type="spellStart"/>
      <w:r>
        <w:t>FinnGen</w:t>
      </w:r>
      <w:proofErr w:type="spellEnd"/>
      <w:r>
        <w:t xml:space="preserve"> sample, a probability of being part of the EUR/FIN cluster was calculated, using a chi-squared distribution based on the </w:t>
      </w:r>
      <w:proofErr w:type="spellStart"/>
      <w:r>
        <w:t>Mahalanobis</w:t>
      </w:r>
      <w:proofErr w:type="spellEnd"/>
      <w:r>
        <w:t xml:space="preserve"> distance to the centroid of each cluster. We classified as ethnic Finns the individuals whose relative probability of being part of the FIN cluster was &gt; 95%, resulting in additional 538 outliers being removed (Supplementary Figure 7). The remaining 218,957 samples were retained as Finnish ancestry samples</w:t>
      </w:r>
      <w:r>
        <w:rPr>
          <w:b/>
        </w:rPr>
        <w:t xml:space="preserve">. </w:t>
      </w:r>
      <w:r>
        <w:t xml:space="preserve">The relationships between remaining samples </w:t>
      </w:r>
      <w:proofErr w:type="gramStart"/>
      <w:r>
        <w:t>was</w:t>
      </w:r>
      <w:proofErr w:type="gramEnd"/>
      <w:r>
        <w:t xml:space="preserve"> estimated with KING software</w:t>
      </w:r>
      <w:r>
        <w:rPr>
          <w:vertAlign w:val="superscript"/>
        </w:rPr>
        <w:t>15</w:t>
      </w:r>
      <w:r>
        <w:t xml:space="preserve"> (Supplementary Figure 8, Supplementary Table 5)</w:t>
      </w:r>
    </w:p>
    <w:p w14:paraId="565A13C6" w14:textId="77777777" w:rsidR="00570424" w:rsidRDefault="00570424">
      <w:pPr>
        <w:spacing w:line="360" w:lineRule="auto"/>
        <w:jc w:val="both"/>
        <w:rPr>
          <w:b/>
        </w:rPr>
      </w:pPr>
    </w:p>
    <w:p w14:paraId="58B587AB" w14:textId="77777777" w:rsidR="00570424" w:rsidRDefault="00570424">
      <w:pPr>
        <w:spacing w:line="360" w:lineRule="auto"/>
        <w:jc w:val="both"/>
        <w:rPr>
          <w:b/>
        </w:rPr>
      </w:pPr>
    </w:p>
    <w:p w14:paraId="472284CF" w14:textId="77777777" w:rsidR="00570424" w:rsidRDefault="00000000">
      <w:pPr>
        <w:spacing w:line="360" w:lineRule="auto"/>
        <w:jc w:val="both"/>
        <w:rPr>
          <w:b/>
        </w:rPr>
      </w:pPr>
      <w:r>
        <w:rPr>
          <w:b/>
          <w:noProof/>
        </w:rPr>
        <w:lastRenderedPageBreak/>
        <w:drawing>
          <wp:inline distT="114300" distB="114300" distL="114300" distR="114300" wp14:anchorId="3A72CA41" wp14:editId="60C5FED8">
            <wp:extent cx="5943600" cy="41910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5943600" cy="4191000"/>
                    </a:xfrm>
                    <a:prstGeom prst="rect">
                      <a:avLst/>
                    </a:prstGeom>
                    <a:ln/>
                  </pic:spPr>
                </pic:pic>
              </a:graphicData>
            </a:graphic>
          </wp:inline>
        </w:drawing>
      </w:r>
    </w:p>
    <w:p w14:paraId="124DE34D" w14:textId="77777777" w:rsidR="00570424" w:rsidRDefault="00570424">
      <w:pPr>
        <w:spacing w:line="360" w:lineRule="auto"/>
        <w:jc w:val="center"/>
        <w:rPr>
          <w:b/>
          <w:sz w:val="20"/>
          <w:szCs w:val="20"/>
        </w:rPr>
      </w:pPr>
    </w:p>
    <w:p w14:paraId="5115BC3D" w14:textId="77777777" w:rsidR="00570424" w:rsidRDefault="00000000">
      <w:pPr>
        <w:spacing w:line="360" w:lineRule="auto"/>
        <w:jc w:val="both"/>
        <w:rPr>
          <w:sz w:val="20"/>
          <w:szCs w:val="20"/>
        </w:rPr>
      </w:pPr>
      <w:r>
        <w:rPr>
          <w:b/>
          <w:sz w:val="20"/>
          <w:szCs w:val="20"/>
        </w:rPr>
        <w:t>Supplementary Figure 6</w:t>
      </w:r>
      <w:r>
        <w:rPr>
          <w:sz w:val="20"/>
          <w:szCs w:val="20"/>
        </w:rPr>
        <w:t xml:space="preserve">. PCA classification of 224,737 </w:t>
      </w:r>
      <w:proofErr w:type="spellStart"/>
      <w:r>
        <w:rPr>
          <w:sz w:val="20"/>
          <w:szCs w:val="20"/>
        </w:rPr>
        <w:t>FinnGen</w:t>
      </w:r>
      <w:proofErr w:type="spellEnd"/>
      <w:r>
        <w:rPr>
          <w:sz w:val="20"/>
          <w:szCs w:val="20"/>
        </w:rPr>
        <w:t xml:space="preserve"> participants combined with 1000 genomes samples (</w:t>
      </w:r>
      <w:proofErr w:type="gramStart"/>
      <w:r>
        <w:rPr>
          <w:sz w:val="20"/>
          <w:szCs w:val="20"/>
        </w:rPr>
        <w:t>AFR,AMR</w:t>
      </w:r>
      <w:proofErr w:type="gramEnd"/>
      <w:r>
        <w:rPr>
          <w:sz w:val="20"/>
          <w:szCs w:val="20"/>
        </w:rPr>
        <w:t xml:space="preserve">,EAST,EUR,FIN,SAS). </w:t>
      </w:r>
      <w:proofErr w:type="spellStart"/>
      <w:r>
        <w:rPr>
          <w:sz w:val="20"/>
          <w:szCs w:val="20"/>
        </w:rPr>
        <w:t>FinnGen</w:t>
      </w:r>
      <w:proofErr w:type="spellEnd"/>
      <w:r>
        <w:rPr>
          <w:sz w:val="20"/>
          <w:szCs w:val="20"/>
        </w:rPr>
        <w:t xml:space="preserve"> outlier samples were removed as deviating from the bulk of the </w:t>
      </w:r>
      <w:proofErr w:type="spellStart"/>
      <w:r>
        <w:rPr>
          <w:sz w:val="20"/>
          <w:szCs w:val="20"/>
        </w:rPr>
        <w:t>FinnGen</w:t>
      </w:r>
      <w:proofErr w:type="spellEnd"/>
      <w:r>
        <w:rPr>
          <w:sz w:val="20"/>
          <w:szCs w:val="20"/>
        </w:rPr>
        <w:t xml:space="preserve"> samples.  </w:t>
      </w:r>
    </w:p>
    <w:p w14:paraId="49E36400" w14:textId="77777777" w:rsidR="00570424" w:rsidRDefault="00570424">
      <w:pPr>
        <w:spacing w:line="360" w:lineRule="auto"/>
        <w:jc w:val="both"/>
        <w:rPr>
          <w:sz w:val="20"/>
          <w:szCs w:val="20"/>
        </w:rPr>
      </w:pPr>
    </w:p>
    <w:p w14:paraId="338026CC" w14:textId="77777777" w:rsidR="00570424" w:rsidRDefault="00000000">
      <w:pPr>
        <w:spacing w:line="360" w:lineRule="auto"/>
        <w:jc w:val="both"/>
        <w:rPr>
          <w:sz w:val="20"/>
          <w:szCs w:val="20"/>
        </w:rPr>
      </w:pPr>
      <w:r>
        <w:rPr>
          <w:noProof/>
          <w:sz w:val="20"/>
          <w:szCs w:val="20"/>
        </w:rPr>
        <w:lastRenderedPageBreak/>
        <w:drawing>
          <wp:inline distT="114300" distB="114300" distL="114300" distR="114300" wp14:anchorId="26CE9F81" wp14:editId="5FC9D514">
            <wp:extent cx="5943600" cy="414020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5943600" cy="4140200"/>
                    </a:xfrm>
                    <a:prstGeom prst="rect">
                      <a:avLst/>
                    </a:prstGeom>
                    <a:ln/>
                  </pic:spPr>
                </pic:pic>
              </a:graphicData>
            </a:graphic>
          </wp:inline>
        </w:drawing>
      </w:r>
    </w:p>
    <w:p w14:paraId="565D2EEF" w14:textId="77777777" w:rsidR="00570424" w:rsidRDefault="00000000">
      <w:pPr>
        <w:spacing w:line="360" w:lineRule="auto"/>
        <w:jc w:val="both"/>
        <w:rPr>
          <w:sz w:val="20"/>
          <w:szCs w:val="20"/>
        </w:rPr>
      </w:pPr>
      <w:r>
        <w:rPr>
          <w:b/>
          <w:sz w:val="20"/>
          <w:szCs w:val="20"/>
        </w:rPr>
        <w:t>Supplementary Figure 7</w:t>
      </w:r>
      <w:r>
        <w:rPr>
          <w:sz w:val="20"/>
          <w:szCs w:val="20"/>
        </w:rPr>
        <w:t xml:space="preserve">. Classification of Finnish ancestry participants based on 1000 genomes learning samples (EUR, FIN) remaining after 1st round of outlier removal (see Supplementary Figure </w:t>
      </w:r>
      <w:proofErr w:type="gramStart"/>
      <w:r>
        <w:rPr>
          <w:sz w:val="20"/>
          <w:szCs w:val="20"/>
        </w:rPr>
        <w:t>6 )</w:t>
      </w:r>
      <w:proofErr w:type="gramEnd"/>
      <w:r>
        <w:rPr>
          <w:sz w:val="20"/>
          <w:szCs w:val="20"/>
        </w:rPr>
        <w:t xml:space="preserve">.  538 “Outliers” (in green) </w:t>
      </w:r>
      <w:proofErr w:type="gramStart"/>
      <w:r>
        <w:rPr>
          <w:sz w:val="20"/>
          <w:szCs w:val="20"/>
        </w:rPr>
        <w:t>removed</w:t>
      </w:r>
      <w:proofErr w:type="gramEnd"/>
      <w:r>
        <w:rPr>
          <w:sz w:val="20"/>
          <w:szCs w:val="20"/>
        </w:rPr>
        <w:t xml:space="preserve"> and 218957 “inliers” (in red) kept.</w:t>
      </w:r>
    </w:p>
    <w:p w14:paraId="4FDE63F6" w14:textId="77777777" w:rsidR="00570424" w:rsidRDefault="00000000">
      <w:pPr>
        <w:spacing w:line="360" w:lineRule="auto"/>
        <w:jc w:val="both"/>
        <w:rPr>
          <w:i/>
          <w:sz w:val="20"/>
          <w:szCs w:val="20"/>
        </w:rPr>
      </w:pPr>
      <w:r>
        <w:br w:type="page"/>
      </w:r>
    </w:p>
    <w:p w14:paraId="21ADA5BE" w14:textId="77777777" w:rsidR="00570424" w:rsidRDefault="00000000">
      <w:pPr>
        <w:spacing w:line="360" w:lineRule="auto"/>
        <w:jc w:val="both"/>
        <w:rPr>
          <w:i/>
          <w:color w:val="444499"/>
          <w:sz w:val="20"/>
          <w:szCs w:val="20"/>
        </w:rPr>
      </w:pPr>
      <w:r>
        <w:rPr>
          <w:i/>
          <w:noProof/>
          <w:color w:val="444499"/>
          <w:sz w:val="20"/>
          <w:szCs w:val="20"/>
        </w:rPr>
        <w:lastRenderedPageBreak/>
        <w:drawing>
          <wp:inline distT="114300" distB="114300" distL="114300" distR="114300" wp14:anchorId="5D004977" wp14:editId="6F0F34F7">
            <wp:extent cx="5943600" cy="42672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5943600" cy="4267200"/>
                    </a:xfrm>
                    <a:prstGeom prst="rect">
                      <a:avLst/>
                    </a:prstGeom>
                    <a:ln/>
                  </pic:spPr>
                </pic:pic>
              </a:graphicData>
            </a:graphic>
          </wp:inline>
        </w:drawing>
      </w:r>
    </w:p>
    <w:p w14:paraId="1DBC278B" w14:textId="77777777" w:rsidR="00570424" w:rsidRDefault="00000000">
      <w:pPr>
        <w:spacing w:line="360" w:lineRule="auto"/>
        <w:jc w:val="both"/>
        <w:rPr>
          <w:sz w:val="20"/>
          <w:szCs w:val="20"/>
        </w:rPr>
      </w:pPr>
      <w:r>
        <w:rPr>
          <w:b/>
          <w:sz w:val="20"/>
          <w:szCs w:val="20"/>
        </w:rPr>
        <w:t>Supplementary Figure 8</w:t>
      </w:r>
      <w:r>
        <w:rPr>
          <w:sz w:val="20"/>
          <w:szCs w:val="20"/>
        </w:rPr>
        <w:t xml:space="preserve">. Density (green dashed lines) and cumulative distribution plots (red solid line) of </w:t>
      </w:r>
      <w:proofErr w:type="spellStart"/>
      <w:r>
        <w:rPr>
          <w:sz w:val="20"/>
          <w:szCs w:val="20"/>
        </w:rPr>
        <w:t>FinnGen</w:t>
      </w:r>
      <w:proofErr w:type="spellEnd"/>
      <w:r>
        <w:rPr>
          <w:sz w:val="20"/>
          <w:szCs w:val="20"/>
        </w:rPr>
        <w:t xml:space="preserve"> R5 KING kinship estimates. Kinship value intervals </w:t>
      </w:r>
      <w:r>
        <w:rPr>
          <w:sz w:val="20"/>
          <w:szCs w:val="20"/>
          <w:highlight w:val="white"/>
        </w:rPr>
        <w:t xml:space="preserve">&gt;0.354, </w:t>
      </w:r>
      <w:r>
        <w:rPr>
          <w:sz w:val="20"/>
          <w:szCs w:val="20"/>
        </w:rPr>
        <w:t xml:space="preserve">[0.1770-0.3540], [0.0884-0.1770), </w:t>
      </w:r>
      <w:proofErr w:type="gramStart"/>
      <w:r>
        <w:rPr>
          <w:sz w:val="20"/>
          <w:szCs w:val="20"/>
        </w:rPr>
        <w:t>and  [</w:t>
      </w:r>
      <w:proofErr w:type="gramEnd"/>
      <w:r>
        <w:rPr>
          <w:sz w:val="20"/>
          <w:szCs w:val="20"/>
        </w:rPr>
        <w:t>0.0442-0.0884) were used to classify duplicates/monozygotic twins, 1st, 2nd and 3rd degree relatives, respectively.</w:t>
      </w:r>
    </w:p>
    <w:p w14:paraId="5645B7D7" w14:textId="77777777" w:rsidR="00570424" w:rsidRDefault="00570424">
      <w:pPr>
        <w:spacing w:line="360" w:lineRule="auto"/>
        <w:jc w:val="both"/>
        <w:rPr>
          <w:sz w:val="20"/>
          <w:szCs w:val="20"/>
        </w:rPr>
      </w:pPr>
    </w:p>
    <w:p w14:paraId="4BAAA3B9" w14:textId="77777777" w:rsidR="00570424" w:rsidRDefault="00570424">
      <w:pPr>
        <w:spacing w:line="360" w:lineRule="auto"/>
        <w:jc w:val="both"/>
        <w:rPr>
          <w:sz w:val="20"/>
          <w:szCs w:val="20"/>
        </w:rPr>
      </w:pPr>
    </w:p>
    <w:p w14:paraId="6C57CA45" w14:textId="4F3F5EAC" w:rsidR="00570424" w:rsidRDefault="00067746" w:rsidP="00B27280">
      <w:pPr>
        <w:spacing w:line="360" w:lineRule="auto"/>
        <w:jc w:val="center"/>
        <w:rPr>
          <w:sz w:val="20"/>
          <w:szCs w:val="20"/>
        </w:rPr>
      </w:pPr>
      <w:r>
        <w:rPr>
          <w:noProof/>
          <w:sz w:val="20"/>
          <w:szCs w:val="20"/>
        </w:rPr>
        <w:lastRenderedPageBreak/>
        <w:drawing>
          <wp:inline distT="0" distB="0" distL="0" distR="0" wp14:anchorId="4D1FC563" wp14:editId="33C2BF25">
            <wp:extent cx="4728210" cy="35093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5">
                      <a:extLst>
                        <a:ext uri="{28A0092B-C50C-407E-A947-70E740481C1C}">
                          <a14:useLocalDpi xmlns:a14="http://schemas.microsoft.com/office/drawing/2010/main" val="0"/>
                        </a:ext>
                      </a:extLst>
                    </a:blip>
                    <a:srcRect l="11041" t="20101" r="8163"/>
                    <a:stretch/>
                  </pic:blipFill>
                  <pic:spPr bwMode="auto">
                    <a:xfrm>
                      <a:off x="0" y="0"/>
                      <a:ext cx="4730354" cy="3510930"/>
                    </a:xfrm>
                    <a:prstGeom prst="rect">
                      <a:avLst/>
                    </a:prstGeom>
                    <a:ln>
                      <a:noFill/>
                    </a:ln>
                    <a:extLst>
                      <a:ext uri="{53640926-AAD7-44D8-BBD7-CCE9431645EC}">
                        <a14:shadowObscured xmlns:a14="http://schemas.microsoft.com/office/drawing/2010/main"/>
                      </a:ext>
                    </a:extLst>
                  </pic:spPr>
                </pic:pic>
              </a:graphicData>
            </a:graphic>
          </wp:inline>
        </w:drawing>
      </w:r>
    </w:p>
    <w:p w14:paraId="7EF79FA4" w14:textId="022768C2" w:rsidR="00570424" w:rsidRDefault="00000000">
      <w:pPr>
        <w:spacing w:line="360" w:lineRule="auto"/>
        <w:jc w:val="both"/>
        <w:rPr>
          <w:i/>
          <w:color w:val="444499"/>
          <w:sz w:val="20"/>
          <w:szCs w:val="20"/>
        </w:rPr>
      </w:pPr>
      <w:r>
        <w:rPr>
          <w:sz w:val="20"/>
          <w:szCs w:val="20"/>
        </w:rPr>
        <w:t xml:space="preserve">Supplementary Figure 9.  Map of Finland where circles in center of counties illustrate the number of </w:t>
      </w:r>
      <w:proofErr w:type="spellStart"/>
      <w:r>
        <w:rPr>
          <w:sz w:val="20"/>
          <w:szCs w:val="20"/>
        </w:rPr>
        <w:t>FinnGen</w:t>
      </w:r>
      <w:proofErr w:type="spellEnd"/>
      <w:r>
        <w:rPr>
          <w:sz w:val="20"/>
          <w:szCs w:val="20"/>
        </w:rPr>
        <w:t xml:space="preserve"> participants from each region (Size of circle) as well as average principal component values for individuals from those regions (color). Figures 1,2,3 illustrate the first three principal components respectively. </w:t>
      </w:r>
      <w:r w:rsidRPr="00A34672">
        <w:rPr>
          <w:sz w:val="20"/>
          <w:szCs w:val="20"/>
        </w:rPr>
        <w:t xml:space="preserve"> </w:t>
      </w:r>
      <w:r w:rsidR="005F11DA">
        <w:rPr>
          <w:sz w:val="20"/>
          <w:szCs w:val="20"/>
        </w:rPr>
        <w:t xml:space="preserve">The map outline was obtained from </w:t>
      </w:r>
      <w:r w:rsidR="00242AA9">
        <w:rPr>
          <w:sz w:val="20"/>
          <w:szCs w:val="20"/>
        </w:rPr>
        <w:t xml:space="preserve">the </w:t>
      </w:r>
      <w:r w:rsidR="005F11DA">
        <w:rPr>
          <w:sz w:val="20"/>
          <w:szCs w:val="20"/>
        </w:rPr>
        <w:t>GADM project (</w:t>
      </w:r>
      <w:r w:rsidR="005F11DA" w:rsidRPr="005F11DA">
        <w:rPr>
          <w:sz w:val="20"/>
          <w:szCs w:val="20"/>
        </w:rPr>
        <w:t>https://gadm.org/license.html</w:t>
      </w:r>
      <w:r w:rsidR="005F11DA">
        <w:rPr>
          <w:sz w:val="20"/>
          <w:szCs w:val="20"/>
        </w:rPr>
        <w:t>)</w:t>
      </w:r>
      <w:r w:rsidR="00A34672" w:rsidRPr="00A34672">
        <w:rPr>
          <w:sz w:val="20"/>
          <w:szCs w:val="20"/>
        </w:rPr>
        <w:t>.</w:t>
      </w:r>
      <w:r w:rsidR="00A34672">
        <w:rPr>
          <w:rFonts w:ascii="Segoe UI" w:hAnsi="Segoe UI" w:cs="Segoe UI"/>
          <w:color w:val="323232"/>
          <w:sz w:val="23"/>
          <w:szCs w:val="23"/>
          <w:shd w:val="clear" w:color="auto" w:fill="FFFFFF"/>
        </w:rPr>
        <w:t xml:space="preserve"> </w:t>
      </w:r>
    </w:p>
    <w:p w14:paraId="7CB44A0A" w14:textId="77777777" w:rsidR="00570424" w:rsidRDefault="00570424">
      <w:pPr>
        <w:spacing w:line="360" w:lineRule="auto"/>
        <w:jc w:val="both"/>
        <w:rPr>
          <w:i/>
          <w:color w:val="444499"/>
          <w:sz w:val="20"/>
          <w:szCs w:val="20"/>
        </w:rPr>
      </w:pPr>
    </w:p>
    <w:p w14:paraId="2B895E64" w14:textId="77777777" w:rsidR="00570424" w:rsidRDefault="00570424">
      <w:pPr>
        <w:spacing w:line="360" w:lineRule="auto"/>
        <w:jc w:val="both"/>
        <w:rPr>
          <w:i/>
          <w:color w:val="444499"/>
          <w:sz w:val="20"/>
          <w:szCs w:val="20"/>
        </w:rPr>
      </w:pPr>
    </w:p>
    <w:p w14:paraId="4FF6E670" w14:textId="77777777" w:rsidR="00570424" w:rsidRDefault="00000000">
      <w:pPr>
        <w:pStyle w:val="Heading1"/>
        <w:spacing w:line="360" w:lineRule="auto"/>
      </w:pPr>
      <w:bookmarkStart w:id="6" w:name="_3dy6vkm" w:colFirst="0" w:colLast="0"/>
      <w:bookmarkEnd w:id="6"/>
      <w:r>
        <w:rPr>
          <w:b/>
        </w:rPr>
        <w:t>Section 5</w:t>
      </w:r>
      <w:r>
        <w:t>: GWAS/</w:t>
      </w:r>
      <w:proofErr w:type="spellStart"/>
      <w:r>
        <w:t>pheWAS</w:t>
      </w:r>
      <w:proofErr w:type="spellEnd"/>
      <w:r>
        <w:t xml:space="preserve"> Analysis </w:t>
      </w:r>
    </w:p>
    <w:p w14:paraId="4DF334CC" w14:textId="77777777" w:rsidR="00570424" w:rsidRDefault="00000000">
      <w:pPr>
        <w:pStyle w:val="Heading2"/>
        <w:spacing w:line="360" w:lineRule="auto"/>
      </w:pPr>
      <w:bookmarkStart w:id="7" w:name="_1t3h5sf" w:colFirst="0" w:colLast="0"/>
      <w:bookmarkEnd w:id="7"/>
      <w:r>
        <w:t>Data Access and Dissemination</w:t>
      </w:r>
    </w:p>
    <w:p w14:paraId="063D5559" w14:textId="77777777" w:rsidR="00570424" w:rsidRDefault="00000000">
      <w:pPr>
        <w:spacing w:line="360" w:lineRule="auto"/>
        <w:jc w:val="both"/>
      </w:pPr>
      <w:r>
        <w:t xml:space="preserve">All summary statistics for each release are generated by the </w:t>
      </w:r>
      <w:proofErr w:type="spellStart"/>
      <w:r>
        <w:t>FinnGen</w:t>
      </w:r>
      <w:proofErr w:type="spellEnd"/>
      <w:r>
        <w:t xml:space="preserve"> analysis team (</w:t>
      </w:r>
      <w:proofErr w:type="spellStart"/>
      <w:r>
        <w:t>pheWAS</w:t>
      </w:r>
      <w:proofErr w:type="spellEnd"/>
      <w:r>
        <w:t xml:space="preserve">, </w:t>
      </w:r>
      <w:proofErr w:type="spellStart"/>
      <w:r>
        <w:t>finemap</w:t>
      </w:r>
      <w:proofErr w:type="spellEnd"/>
      <w:r>
        <w:t xml:space="preserve">, colocalization) and made available via a custom </w:t>
      </w:r>
      <w:proofErr w:type="spellStart"/>
      <w:r>
        <w:t>FinnGen</w:t>
      </w:r>
      <w:proofErr w:type="spellEnd"/>
      <w:r>
        <w:t xml:space="preserve"> </w:t>
      </w:r>
      <w:proofErr w:type="spellStart"/>
      <w:r>
        <w:t>PheWeb</w:t>
      </w:r>
      <w:proofErr w:type="spellEnd"/>
      <w:r>
        <w:t xml:space="preserve"> (</w:t>
      </w:r>
      <w:hyperlink r:id="rId36">
        <w:r>
          <w:rPr>
            <w:color w:val="1155CC"/>
            <w:u w:val="single"/>
          </w:rPr>
          <w:t>https://results.finngen.fi/</w:t>
        </w:r>
      </w:hyperlink>
      <w:r>
        <w:t>) as well as file downloads (see data access).</w:t>
      </w:r>
    </w:p>
    <w:p w14:paraId="79FFE5A2" w14:textId="77777777" w:rsidR="00570424" w:rsidRDefault="00570424">
      <w:pPr>
        <w:spacing w:line="360" w:lineRule="auto"/>
        <w:jc w:val="both"/>
      </w:pPr>
    </w:p>
    <w:p w14:paraId="691981CB" w14:textId="77777777" w:rsidR="00570424" w:rsidRDefault="00000000">
      <w:pPr>
        <w:spacing w:line="360" w:lineRule="auto"/>
        <w:jc w:val="both"/>
      </w:pPr>
      <w:proofErr w:type="spellStart"/>
      <w:r>
        <w:t>FinnGen</w:t>
      </w:r>
      <w:proofErr w:type="spellEnd"/>
      <w:r>
        <w:t xml:space="preserve"> also provides versatile data access to individual level data for </w:t>
      </w:r>
      <w:proofErr w:type="spellStart"/>
      <w:r>
        <w:t>FinnGen</w:t>
      </w:r>
      <w:proofErr w:type="spellEnd"/>
      <w:r>
        <w:t xml:space="preserve"> Partners while maintaining the appropriate legal framework and level of security by which sensitive Personal Data can be accessed. The European and National data protection and data security regulations and national authority requirements were followed when designing data access solutions.</w:t>
      </w:r>
    </w:p>
    <w:p w14:paraId="12953206" w14:textId="77777777" w:rsidR="00570424" w:rsidRDefault="00570424">
      <w:pPr>
        <w:spacing w:line="360" w:lineRule="auto"/>
        <w:jc w:val="both"/>
      </w:pPr>
    </w:p>
    <w:p w14:paraId="00ACCB87" w14:textId="77777777" w:rsidR="00570424" w:rsidRDefault="00000000">
      <w:pPr>
        <w:spacing w:line="360" w:lineRule="auto"/>
        <w:jc w:val="both"/>
      </w:pPr>
      <w:r>
        <w:t xml:space="preserve">The custom-built computational environment, called </w:t>
      </w:r>
      <w:proofErr w:type="spellStart"/>
      <w:r>
        <w:t>FinnGen</w:t>
      </w:r>
      <w:proofErr w:type="spellEnd"/>
      <w:r>
        <w:t xml:space="preserve"> Sandbox, is deployed in Google Cloud, using servers located in the EU. Individual level data can be </w:t>
      </w:r>
      <w:proofErr w:type="spellStart"/>
      <w:r>
        <w:t>analysed</w:t>
      </w:r>
      <w:proofErr w:type="spellEnd"/>
      <w:r>
        <w:t xml:space="preserve"> by all </w:t>
      </w:r>
      <w:proofErr w:type="spellStart"/>
      <w:r>
        <w:t>FinnGen</w:t>
      </w:r>
      <w:proofErr w:type="spellEnd"/>
      <w:r>
        <w:t xml:space="preserve"> researchers who have completed appropriate training and have been authorized by the Finnish Social and Health Data Permit Authority </w:t>
      </w:r>
      <w:proofErr w:type="spellStart"/>
      <w:r>
        <w:t>Findata</w:t>
      </w:r>
      <w:proofErr w:type="spellEnd"/>
      <w:r>
        <w:t xml:space="preserve"> (</w:t>
      </w:r>
      <w:hyperlink r:id="rId37">
        <w:r>
          <w:rPr>
            <w:rFonts w:ascii="Roboto" w:eastAsia="Roboto" w:hAnsi="Roboto" w:cs="Roboto"/>
            <w:color w:val="1A73E8"/>
            <w:sz w:val="21"/>
            <w:szCs w:val="21"/>
            <w:highlight w:val="white"/>
            <w:u w:val="single"/>
          </w:rPr>
          <w:t>https://findata.fi/en/</w:t>
        </w:r>
      </w:hyperlink>
      <w:r>
        <w:t xml:space="preserve">) to access and </w:t>
      </w:r>
      <w:proofErr w:type="spellStart"/>
      <w:r>
        <w:t>analyse</w:t>
      </w:r>
      <w:proofErr w:type="spellEnd"/>
      <w:r>
        <w:t xml:space="preserve"> individual level medical and genetic data. Sandbox is an interactive virtual machine in Google Cloud with graphical user interface and pre-installed suite of data-analysis software and analysis environments. Computationally heavy analyses (</w:t>
      </w:r>
      <w:proofErr w:type="gramStart"/>
      <w:r>
        <w:t>e.g.</w:t>
      </w:r>
      <w:proofErr w:type="gramEnd"/>
      <w:r>
        <w:t xml:space="preserve"> custom GWAS analyses) are supported utilizing parallel Google Cloud worker machines via Cromwell</w:t>
      </w:r>
      <w:r>
        <w:rPr>
          <w:vertAlign w:val="superscript"/>
        </w:rPr>
        <w:t>15</w:t>
      </w:r>
      <w:r>
        <w:t xml:space="preserve"> pipeline server. The researchers can bring their own analysis scripts and external data but cannot download or export individual-level data from the Sandbox environment. Summary level data can be exported via a request and the data are manually inspected to ensure no personal level data are exported. </w:t>
      </w:r>
    </w:p>
    <w:p w14:paraId="0008A821" w14:textId="77777777" w:rsidR="00570424" w:rsidRDefault="00570424">
      <w:pPr>
        <w:spacing w:line="360" w:lineRule="auto"/>
        <w:ind w:left="264" w:hanging="264"/>
        <w:jc w:val="both"/>
      </w:pPr>
    </w:p>
    <w:p w14:paraId="6726A24C" w14:textId="77777777" w:rsidR="00570424" w:rsidRDefault="00570424">
      <w:pPr>
        <w:spacing w:line="360" w:lineRule="auto"/>
        <w:ind w:left="264" w:hanging="264"/>
        <w:jc w:val="both"/>
      </w:pPr>
    </w:p>
    <w:p w14:paraId="502D3EAC" w14:textId="77777777" w:rsidR="00570424" w:rsidRDefault="00570424">
      <w:pPr>
        <w:spacing w:line="360" w:lineRule="auto"/>
        <w:ind w:left="264" w:hanging="264"/>
        <w:jc w:val="both"/>
      </w:pPr>
    </w:p>
    <w:p w14:paraId="72CA1FE0" w14:textId="77777777" w:rsidR="00570424" w:rsidRDefault="00570424">
      <w:pPr>
        <w:widowControl w:val="0"/>
        <w:pBdr>
          <w:top w:val="nil"/>
          <w:left w:val="nil"/>
          <w:bottom w:val="nil"/>
          <w:right w:val="nil"/>
          <w:between w:val="nil"/>
        </w:pBdr>
        <w:spacing w:line="360" w:lineRule="auto"/>
        <w:ind w:left="264" w:hanging="264"/>
      </w:pPr>
    </w:p>
    <w:p w14:paraId="4F35DAF2" w14:textId="77777777" w:rsidR="00570424" w:rsidRDefault="00000000">
      <w:pPr>
        <w:spacing w:line="360" w:lineRule="auto"/>
        <w:jc w:val="center"/>
        <w:rPr>
          <w:i/>
          <w:color w:val="444499"/>
          <w:sz w:val="20"/>
          <w:szCs w:val="20"/>
        </w:rPr>
      </w:pPr>
      <w:r>
        <w:rPr>
          <w:i/>
          <w:noProof/>
          <w:color w:val="444499"/>
          <w:sz w:val="20"/>
          <w:szCs w:val="20"/>
        </w:rPr>
        <w:lastRenderedPageBreak/>
        <w:drawing>
          <wp:inline distT="114300" distB="114300" distL="114300" distR="114300" wp14:anchorId="4C96D220" wp14:editId="5107FB9A">
            <wp:extent cx="4597319" cy="6928485"/>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4597319" cy="6928485"/>
                    </a:xfrm>
                    <a:prstGeom prst="rect">
                      <a:avLst/>
                    </a:prstGeom>
                    <a:ln/>
                  </pic:spPr>
                </pic:pic>
              </a:graphicData>
            </a:graphic>
          </wp:inline>
        </w:drawing>
      </w:r>
    </w:p>
    <w:p w14:paraId="601D5871" w14:textId="77777777" w:rsidR="00570424" w:rsidRDefault="00000000">
      <w:pPr>
        <w:spacing w:line="360" w:lineRule="auto"/>
        <w:jc w:val="both"/>
        <w:rPr>
          <w:rFonts w:ascii="Times New Roman" w:eastAsia="Times New Roman" w:hAnsi="Times New Roman" w:cs="Times New Roman"/>
          <w:sz w:val="24"/>
          <w:szCs w:val="24"/>
        </w:rPr>
      </w:pPr>
      <w:r>
        <w:rPr>
          <w:b/>
          <w:sz w:val="20"/>
          <w:szCs w:val="20"/>
        </w:rPr>
        <w:t>Supplementary Figure 10</w:t>
      </w:r>
      <w:r>
        <w:rPr>
          <w:sz w:val="20"/>
          <w:szCs w:val="20"/>
        </w:rPr>
        <w:t xml:space="preserve">. </w:t>
      </w:r>
      <w:proofErr w:type="gramStart"/>
      <w:r>
        <w:rPr>
          <w:sz w:val="20"/>
          <w:szCs w:val="20"/>
        </w:rPr>
        <w:t>A,B</w:t>
      </w:r>
      <w:proofErr w:type="gramEnd"/>
      <w:r>
        <w:rPr>
          <w:sz w:val="20"/>
          <w:szCs w:val="20"/>
        </w:rPr>
        <w:t xml:space="preserve">) Effect size (log(OR), beta) comparison of 275 genome-wide significant lead variants identified in </w:t>
      </w:r>
      <w:proofErr w:type="spellStart"/>
      <w:r>
        <w:rPr>
          <w:sz w:val="20"/>
          <w:szCs w:val="20"/>
        </w:rPr>
        <w:t>FinnGen</w:t>
      </w:r>
      <w:proofErr w:type="spellEnd"/>
      <w:r>
        <w:rPr>
          <w:sz w:val="20"/>
          <w:szCs w:val="20"/>
        </w:rPr>
        <w:t xml:space="preserve"> among 15 </w:t>
      </w:r>
      <w:proofErr w:type="spellStart"/>
      <w:r>
        <w:rPr>
          <w:sz w:val="20"/>
          <w:szCs w:val="20"/>
        </w:rPr>
        <w:t>analysed</w:t>
      </w:r>
      <w:proofErr w:type="spellEnd"/>
      <w:r>
        <w:rPr>
          <w:sz w:val="20"/>
          <w:szCs w:val="20"/>
        </w:rPr>
        <w:t xml:space="preserve"> diseases in Estonia and UKBB. The sign of beta is aligned to be positive in Estonia and UKBB.  </w:t>
      </w:r>
      <w:proofErr w:type="gramStart"/>
      <w:r>
        <w:rPr>
          <w:sz w:val="20"/>
          <w:szCs w:val="20"/>
        </w:rPr>
        <w:t>C,D</w:t>
      </w:r>
      <w:proofErr w:type="gramEnd"/>
      <w:r>
        <w:rPr>
          <w:sz w:val="20"/>
          <w:szCs w:val="20"/>
        </w:rPr>
        <w:t xml:space="preserve">) beta comparison of variants only in known loci. </w:t>
      </w:r>
      <w:proofErr w:type="gramStart"/>
      <w:r>
        <w:rPr>
          <w:sz w:val="20"/>
          <w:szCs w:val="20"/>
        </w:rPr>
        <w:t>E,F</w:t>
      </w:r>
      <w:proofErr w:type="gramEnd"/>
      <w:r>
        <w:rPr>
          <w:sz w:val="20"/>
          <w:szCs w:val="20"/>
        </w:rPr>
        <w:t xml:space="preserve">) beta comparison of novel loci. Dashed lines </w:t>
      </w:r>
      <w:proofErr w:type="gramStart"/>
      <w:r>
        <w:rPr>
          <w:sz w:val="20"/>
          <w:szCs w:val="20"/>
        </w:rPr>
        <w:t>indicates</w:t>
      </w:r>
      <w:proofErr w:type="gramEnd"/>
      <w:r>
        <w:rPr>
          <w:sz w:val="20"/>
          <w:szCs w:val="20"/>
        </w:rPr>
        <w:t xml:space="preserve"> identity line and solid lines are the regression line (red line and text weighted by pooled standard error of betas)</w:t>
      </w:r>
    </w:p>
    <w:p w14:paraId="60D6E1C8" w14:textId="77777777" w:rsidR="00570424" w:rsidRDefault="00570424">
      <w:pPr>
        <w:spacing w:line="360" w:lineRule="auto"/>
        <w:jc w:val="both"/>
        <w:rPr>
          <w:sz w:val="20"/>
          <w:szCs w:val="20"/>
        </w:rPr>
      </w:pPr>
    </w:p>
    <w:p w14:paraId="2EA0A3BA" w14:textId="77777777" w:rsidR="00570424" w:rsidRDefault="00570424">
      <w:pPr>
        <w:spacing w:line="360" w:lineRule="auto"/>
        <w:jc w:val="both"/>
        <w:rPr>
          <w:sz w:val="20"/>
          <w:szCs w:val="20"/>
        </w:rPr>
      </w:pPr>
    </w:p>
    <w:p w14:paraId="63B5E9E4" w14:textId="77777777" w:rsidR="00570424"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Estimation of the relative power of </w:t>
      </w:r>
      <w:proofErr w:type="spellStart"/>
      <w:r>
        <w:rPr>
          <w:rFonts w:ascii="Times New Roman" w:eastAsia="Times New Roman" w:hAnsi="Times New Roman" w:cs="Times New Roman"/>
          <w:b/>
          <w:sz w:val="20"/>
          <w:szCs w:val="20"/>
        </w:rPr>
        <w:t>FinnGen</w:t>
      </w:r>
      <w:proofErr w:type="spellEnd"/>
      <w:r>
        <w:rPr>
          <w:rFonts w:ascii="Times New Roman" w:eastAsia="Times New Roman" w:hAnsi="Times New Roman" w:cs="Times New Roman"/>
          <w:b/>
          <w:sz w:val="20"/>
          <w:szCs w:val="20"/>
        </w:rPr>
        <w:t>, Estonian and UKBB in common disease GWAS</w:t>
      </w:r>
    </w:p>
    <w:p w14:paraId="54DAA911"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help highlight how unique genetic architecture present in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can benefit genetic association analyses, we compute genetic association p-values for each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combination of</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biobank, phenotype and variant for 1497 genome wide significant lead variants in 14 demonstration phenotypes after meta-analysis (Supplementary Table 11) using the approach detailed in Sun et al</w:t>
      </w:r>
      <w:hyperlink r:id="rId39">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We excluded Alzheimer’s disease as the only significant region was well known strong APOE regions. Additionally Estonian and UKBB had a very small number of cases.  The approach</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 xml:space="preserve"> comprises two-stages: (1) the computation of values for each </w:t>
      </w:r>
      <w:proofErr w:type="gramStart"/>
      <w:r>
        <w:rPr>
          <w:rFonts w:ascii="Times New Roman" w:eastAsia="Times New Roman" w:hAnsi="Times New Roman" w:cs="Times New Roman"/>
          <w:sz w:val="24"/>
          <w:szCs w:val="24"/>
        </w:rPr>
        <w:t>beta  and</w:t>
      </w:r>
      <w:proofErr w:type="gramEnd"/>
      <w:r>
        <w:rPr>
          <w:rFonts w:ascii="Times New Roman" w:eastAsia="Times New Roman" w:hAnsi="Times New Roman" w:cs="Times New Roman"/>
          <w:sz w:val="24"/>
          <w:szCs w:val="24"/>
        </w:rPr>
        <w:t xml:space="preserve"> associated standard error  using information on sample size , number of cases , minor allele frequency  and minor allele frequency in the cases , for each biobank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phenotype</w:t>
      </w:r>
      <w:r>
        <w:rPr>
          <w:rFonts w:ascii="Times New Roman" w:eastAsia="Times New Roman" w:hAnsi="Times New Roman" w:cs="Times New Roman"/>
          <w:i/>
          <w:sz w:val="24"/>
          <w:szCs w:val="24"/>
        </w:rPr>
        <w:t xml:space="preserve"> j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variant </w:t>
      </w:r>
      <w:r>
        <w:rPr>
          <w:rFonts w:ascii="Times New Roman" w:eastAsia="Times New Roman" w:hAnsi="Times New Roman" w:cs="Times New Roman"/>
          <w:i/>
          <w:sz w:val="24"/>
          <w:szCs w:val="24"/>
        </w:rPr>
        <w:t>k</w:t>
      </w:r>
      <w:r>
        <w:rPr>
          <w:rFonts w:ascii="Times New Roman" w:eastAsia="Times New Roman" w:hAnsi="Times New Roman" w:cs="Times New Roman"/>
          <w:sz w:val="24"/>
          <w:szCs w:val="24"/>
        </w:rPr>
        <w:t>; (2) the computation of corresponding two-tailed p-value using the standard normal variable . As the approach of Sun et al.</w:t>
      </w:r>
      <w:hyperlink r:id="rId40">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xml:space="preserve"> requires only study-level aggregated data, i.e., , we deploy the method to compare results from two scenarios: (I) unmatched sample sizes, where p-values are computed using the observed sample size, disease prevalence and MAF information from each biobank; and (II) matched sample sizes, where p-values are computed by setting all biobanks to have equal sample size, i.e., , where we make the simplifying assumption that disease prevalence and MAF are unaltered when sample size is increased in the Estonian and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cohorts. Scenario (II) attenuates problems with computing differences in association results due to differences in biobank sample sizes. We take the largest biobank (UK biobank) as the reference sample size and therefore increase the notional sample sizes of the Estonian and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cohorts to match UK biobank (UKB). We computed p-values under scenarios (I) and (II) for a total of 14 phenotypes and 1480 variants (Supplementary Table 11). Results are presented in Supplementary Figure 11.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distribution of p-values - first, fifth (median) and ninth deciles - are presented in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panel (a). The results make clear that, in the unmatched sample size scenario (</w:t>
      </w:r>
      <w:proofErr w:type="spellStart"/>
      <w:r>
        <w:rPr>
          <w:rFonts w:ascii="Times New Roman" w:eastAsia="Times New Roman" w:hAnsi="Times New Roman" w:cs="Times New Roman"/>
          <w:sz w:val="24"/>
          <w:szCs w:val="24"/>
        </w:rPr>
        <w:t>coloured</w:t>
      </w:r>
      <w:proofErr w:type="spellEnd"/>
      <w:r>
        <w:rPr>
          <w:rFonts w:ascii="Times New Roman" w:eastAsia="Times New Roman" w:hAnsi="Times New Roman" w:cs="Times New Roman"/>
          <w:sz w:val="24"/>
          <w:szCs w:val="24"/>
        </w:rPr>
        <w:t xml:space="preserve"> grey), p-values from the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and UKB analyses are comparable, despite the often-large difference in sample size between cohorts (median number of samples per phenotype were: 410,825 for UK biobank; 185,258 for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and 127,210 for Estonian biobank, panel (b)). The range of p-values computed in the Estonian cohort, however, were smaller. In part this was due to the smaller sample size of the Estonian biobank, as noted by contrasting results with the sample size enriched Estonian analyses (</w:t>
      </w:r>
      <w:proofErr w:type="spellStart"/>
      <w:r>
        <w:rPr>
          <w:rFonts w:ascii="Times New Roman" w:eastAsia="Times New Roman" w:hAnsi="Times New Roman" w:cs="Times New Roman"/>
          <w:sz w:val="24"/>
          <w:szCs w:val="24"/>
        </w:rPr>
        <w:t>coloured</w:t>
      </w:r>
      <w:proofErr w:type="spellEnd"/>
      <w:r>
        <w:rPr>
          <w:rFonts w:ascii="Times New Roman" w:eastAsia="Times New Roman" w:hAnsi="Times New Roman" w:cs="Times New Roman"/>
          <w:sz w:val="24"/>
          <w:szCs w:val="24"/>
        </w:rPr>
        <w:t xml:space="preserve"> yellow). Results when all three biobanks were calibrated to have the same sample size (</w:t>
      </w:r>
      <w:proofErr w:type="spellStart"/>
      <w:r>
        <w:rPr>
          <w:rFonts w:ascii="Times New Roman" w:eastAsia="Times New Roman" w:hAnsi="Times New Roman" w:cs="Times New Roman"/>
          <w:sz w:val="24"/>
          <w:szCs w:val="24"/>
        </w:rPr>
        <w:t>coloured</w:t>
      </w:r>
      <w:proofErr w:type="spellEnd"/>
      <w:r>
        <w:rPr>
          <w:rFonts w:ascii="Times New Roman" w:eastAsia="Times New Roman" w:hAnsi="Times New Roman" w:cs="Times New Roman"/>
          <w:sz w:val="24"/>
          <w:szCs w:val="24"/>
        </w:rPr>
        <w:t xml:space="preserve"> yellow) reveals </w:t>
      </w:r>
      <w:r>
        <w:rPr>
          <w:rFonts w:ascii="Times New Roman" w:eastAsia="Times New Roman" w:hAnsi="Times New Roman" w:cs="Times New Roman"/>
          <w:sz w:val="24"/>
          <w:szCs w:val="24"/>
        </w:rPr>
        <w:lastRenderedPageBreak/>
        <w:t xml:space="preserve">significantly enriched association results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cohort: the first, fifth (median) and ninth deciles of the distribution of p-values across all 14 phenotypes and 1480 variants </w:t>
      </w:r>
      <w:proofErr w:type="gramStart"/>
      <w:r>
        <w:rPr>
          <w:rFonts w:ascii="Times New Roman" w:eastAsia="Times New Roman" w:hAnsi="Times New Roman" w:cs="Times New Roman"/>
          <w:sz w:val="24"/>
          <w:szCs w:val="24"/>
        </w:rPr>
        <w:t>were ,</w:t>
      </w:r>
      <w:proofErr w:type="gramEnd"/>
      <w:r>
        <w:rPr>
          <w:rFonts w:ascii="Times New Roman" w:eastAsia="Times New Roman" w:hAnsi="Times New Roman" w:cs="Times New Roman"/>
          <w:sz w:val="24"/>
          <w:szCs w:val="24"/>
        </w:rPr>
        <w:t xml:space="preserve"> contrasting with  in UKB and  in Estonian biobank. Note that in the matched sample size scenario, the range of p-values computed for the </w:t>
      </w:r>
      <w:proofErr w:type="gramStart"/>
      <w:r>
        <w:rPr>
          <w:rFonts w:ascii="Times New Roman" w:eastAsia="Times New Roman" w:hAnsi="Times New Roman" w:cs="Times New Roman"/>
          <w:sz w:val="24"/>
          <w:szCs w:val="24"/>
        </w:rPr>
        <w:t>UKB</w:t>
      </w:r>
      <w:proofErr w:type="gramEnd"/>
      <w:r>
        <w:rPr>
          <w:rFonts w:ascii="Times New Roman" w:eastAsia="Times New Roman" w:hAnsi="Times New Roman" w:cs="Times New Roman"/>
          <w:sz w:val="24"/>
          <w:szCs w:val="24"/>
        </w:rPr>
        <w:t xml:space="preserve"> and Estonian cohorts are similar, highlighting that we might expect additional samples in the Estonian biobank to return a similar number of significant associations as UKB (with respect to the traits under consideration). We demonstrate the good performance of the approach in computing accurate association p-values, by comparing the true GWAS summary data estimates, i.e., those derived using individual level data from each biobank, phenotype and variant, against estimates from the approach</w:t>
      </w:r>
      <w:hyperlink r:id="rId41">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xml:space="preserve"> (Supplementary Figure 11 c-e). Our results show very good concordance between the observed (i.e., individual level-data) and expected estimates, particularly for both the UKB and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data. Our results therefore support wider conclusions that unique genetic architecture present in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can improve detection of trait associations and furthermore, as sample sizes increase across biobanks, that such architectural enrichment can help inform future study design and investments.</w:t>
      </w:r>
    </w:p>
    <w:p w14:paraId="6394D7D3" w14:textId="77777777" w:rsidR="00570424" w:rsidRDefault="00000000">
      <w:pPr>
        <w:spacing w:line="360" w:lineRule="auto"/>
        <w:jc w:val="both"/>
        <w:rPr>
          <w:rFonts w:ascii="Times New Roman" w:eastAsia="Times New Roman" w:hAnsi="Times New Roman" w:cs="Times New Roman"/>
          <w:sz w:val="24"/>
          <w:szCs w:val="24"/>
        </w:rPr>
      </w:pPr>
      <w:r>
        <w:br w:type="page"/>
      </w:r>
    </w:p>
    <w:p w14:paraId="6028B402" w14:textId="77777777" w:rsidR="00570424" w:rsidRDefault="00570424">
      <w:pPr>
        <w:spacing w:line="360" w:lineRule="auto"/>
        <w:jc w:val="both"/>
        <w:rPr>
          <w:rFonts w:ascii="Times New Roman" w:eastAsia="Times New Roman" w:hAnsi="Times New Roman" w:cs="Times New Roman"/>
          <w:sz w:val="24"/>
          <w:szCs w:val="24"/>
        </w:rPr>
      </w:pPr>
    </w:p>
    <w:p w14:paraId="148EA252" w14:textId="77777777" w:rsidR="00570424" w:rsidRDefault="00570424">
      <w:pPr>
        <w:spacing w:line="360" w:lineRule="auto"/>
        <w:jc w:val="both"/>
        <w:rPr>
          <w:rFonts w:ascii="Times New Roman" w:eastAsia="Times New Roman" w:hAnsi="Times New Roman" w:cs="Times New Roman"/>
          <w:sz w:val="24"/>
          <w:szCs w:val="24"/>
        </w:rPr>
      </w:pPr>
    </w:p>
    <w:p w14:paraId="3EF5E55A"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A4C24F4" wp14:editId="16326E99">
            <wp:extent cx="5943600" cy="2971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5943600" cy="2971800"/>
                    </a:xfrm>
                    <a:prstGeom prst="rect">
                      <a:avLst/>
                    </a:prstGeom>
                    <a:ln/>
                  </pic:spPr>
                </pic:pic>
              </a:graphicData>
            </a:graphic>
          </wp:inline>
        </w:drawing>
      </w:r>
    </w:p>
    <w:p w14:paraId="7A6C850F" w14:textId="77777777" w:rsidR="00570424"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Figure 11. Distribution of p-values between biobanks with matched and unmatched sample sizes.</w:t>
      </w:r>
    </w:p>
    <w:p w14:paraId="303988B6"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Distribution of p-values in the Estonia (EST),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(FG) and UK Biobank (UKB) populations with unmatched (grey) and matched (yellow) biobank sample sizes, using the approach of Sun et al.</w:t>
      </w:r>
      <w:hyperlink r:id="rId43">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The point denotes the median p-value and error bars range from the first to ninth decile. b) Distribution of the number of additional samples required to match the EST and FG sample sizes to the size of UKB for each phenotype and locus considered. The point denotes the median number of additional samples and error bars range from the first to ninth decile. c-e) Scatter plot of the expected vs observed -log10(p-value) in the UKB, FG and EST populations, respectively. Expected values are computed via the approach of Sun et al.</w:t>
      </w:r>
      <w:hyperlink r:id="rId44">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xml:space="preserve"> and observed values are taken from regression results estimated from individual level study data. The line denotes equality between expected and observed values. The sample sizes for each biobank used to generate a and b are given in Supplementary Table 7</w:t>
      </w:r>
    </w:p>
    <w:p w14:paraId="2A3E7620" w14:textId="77777777" w:rsidR="00570424" w:rsidRDefault="00570424">
      <w:pPr>
        <w:spacing w:line="360" w:lineRule="auto"/>
        <w:jc w:val="both"/>
        <w:rPr>
          <w:rFonts w:ascii="Times New Roman" w:eastAsia="Times New Roman" w:hAnsi="Times New Roman" w:cs="Times New Roman"/>
          <w:sz w:val="24"/>
          <w:szCs w:val="24"/>
        </w:rPr>
      </w:pPr>
    </w:p>
    <w:p w14:paraId="39467275" w14:textId="77777777" w:rsidR="00570424" w:rsidRDefault="00570424">
      <w:pPr>
        <w:spacing w:line="360" w:lineRule="auto"/>
        <w:jc w:val="both"/>
        <w:rPr>
          <w:rFonts w:ascii="Times New Roman" w:eastAsia="Times New Roman" w:hAnsi="Times New Roman" w:cs="Times New Roman"/>
          <w:sz w:val="24"/>
          <w:szCs w:val="24"/>
        </w:rPr>
      </w:pPr>
    </w:p>
    <w:p w14:paraId="5EA1BB42" w14:textId="77777777" w:rsidR="00570424" w:rsidRDefault="00570424">
      <w:pPr>
        <w:spacing w:line="360" w:lineRule="auto"/>
        <w:jc w:val="both"/>
        <w:rPr>
          <w:rFonts w:ascii="Times New Roman" w:eastAsia="Times New Roman" w:hAnsi="Times New Roman" w:cs="Times New Roman"/>
          <w:sz w:val="24"/>
          <w:szCs w:val="24"/>
        </w:rPr>
      </w:pPr>
    </w:p>
    <w:p w14:paraId="7D99BB20" w14:textId="77777777" w:rsidR="00570424" w:rsidRDefault="00000000">
      <w:pPr>
        <w:spacing w:line="360" w:lineRule="auto"/>
        <w:jc w:val="both"/>
        <w:rPr>
          <w:rFonts w:ascii="Times New Roman" w:eastAsia="Times New Roman" w:hAnsi="Times New Roman" w:cs="Times New Roman"/>
          <w:sz w:val="24"/>
          <w:szCs w:val="24"/>
        </w:rPr>
      </w:pPr>
      <w:r>
        <w:br w:type="page"/>
      </w:r>
    </w:p>
    <w:p w14:paraId="0DACA6E6" w14:textId="77777777" w:rsidR="00570424" w:rsidRDefault="00570424">
      <w:pPr>
        <w:spacing w:line="360" w:lineRule="auto"/>
        <w:jc w:val="both"/>
        <w:rPr>
          <w:rFonts w:ascii="Times New Roman" w:eastAsia="Times New Roman" w:hAnsi="Times New Roman" w:cs="Times New Roman"/>
          <w:sz w:val="24"/>
          <w:szCs w:val="24"/>
        </w:rPr>
      </w:pPr>
    </w:p>
    <w:p w14:paraId="338B8B2A"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7C9A1C6" wp14:editId="7D4FF9A0">
            <wp:extent cx="5943600" cy="74295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5943600" cy="7429500"/>
                    </a:xfrm>
                    <a:prstGeom prst="rect">
                      <a:avLst/>
                    </a:prstGeom>
                    <a:ln/>
                  </pic:spPr>
                </pic:pic>
              </a:graphicData>
            </a:graphic>
          </wp:inline>
        </w:drawing>
      </w:r>
    </w:p>
    <w:p w14:paraId="0B669A49" w14:textId="77777777" w:rsidR="00570424"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Supplementary Figure 12. Differences in simulated -log10 p-values in the Estonia (EST),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(FG) and UK Biobank (UKB) populations with matched biobank sample sizes, using the approach </w:t>
      </w:r>
      <w:r>
        <w:rPr>
          <w:rFonts w:ascii="Times New Roman" w:eastAsia="Times New Roman" w:hAnsi="Times New Roman" w:cs="Times New Roman"/>
          <w:sz w:val="24"/>
          <w:szCs w:val="24"/>
        </w:rPr>
        <w:lastRenderedPageBreak/>
        <w:t>of Sun et al.</w:t>
      </w:r>
      <w:r>
        <w:t>16</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A,B</w:t>
      </w:r>
      <w:proofErr w:type="gram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Distribution of differences of simulated -log10 p-values between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and A) UKKB and B)</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Estonia in various MAF bins. </w:t>
      </w:r>
      <w:proofErr w:type="gramStart"/>
      <w:r>
        <w:rPr>
          <w:rFonts w:ascii="Times New Roman" w:eastAsia="Times New Roman" w:hAnsi="Times New Roman" w:cs="Times New Roman"/>
          <w:b/>
          <w:sz w:val="24"/>
          <w:szCs w:val="24"/>
        </w:rPr>
        <w:t>C,D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Differences of simulated -log10 p-values (x-axis) vs.  variant enrichment in </w:t>
      </w:r>
      <w:proofErr w:type="spellStart"/>
      <w:proofErr w:type="gram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y-axis) between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and C) UKBB  or D) Estonia in various MAF bins (in comparison biobanks).  </w:t>
      </w:r>
      <w:proofErr w:type="gramStart"/>
      <w:r>
        <w:rPr>
          <w:rFonts w:ascii="Times New Roman" w:eastAsia="Times New Roman" w:hAnsi="Times New Roman" w:cs="Times New Roman"/>
          <w:b/>
          <w:sz w:val="24"/>
          <w:szCs w:val="24"/>
        </w:rPr>
        <w:t>E,F</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Same as C,D but x-axis zoomed to -20-50. </w:t>
      </w:r>
      <w:proofErr w:type="gramStart"/>
      <w:r>
        <w:rPr>
          <w:rFonts w:ascii="Times New Roman" w:eastAsia="Times New Roman" w:hAnsi="Times New Roman" w:cs="Times New Roman"/>
          <w:b/>
          <w:sz w:val="24"/>
          <w:szCs w:val="24"/>
        </w:rPr>
        <w:t>G,H</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Differences of simulated -log10 p-values (x-axis) vs. log prevalence ratio between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and G) UKBB or H) Estonia in various MAF bins (in comparison biobanks). In C-H,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smoothed regression lines of local average of y are estimated by local polynomial fitting (loess) and the shaded areas represent 95% confidence intervals of the model fit.</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The number of cases and controls used in generating the summary statistics upon which the simulated values are derived from for each biobank are given in Supplementary Table 7</w:t>
      </w:r>
    </w:p>
    <w:p w14:paraId="7A3995B1"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0286105" wp14:editId="281EB3E4">
            <wp:extent cx="5943600" cy="74295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6"/>
                    <a:srcRect/>
                    <a:stretch>
                      <a:fillRect/>
                    </a:stretch>
                  </pic:blipFill>
                  <pic:spPr>
                    <a:xfrm>
                      <a:off x="0" y="0"/>
                      <a:ext cx="5943600" cy="7429500"/>
                    </a:xfrm>
                    <a:prstGeom prst="rect">
                      <a:avLst/>
                    </a:prstGeom>
                    <a:ln/>
                  </pic:spPr>
                </pic:pic>
              </a:graphicData>
            </a:graphic>
          </wp:inline>
        </w:drawing>
      </w:r>
    </w:p>
    <w:p w14:paraId="0E30A9D4" w14:textId="77777777" w:rsidR="00570424"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13. Distribution of simulated -log10 p-values in the Estonia (EST), </w:t>
      </w:r>
      <w:proofErr w:type="spellStart"/>
      <w:r>
        <w:rPr>
          <w:rFonts w:ascii="Times New Roman" w:eastAsia="Times New Roman" w:hAnsi="Times New Roman" w:cs="Times New Roman"/>
          <w:sz w:val="24"/>
          <w:szCs w:val="24"/>
        </w:rPr>
        <w:t>FinnGen</w:t>
      </w:r>
      <w:proofErr w:type="spellEnd"/>
      <w:r>
        <w:rPr>
          <w:rFonts w:ascii="Times New Roman" w:eastAsia="Times New Roman" w:hAnsi="Times New Roman" w:cs="Times New Roman"/>
          <w:sz w:val="24"/>
          <w:szCs w:val="24"/>
        </w:rPr>
        <w:t xml:space="preserve"> (FG) and UK Biobank (UKB) populations with matched biobank sample sizes, using the approach of Sun et al.</w:t>
      </w:r>
      <w:hyperlink r:id="rId47">
        <w:r>
          <w:rPr>
            <w:rFonts w:ascii="Times New Roman" w:eastAsia="Times New Roman" w:hAnsi="Times New Roman" w:cs="Times New Roman"/>
            <w:sz w:val="24"/>
            <w:szCs w:val="24"/>
            <w:vertAlign w:val="superscript"/>
          </w:rPr>
          <w:t>16</w:t>
        </w:r>
      </w:hyperlink>
      <w:r>
        <w:rPr>
          <w:rFonts w:ascii="Times New Roman" w:eastAsia="Times New Roman" w:hAnsi="Times New Roman" w:cs="Times New Roman"/>
          <w:sz w:val="24"/>
          <w:szCs w:val="24"/>
        </w:rPr>
        <w:t xml:space="preserve"> in 14 demonstration diseases separately in various UKBB MAF Bins. Horizontal </w:t>
      </w:r>
      <w:r>
        <w:rPr>
          <w:rFonts w:ascii="Times New Roman" w:eastAsia="Times New Roman" w:hAnsi="Times New Roman" w:cs="Times New Roman"/>
          <w:sz w:val="24"/>
          <w:szCs w:val="24"/>
        </w:rPr>
        <w:lastRenderedPageBreak/>
        <w:t xml:space="preserve">line in the box indicates median and lower and upper bounds of the boxes indicate 25th and 75th percentile. Lines from boxes extend 1.5 </w:t>
      </w:r>
      <w:proofErr w:type="gramStart"/>
      <w:r>
        <w:rPr>
          <w:rFonts w:ascii="Times New Roman" w:eastAsia="Times New Roman" w:hAnsi="Times New Roman" w:cs="Times New Roman"/>
          <w:sz w:val="24"/>
          <w:szCs w:val="24"/>
        </w:rPr>
        <w:t>*  inter</w:t>
      </w:r>
      <w:proofErr w:type="gramEnd"/>
      <w:r>
        <w:rPr>
          <w:rFonts w:ascii="Times New Roman" w:eastAsia="Times New Roman" w:hAnsi="Times New Roman" w:cs="Times New Roman"/>
          <w:sz w:val="24"/>
          <w:szCs w:val="24"/>
        </w:rPr>
        <w:t>-quartile range (distance between the first and third quartiles). Data beyond lines are plotted individually. The number of cases and controls used in generating the summary statistics upon which the simulated values are derived from for each biobank are given in Supplementary Table 7</w:t>
      </w:r>
    </w:p>
    <w:p w14:paraId="7BEFEDAC" w14:textId="77777777" w:rsidR="00570424" w:rsidRDefault="00570424">
      <w:pPr>
        <w:spacing w:line="360" w:lineRule="auto"/>
        <w:jc w:val="both"/>
        <w:rPr>
          <w:rFonts w:ascii="Times New Roman" w:eastAsia="Times New Roman" w:hAnsi="Times New Roman" w:cs="Times New Roman"/>
          <w:sz w:val="24"/>
          <w:szCs w:val="24"/>
        </w:rPr>
      </w:pPr>
    </w:p>
    <w:p w14:paraId="3E7DE083" w14:textId="77777777" w:rsidR="00570424" w:rsidRDefault="00570424">
      <w:pPr>
        <w:spacing w:line="360" w:lineRule="auto"/>
        <w:jc w:val="both"/>
        <w:rPr>
          <w:rFonts w:ascii="Times New Roman" w:eastAsia="Times New Roman" w:hAnsi="Times New Roman" w:cs="Times New Roman"/>
          <w:sz w:val="24"/>
          <w:szCs w:val="24"/>
        </w:rPr>
      </w:pPr>
    </w:p>
    <w:p w14:paraId="7E1AD355" w14:textId="77777777" w:rsidR="00570424" w:rsidRDefault="00000000">
      <w:pPr>
        <w:pStyle w:val="Heading1"/>
        <w:spacing w:line="360" w:lineRule="auto"/>
        <w:jc w:val="both"/>
      </w:pPr>
      <w:bookmarkStart w:id="8" w:name="_4d34og8" w:colFirst="0" w:colLast="0"/>
      <w:bookmarkEnd w:id="8"/>
      <w:r>
        <w:t>References</w:t>
      </w:r>
    </w:p>
    <w:p w14:paraId="662A6A99" w14:textId="77777777" w:rsidR="00570424" w:rsidRDefault="00000000">
      <w:pPr>
        <w:widowControl w:val="0"/>
        <w:pBdr>
          <w:top w:val="nil"/>
          <w:left w:val="nil"/>
          <w:bottom w:val="nil"/>
          <w:right w:val="nil"/>
          <w:between w:val="nil"/>
        </w:pBdr>
        <w:spacing w:line="480" w:lineRule="auto"/>
        <w:ind w:left="384" w:hanging="384"/>
        <w:rPr>
          <w:color w:val="000000"/>
        </w:rPr>
      </w:pPr>
      <w:hyperlink r:id="rId48">
        <w:r>
          <w:t>1.</w:t>
        </w:r>
        <w:r>
          <w:tab/>
        </w:r>
        <w:proofErr w:type="spellStart"/>
        <w:r>
          <w:t>Haukka</w:t>
        </w:r>
        <w:proofErr w:type="spellEnd"/>
        <w:r>
          <w:t xml:space="preserve">, J. Finnish health and social welfare registers in epidemiological research. </w:t>
        </w:r>
      </w:hyperlink>
      <w:hyperlink r:id="rId49">
        <w:r>
          <w:rPr>
            <w:i/>
          </w:rPr>
          <w:t xml:space="preserve">Nor. Epidemiol. </w:t>
        </w:r>
      </w:hyperlink>
      <w:hyperlink r:id="rId50">
        <w:r>
          <w:rPr>
            <w:b/>
          </w:rPr>
          <w:t>14</w:t>
        </w:r>
      </w:hyperlink>
      <w:hyperlink r:id="rId51">
        <w:r>
          <w:t>, (2009).</w:t>
        </w:r>
      </w:hyperlink>
    </w:p>
    <w:p w14:paraId="04486034" w14:textId="77777777" w:rsidR="00570424" w:rsidRDefault="00000000">
      <w:pPr>
        <w:widowControl w:val="0"/>
        <w:pBdr>
          <w:top w:val="nil"/>
          <w:left w:val="nil"/>
          <w:bottom w:val="nil"/>
          <w:right w:val="nil"/>
          <w:between w:val="nil"/>
        </w:pBdr>
        <w:spacing w:line="480" w:lineRule="auto"/>
        <w:ind w:left="384" w:hanging="384"/>
        <w:rPr>
          <w:color w:val="000000"/>
        </w:rPr>
      </w:pPr>
      <w:hyperlink r:id="rId52">
        <w:r>
          <w:t>2.</w:t>
        </w:r>
        <w:r>
          <w:tab/>
        </w:r>
        <w:proofErr w:type="spellStart"/>
        <w:r>
          <w:t>Sund</w:t>
        </w:r>
        <w:proofErr w:type="spellEnd"/>
        <w:r>
          <w:t xml:space="preserve">, R. Quality of the Finnish Hospital Discharge Register: a systematic review. </w:t>
        </w:r>
      </w:hyperlink>
      <w:hyperlink r:id="rId53">
        <w:r>
          <w:rPr>
            <w:i/>
          </w:rPr>
          <w:t xml:space="preserve">Scand. J. Public Health </w:t>
        </w:r>
      </w:hyperlink>
      <w:hyperlink r:id="rId54">
        <w:r>
          <w:rPr>
            <w:b/>
          </w:rPr>
          <w:t>40</w:t>
        </w:r>
      </w:hyperlink>
      <w:hyperlink r:id="rId55">
        <w:r>
          <w:t>, 505–515 (2012).</w:t>
        </w:r>
      </w:hyperlink>
    </w:p>
    <w:p w14:paraId="679F5E97" w14:textId="77777777" w:rsidR="00570424" w:rsidRDefault="00000000">
      <w:pPr>
        <w:widowControl w:val="0"/>
        <w:pBdr>
          <w:top w:val="nil"/>
          <w:left w:val="nil"/>
          <w:bottom w:val="nil"/>
          <w:right w:val="nil"/>
          <w:between w:val="nil"/>
        </w:pBdr>
        <w:spacing w:line="480" w:lineRule="auto"/>
        <w:ind w:left="384" w:hanging="384"/>
        <w:rPr>
          <w:color w:val="000000"/>
        </w:rPr>
      </w:pPr>
      <w:hyperlink r:id="rId56">
        <w:r>
          <w:t>3.</w:t>
        </w:r>
        <w:r>
          <w:tab/>
          <w:t xml:space="preserve">Leinonen, M. K., Miettinen, J., Heikkinen, S., </w:t>
        </w:r>
        <w:proofErr w:type="spellStart"/>
        <w:r>
          <w:t>Pitkäniemi</w:t>
        </w:r>
        <w:proofErr w:type="spellEnd"/>
        <w:r>
          <w:t xml:space="preserve">, J. &amp; Malila, N. Quality measures of the population-based Finnish Cancer Registry indicate sound data quality for solid malignant </w:t>
        </w:r>
        <w:proofErr w:type="spellStart"/>
        <w:r>
          <w:t>tumours</w:t>
        </w:r>
        <w:proofErr w:type="spellEnd"/>
        <w:r>
          <w:t xml:space="preserve">. </w:t>
        </w:r>
      </w:hyperlink>
      <w:hyperlink r:id="rId57">
        <w:r>
          <w:rPr>
            <w:i/>
          </w:rPr>
          <w:t xml:space="preserve">Eur. J. Cancer </w:t>
        </w:r>
        <w:proofErr w:type="spellStart"/>
        <w:r>
          <w:rPr>
            <w:i/>
          </w:rPr>
          <w:t>Oxf</w:t>
        </w:r>
        <w:proofErr w:type="spellEnd"/>
        <w:r>
          <w:rPr>
            <w:i/>
          </w:rPr>
          <w:t xml:space="preserve">. Engl. 1990 </w:t>
        </w:r>
      </w:hyperlink>
      <w:hyperlink r:id="rId58">
        <w:r>
          <w:rPr>
            <w:b/>
          </w:rPr>
          <w:t>77</w:t>
        </w:r>
      </w:hyperlink>
      <w:hyperlink r:id="rId59">
        <w:r>
          <w:t>, 31–39 (2017).</w:t>
        </w:r>
      </w:hyperlink>
    </w:p>
    <w:p w14:paraId="67FCAD6E" w14:textId="77777777" w:rsidR="00570424" w:rsidRDefault="00000000">
      <w:pPr>
        <w:widowControl w:val="0"/>
        <w:pBdr>
          <w:top w:val="nil"/>
          <w:left w:val="nil"/>
          <w:bottom w:val="nil"/>
          <w:right w:val="nil"/>
          <w:between w:val="nil"/>
        </w:pBdr>
        <w:spacing w:line="480" w:lineRule="auto"/>
        <w:ind w:left="384" w:hanging="384"/>
        <w:rPr>
          <w:color w:val="000000"/>
        </w:rPr>
      </w:pPr>
      <w:hyperlink r:id="rId60">
        <w:r>
          <w:t>4.</w:t>
        </w:r>
        <w:r>
          <w:tab/>
        </w:r>
        <w:proofErr w:type="spellStart"/>
        <w:r>
          <w:t>Vuori</w:t>
        </w:r>
        <w:proofErr w:type="spellEnd"/>
        <w:r>
          <w:t xml:space="preserve">, M. A. </w:t>
        </w:r>
      </w:hyperlink>
      <w:hyperlink r:id="rId61">
        <w:r>
          <w:rPr>
            <w:i/>
          </w:rPr>
          <w:t>et al.</w:t>
        </w:r>
      </w:hyperlink>
      <w:hyperlink r:id="rId62">
        <w:r>
          <w:t xml:space="preserve"> The validity of heart failure diagnoses in the Finnish Hospital Discharge Register. </w:t>
        </w:r>
      </w:hyperlink>
      <w:hyperlink r:id="rId63">
        <w:r>
          <w:rPr>
            <w:i/>
          </w:rPr>
          <w:t xml:space="preserve">Scand. J. Public Health </w:t>
        </w:r>
      </w:hyperlink>
      <w:hyperlink r:id="rId64">
        <w:r>
          <w:rPr>
            <w:b/>
          </w:rPr>
          <w:t>48</w:t>
        </w:r>
      </w:hyperlink>
      <w:hyperlink r:id="rId65">
        <w:r>
          <w:t>, 20–28 (2020).</w:t>
        </w:r>
      </w:hyperlink>
    </w:p>
    <w:p w14:paraId="63964859" w14:textId="77777777" w:rsidR="00570424" w:rsidRDefault="00000000">
      <w:pPr>
        <w:widowControl w:val="0"/>
        <w:pBdr>
          <w:top w:val="nil"/>
          <w:left w:val="nil"/>
          <w:bottom w:val="nil"/>
          <w:right w:val="nil"/>
          <w:between w:val="nil"/>
        </w:pBdr>
        <w:spacing w:line="480" w:lineRule="auto"/>
        <w:ind w:left="384" w:hanging="384"/>
        <w:rPr>
          <w:color w:val="000000"/>
        </w:rPr>
      </w:pPr>
      <w:hyperlink r:id="rId66">
        <w:r>
          <w:t>5.</w:t>
        </w:r>
        <w:r>
          <w:tab/>
        </w:r>
        <w:proofErr w:type="spellStart"/>
        <w:r>
          <w:t>Paltta</w:t>
        </w:r>
        <w:proofErr w:type="spellEnd"/>
        <w:r>
          <w:t xml:space="preserve">, J. </w:t>
        </w:r>
      </w:hyperlink>
      <w:hyperlink r:id="rId67">
        <w:r>
          <w:rPr>
            <w:i/>
          </w:rPr>
          <w:t>et al.</w:t>
        </w:r>
      </w:hyperlink>
      <w:hyperlink r:id="rId68">
        <w:r>
          <w:t xml:space="preserve"> The validity of rheumatoid arthritis diagnoses in Finnish biobanks. </w:t>
        </w:r>
      </w:hyperlink>
      <w:hyperlink r:id="rId69">
        <w:r>
          <w:rPr>
            <w:i/>
          </w:rPr>
          <w:t xml:space="preserve">Scand. J. </w:t>
        </w:r>
        <w:proofErr w:type="spellStart"/>
        <w:r>
          <w:rPr>
            <w:i/>
          </w:rPr>
          <w:t>Rheumatol</w:t>
        </w:r>
        <w:proofErr w:type="spellEnd"/>
        <w:r>
          <w:rPr>
            <w:i/>
          </w:rPr>
          <w:t xml:space="preserve">. </w:t>
        </w:r>
      </w:hyperlink>
      <w:hyperlink r:id="rId70">
        <w:r>
          <w:rPr>
            <w:b/>
          </w:rPr>
          <w:t>0</w:t>
        </w:r>
      </w:hyperlink>
      <w:hyperlink r:id="rId71">
        <w:r>
          <w:t>, 1–9 (2021).</w:t>
        </w:r>
      </w:hyperlink>
    </w:p>
    <w:p w14:paraId="1762740C" w14:textId="77777777" w:rsidR="00570424" w:rsidRDefault="00000000">
      <w:pPr>
        <w:widowControl w:val="0"/>
        <w:pBdr>
          <w:top w:val="nil"/>
          <w:left w:val="nil"/>
          <w:bottom w:val="nil"/>
          <w:right w:val="nil"/>
          <w:between w:val="nil"/>
        </w:pBdr>
        <w:spacing w:line="480" w:lineRule="auto"/>
        <w:ind w:left="384" w:hanging="384"/>
        <w:rPr>
          <w:color w:val="000000"/>
        </w:rPr>
      </w:pPr>
      <w:hyperlink r:id="rId72">
        <w:r>
          <w:t>6.</w:t>
        </w:r>
        <w:r>
          <w:tab/>
        </w:r>
        <w:proofErr w:type="spellStart"/>
        <w:r>
          <w:t>Haverinen</w:t>
        </w:r>
        <w:proofErr w:type="spellEnd"/>
        <w:r>
          <w:t xml:space="preserve">, S. </w:t>
        </w:r>
      </w:hyperlink>
      <w:hyperlink r:id="rId73">
        <w:r>
          <w:rPr>
            <w:i/>
          </w:rPr>
          <w:t>et al.</w:t>
        </w:r>
      </w:hyperlink>
      <w:hyperlink r:id="rId74">
        <w:r>
          <w:t xml:space="preserve"> Validation of Psoriasis Diagnoses Recorded in Finnish Biobanks. </w:t>
        </w:r>
      </w:hyperlink>
      <w:hyperlink r:id="rId75">
        <w:r>
          <w:rPr>
            <w:i/>
          </w:rPr>
          <w:t xml:space="preserve">Acta </w:t>
        </w:r>
        <w:proofErr w:type="spellStart"/>
        <w:r>
          <w:rPr>
            <w:i/>
          </w:rPr>
          <w:t>Derm</w:t>
        </w:r>
        <w:proofErr w:type="spellEnd"/>
        <w:r>
          <w:rPr>
            <w:i/>
          </w:rPr>
          <w:t xml:space="preserve">. </w:t>
        </w:r>
        <w:proofErr w:type="spellStart"/>
        <w:r>
          <w:rPr>
            <w:i/>
          </w:rPr>
          <w:t>Venereol</w:t>
        </w:r>
        <w:proofErr w:type="spellEnd"/>
        <w:r>
          <w:rPr>
            <w:i/>
          </w:rPr>
          <w:t xml:space="preserve">. </w:t>
        </w:r>
      </w:hyperlink>
      <w:hyperlink r:id="rId76">
        <w:r>
          <w:rPr>
            <w:b/>
          </w:rPr>
          <w:t>100</w:t>
        </w:r>
      </w:hyperlink>
      <w:hyperlink r:id="rId77">
        <w:r>
          <w:t>, adv00297 (2020).</w:t>
        </w:r>
      </w:hyperlink>
    </w:p>
    <w:p w14:paraId="370AB18C" w14:textId="77777777" w:rsidR="00570424" w:rsidRDefault="00000000">
      <w:pPr>
        <w:widowControl w:val="0"/>
        <w:pBdr>
          <w:top w:val="nil"/>
          <w:left w:val="nil"/>
          <w:bottom w:val="nil"/>
          <w:right w:val="nil"/>
          <w:between w:val="nil"/>
        </w:pBdr>
        <w:spacing w:line="480" w:lineRule="auto"/>
        <w:ind w:left="384" w:hanging="384"/>
        <w:rPr>
          <w:color w:val="000000"/>
        </w:rPr>
      </w:pPr>
      <w:hyperlink r:id="rId78">
        <w:r>
          <w:t>7.</w:t>
        </w:r>
        <w:r>
          <w:tab/>
        </w:r>
        <w:proofErr w:type="spellStart"/>
        <w:r>
          <w:t>Pärn</w:t>
        </w:r>
        <w:proofErr w:type="spellEnd"/>
        <w:r>
          <w:t xml:space="preserve">, K. </w:t>
        </w:r>
      </w:hyperlink>
      <w:hyperlink r:id="rId79">
        <w:r>
          <w:rPr>
            <w:i/>
          </w:rPr>
          <w:t>et al.</w:t>
        </w:r>
      </w:hyperlink>
      <w:hyperlink r:id="rId80">
        <w:r>
          <w:t xml:space="preserve"> Genotyping chip data lift-over to reference genome build GRCh38/hg38 v2. </w:t>
        </w:r>
        <w:proofErr w:type="gramStart"/>
        <w:r>
          <w:t>doi:10.17504/protocols.io.xbhfij6</w:t>
        </w:r>
        <w:proofErr w:type="gramEnd"/>
        <w:r>
          <w:t>.</w:t>
        </w:r>
      </w:hyperlink>
    </w:p>
    <w:p w14:paraId="304A22C0" w14:textId="77777777" w:rsidR="00570424" w:rsidRDefault="00000000">
      <w:pPr>
        <w:widowControl w:val="0"/>
        <w:pBdr>
          <w:top w:val="nil"/>
          <w:left w:val="nil"/>
          <w:bottom w:val="nil"/>
          <w:right w:val="nil"/>
          <w:between w:val="nil"/>
        </w:pBdr>
        <w:spacing w:line="480" w:lineRule="auto"/>
        <w:ind w:left="384" w:hanging="384"/>
        <w:rPr>
          <w:color w:val="000000"/>
        </w:rPr>
      </w:pPr>
      <w:hyperlink r:id="rId81">
        <w:r>
          <w:t>8.</w:t>
        </w:r>
        <w:r>
          <w:tab/>
          <w:t xml:space="preserve">Chang, C. C. </w:t>
        </w:r>
      </w:hyperlink>
      <w:hyperlink r:id="rId82">
        <w:r>
          <w:rPr>
            <w:i/>
          </w:rPr>
          <w:t>et al.</w:t>
        </w:r>
      </w:hyperlink>
      <w:hyperlink r:id="rId83">
        <w:r>
          <w:t xml:space="preserve"> Second-generation PLINK: rising to the challenge of larger and richer datasets. </w:t>
        </w:r>
      </w:hyperlink>
      <w:hyperlink r:id="rId84">
        <w:proofErr w:type="spellStart"/>
        <w:r>
          <w:rPr>
            <w:i/>
          </w:rPr>
          <w:t>GigaScience</w:t>
        </w:r>
        <w:proofErr w:type="spellEnd"/>
        <w:r>
          <w:rPr>
            <w:i/>
          </w:rPr>
          <w:t xml:space="preserve"> </w:t>
        </w:r>
      </w:hyperlink>
      <w:hyperlink r:id="rId85">
        <w:r>
          <w:rPr>
            <w:b/>
          </w:rPr>
          <w:t>4</w:t>
        </w:r>
      </w:hyperlink>
      <w:hyperlink r:id="rId86">
        <w:r>
          <w:t>, 7 (2015).</w:t>
        </w:r>
      </w:hyperlink>
    </w:p>
    <w:p w14:paraId="2723DFE4" w14:textId="77777777" w:rsidR="00570424" w:rsidRDefault="00000000">
      <w:pPr>
        <w:widowControl w:val="0"/>
        <w:pBdr>
          <w:top w:val="nil"/>
          <w:left w:val="nil"/>
          <w:bottom w:val="nil"/>
          <w:right w:val="nil"/>
          <w:between w:val="nil"/>
        </w:pBdr>
        <w:spacing w:line="480" w:lineRule="auto"/>
        <w:ind w:left="384" w:hanging="384"/>
        <w:rPr>
          <w:color w:val="000000"/>
        </w:rPr>
      </w:pPr>
      <w:hyperlink r:id="rId87">
        <w:r>
          <w:t>9.</w:t>
        </w:r>
        <w:r>
          <w:tab/>
          <w:t xml:space="preserve">Picard toolkit. </w:t>
        </w:r>
      </w:hyperlink>
      <w:hyperlink r:id="rId88">
        <w:r>
          <w:rPr>
            <w:i/>
          </w:rPr>
          <w:t>Broad Institute, GitHub repository</w:t>
        </w:r>
      </w:hyperlink>
      <w:hyperlink r:id="rId89">
        <w:r>
          <w:t xml:space="preserve"> (2019).</w:t>
        </w:r>
      </w:hyperlink>
    </w:p>
    <w:p w14:paraId="2650F3E3" w14:textId="77777777" w:rsidR="00570424" w:rsidRDefault="00000000">
      <w:pPr>
        <w:widowControl w:val="0"/>
        <w:pBdr>
          <w:top w:val="nil"/>
          <w:left w:val="nil"/>
          <w:bottom w:val="nil"/>
          <w:right w:val="nil"/>
          <w:between w:val="nil"/>
        </w:pBdr>
        <w:spacing w:line="480" w:lineRule="auto"/>
        <w:ind w:left="384" w:hanging="384"/>
        <w:rPr>
          <w:color w:val="000000"/>
        </w:rPr>
      </w:pPr>
      <w:hyperlink r:id="rId90">
        <w:r>
          <w:t>10.</w:t>
        </w:r>
        <w:r>
          <w:tab/>
          <w:t>Scaling accurate genetic variant discovery to tens of thousands of samples | bioRxiv. https://www.biorxiv.org/content/10.1101/201178v3.</w:t>
        </w:r>
      </w:hyperlink>
    </w:p>
    <w:p w14:paraId="0AA91EF0" w14:textId="77777777" w:rsidR="00570424" w:rsidRDefault="00000000">
      <w:pPr>
        <w:widowControl w:val="0"/>
        <w:pBdr>
          <w:top w:val="nil"/>
          <w:left w:val="nil"/>
          <w:bottom w:val="nil"/>
          <w:right w:val="nil"/>
          <w:between w:val="nil"/>
        </w:pBdr>
        <w:spacing w:line="480" w:lineRule="auto"/>
        <w:ind w:left="384" w:hanging="384"/>
        <w:rPr>
          <w:color w:val="000000"/>
        </w:rPr>
      </w:pPr>
      <w:hyperlink r:id="rId91">
        <w:r>
          <w:t>11.</w:t>
        </w:r>
        <w:r>
          <w:tab/>
          <w:t>GATK Best Practices. 2019. https://software.broadinstitute.org/gatk/best-practices.</w:t>
        </w:r>
      </w:hyperlink>
    </w:p>
    <w:p w14:paraId="15149E01" w14:textId="77777777" w:rsidR="00570424" w:rsidRDefault="00000000">
      <w:pPr>
        <w:widowControl w:val="0"/>
        <w:pBdr>
          <w:top w:val="nil"/>
          <w:left w:val="nil"/>
          <w:bottom w:val="nil"/>
          <w:right w:val="nil"/>
          <w:between w:val="nil"/>
        </w:pBdr>
        <w:spacing w:line="480" w:lineRule="auto"/>
        <w:ind w:left="384" w:hanging="384"/>
        <w:rPr>
          <w:color w:val="000000"/>
        </w:rPr>
      </w:pPr>
      <w:hyperlink r:id="rId92">
        <w:r>
          <w:t>12.</w:t>
        </w:r>
        <w:r>
          <w:tab/>
          <w:t xml:space="preserve">Li, H. Toward better understanding of artifacts in variant calling from high-coverage samples. </w:t>
        </w:r>
      </w:hyperlink>
      <w:hyperlink r:id="rId93">
        <w:r>
          <w:rPr>
            <w:i/>
          </w:rPr>
          <w:t xml:space="preserve">Bioinformatics </w:t>
        </w:r>
      </w:hyperlink>
      <w:hyperlink r:id="rId94">
        <w:r>
          <w:rPr>
            <w:b/>
          </w:rPr>
          <w:t>30</w:t>
        </w:r>
      </w:hyperlink>
      <w:hyperlink r:id="rId95">
        <w:r>
          <w:t>, 2843–2851 (2014).</w:t>
        </w:r>
      </w:hyperlink>
    </w:p>
    <w:p w14:paraId="52FE4469" w14:textId="77777777" w:rsidR="00570424" w:rsidRDefault="00000000">
      <w:pPr>
        <w:widowControl w:val="0"/>
        <w:pBdr>
          <w:top w:val="nil"/>
          <w:left w:val="nil"/>
          <w:bottom w:val="nil"/>
          <w:right w:val="nil"/>
          <w:between w:val="nil"/>
        </w:pBdr>
        <w:spacing w:line="480" w:lineRule="auto"/>
        <w:ind w:left="384" w:hanging="384"/>
        <w:rPr>
          <w:color w:val="000000"/>
        </w:rPr>
      </w:pPr>
      <w:hyperlink r:id="rId96">
        <w:r>
          <w:t>13.</w:t>
        </w:r>
        <w:r>
          <w:tab/>
        </w:r>
        <w:proofErr w:type="spellStart"/>
        <w:r>
          <w:t>Manichaikul</w:t>
        </w:r>
        <w:proofErr w:type="spellEnd"/>
        <w:r>
          <w:t xml:space="preserve">, A. </w:t>
        </w:r>
      </w:hyperlink>
      <w:hyperlink r:id="rId97">
        <w:r>
          <w:rPr>
            <w:i/>
          </w:rPr>
          <w:t>et al.</w:t>
        </w:r>
      </w:hyperlink>
      <w:hyperlink r:id="rId98">
        <w:r>
          <w:t xml:space="preserve"> Robust relationship inference in genome-wide association studies. </w:t>
        </w:r>
      </w:hyperlink>
      <w:hyperlink r:id="rId99">
        <w:proofErr w:type="spellStart"/>
        <w:r>
          <w:rPr>
            <w:i/>
          </w:rPr>
          <w:t>Bioinforma</w:t>
        </w:r>
        <w:proofErr w:type="spellEnd"/>
        <w:r>
          <w:rPr>
            <w:i/>
          </w:rPr>
          <w:t xml:space="preserve">. </w:t>
        </w:r>
        <w:proofErr w:type="spellStart"/>
        <w:r>
          <w:rPr>
            <w:i/>
          </w:rPr>
          <w:t>Oxf</w:t>
        </w:r>
        <w:proofErr w:type="spellEnd"/>
        <w:r>
          <w:rPr>
            <w:i/>
          </w:rPr>
          <w:t xml:space="preserve">. Engl. </w:t>
        </w:r>
      </w:hyperlink>
      <w:hyperlink r:id="rId100">
        <w:r>
          <w:rPr>
            <w:b/>
          </w:rPr>
          <w:t>26</w:t>
        </w:r>
      </w:hyperlink>
      <w:hyperlink r:id="rId101">
        <w:r>
          <w:t>, 2867–2873 (2010).</w:t>
        </w:r>
      </w:hyperlink>
    </w:p>
    <w:p w14:paraId="7F9344E3" w14:textId="77777777" w:rsidR="00570424" w:rsidRDefault="00000000">
      <w:pPr>
        <w:widowControl w:val="0"/>
        <w:pBdr>
          <w:top w:val="nil"/>
          <w:left w:val="nil"/>
          <w:bottom w:val="nil"/>
          <w:right w:val="nil"/>
          <w:between w:val="nil"/>
        </w:pBdr>
        <w:spacing w:line="480" w:lineRule="auto"/>
        <w:ind w:left="384" w:hanging="384"/>
        <w:rPr>
          <w:color w:val="000000"/>
        </w:rPr>
      </w:pPr>
      <w:hyperlink r:id="rId102">
        <w:r>
          <w:t>14.</w:t>
        </w:r>
        <w:r>
          <w:tab/>
        </w:r>
        <w:proofErr w:type="spellStart"/>
        <w:r>
          <w:t>Loh</w:t>
        </w:r>
        <w:proofErr w:type="spellEnd"/>
        <w:r>
          <w:t xml:space="preserve">, P.-R. </w:t>
        </w:r>
      </w:hyperlink>
      <w:hyperlink r:id="rId103">
        <w:r>
          <w:rPr>
            <w:i/>
          </w:rPr>
          <w:t>et al.</w:t>
        </w:r>
      </w:hyperlink>
      <w:hyperlink r:id="rId104">
        <w:r>
          <w:t xml:space="preserve"> Reference-based phasing using the Haplotype Reference Consortium panel. </w:t>
        </w:r>
      </w:hyperlink>
      <w:hyperlink r:id="rId105">
        <w:r>
          <w:rPr>
            <w:i/>
          </w:rPr>
          <w:t xml:space="preserve">Nat. Genet. </w:t>
        </w:r>
      </w:hyperlink>
      <w:hyperlink r:id="rId106">
        <w:r>
          <w:rPr>
            <w:b/>
          </w:rPr>
          <w:t>48</w:t>
        </w:r>
      </w:hyperlink>
      <w:hyperlink r:id="rId107">
        <w:r>
          <w:t>, 1443–1448 (2016).</w:t>
        </w:r>
      </w:hyperlink>
    </w:p>
    <w:p w14:paraId="4FC6A303" w14:textId="77777777" w:rsidR="00570424" w:rsidRDefault="00000000">
      <w:pPr>
        <w:widowControl w:val="0"/>
        <w:pBdr>
          <w:top w:val="nil"/>
          <w:left w:val="nil"/>
          <w:bottom w:val="nil"/>
          <w:right w:val="nil"/>
          <w:between w:val="nil"/>
        </w:pBdr>
        <w:spacing w:line="480" w:lineRule="auto"/>
        <w:ind w:left="384" w:hanging="384"/>
        <w:rPr>
          <w:color w:val="000000"/>
        </w:rPr>
      </w:pPr>
      <w:hyperlink r:id="rId108">
        <w:r>
          <w:t>15.</w:t>
        </w:r>
        <w:r>
          <w:tab/>
        </w:r>
        <w:proofErr w:type="spellStart"/>
        <w:r>
          <w:t>Bellenguez</w:t>
        </w:r>
        <w:proofErr w:type="spellEnd"/>
        <w:r>
          <w:t xml:space="preserve">, C., Strange, A., Freeman, C., Donnelly, P. &amp; Spencer, C. C. A. A robust clustering algorithm for identifying problematic samples in genome-wide association studies. </w:t>
        </w:r>
      </w:hyperlink>
      <w:hyperlink r:id="rId109">
        <w:r>
          <w:rPr>
            <w:i/>
          </w:rPr>
          <w:t xml:space="preserve">Bioinformatics </w:t>
        </w:r>
      </w:hyperlink>
      <w:hyperlink r:id="rId110">
        <w:r>
          <w:rPr>
            <w:b/>
          </w:rPr>
          <w:t>28</w:t>
        </w:r>
      </w:hyperlink>
      <w:hyperlink r:id="rId111">
        <w:r>
          <w:t>, 134–135 (2012).</w:t>
        </w:r>
      </w:hyperlink>
    </w:p>
    <w:p w14:paraId="12688F52" w14:textId="77777777" w:rsidR="00570424" w:rsidRDefault="00000000">
      <w:pPr>
        <w:widowControl w:val="0"/>
        <w:pBdr>
          <w:top w:val="nil"/>
          <w:left w:val="nil"/>
          <w:bottom w:val="nil"/>
          <w:right w:val="nil"/>
          <w:between w:val="nil"/>
        </w:pBdr>
        <w:spacing w:line="480" w:lineRule="auto"/>
        <w:ind w:left="384" w:hanging="384"/>
        <w:rPr>
          <w:color w:val="000000"/>
        </w:rPr>
      </w:pPr>
      <w:hyperlink r:id="rId112">
        <w:r>
          <w:t>16.</w:t>
        </w:r>
        <w:r>
          <w:tab/>
          <w:t xml:space="preserve">Sun, B. B. </w:t>
        </w:r>
      </w:hyperlink>
      <w:hyperlink r:id="rId113">
        <w:r>
          <w:rPr>
            <w:i/>
          </w:rPr>
          <w:t>et al.</w:t>
        </w:r>
      </w:hyperlink>
      <w:hyperlink r:id="rId114">
        <w:r>
          <w:t xml:space="preserve"> Genetic associations of protein-coding variants in human disease. </w:t>
        </w:r>
      </w:hyperlink>
      <w:hyperlink r:id="rId115">
        <w:r>
          <w:rPr>
            <w:i/>
          </w:rPr>
          <w:t xml:space="preserve">Nature </w:t>
        </w:r>
      </w:hyperlink>
      <w:hyperlink r:id="rId116">
        <w:r>
          <w:rPr>
            <w:b/>
          </w:rPr>
          <w:t>603</w:t>
        </w:r>
      </w:hyperlink>
      <w:hyperlink r:id="rId117">
        <w:r>
          <w:t>, 95–102 (2022).</w:t>
        </w:r>
      </w:hyperlink>
    </w:p>
    <w:p w14:paraId="504EFF79" w14:textId="77777777" w:rsidR="00570424" w:rsidRDefault="00570424">
      <w:pPr>
        <w:widowControl w:val="0"/>
        <w:pBdr>
          <w:top w:val="nil"/>
          <w:left w:val="nil"/>
          <w:bottom w:val="nil"/>
          <w:right w:val="nil"/>
          <w:between w:val="nil"/>
        </w:pBdr>
        <w:spacing w:line="360" w:lineRule="auto"/>
        <w:ind w:left="264" w:hanging="264"/>
        <w:rPr>
          <w:sz w:val="20"/>
          <w:szCs w:val="20"/>
        </w:rPr>
      </w:pPr>
    </w:p>
    <w:p w14:paraId="01ABB820" w14:textId="77777777" w:rsidR="00570424" w:rsidRDefault="00570424">
      <w:pPr>
        <w:widowControl w:val="0"/>
        <w:pBdr>
          <w:top w:val="nil"/>
          <w:left w:val="nil"/>
          <w:bottom w:val="nil"/>
          <w:right w:val="nil"/>
          <w:between w:val="nil"/>
        </w:pBdr>
        <w:spacing w:line="360" w:lineRule="auto"/>
        <w:rPr>
          <w:sz w:val="20"/>
          <w:szCs w:val="20"/>
        </w:rPr>
      </w:pPr>
    </w:p>
    <w:sectPr w:rsidR="00570424">
      <w:headerReference w:type="default" r:id="rId1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013FA" w14:textId="77777777" w:rsidR="008E6DA0" w:rsidRDefault="008E6DA0">
      <w:pPr>
        <w:spacing w:line="240" w:lineRule="auto"/>
      </w:pPr>
      <w:r>
        <w:separator/>
      </w:r>
    </w:p>
  </w:endnote>
  <w:endnote w:type="continuationSeparator" w:id="0">
    <w:p w14:paraId="461C765F" w14:textId="77777777" w:rsidR="008E6DA0" w:rsidRDefault="008E6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E3AA" w14:textId="77777777" w:rsidR="008E6DA0" w:rsidRDefault="008E6DA0">
      <w:pPr>
        <w:spacing w:line="240" w:lineRule="auto"/>
      </w:pPr>
      <w:r>
        <w:separator/>
      </w:r>
    </w:p>
  </w:footnote>
  <w:footnote w:type="continuationSeparator" w:id="0">
    <w:p w14:paraId="743C0FAA" w14:textId="77777777" w:rsidR="008E6DA0" w:rsidRDefault="008E6D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431C" w14:textId="77777777" w:rsidR="00570424" w:rsidRDefault="0057042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24"/>
    <w:rsid w:val="00067746"/>
    <w:rsid w:val="000872F7"/>
    <w:rsid w:val="00242AA9"/>
    <w:rsid w:val="00570424"/>
    <w:rsid w:val="005F11DA"/>
    <w:rsid w:val="008E6DA0"/>
    <w:rsid w:val="00A34672"/>
    <w:rsid w:val="00B2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5617D"/>
  <w15:docId w15:val="{9D1213B3-BD5D-AF4A-8E59-5A5F5911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zotero.org/google-docs/?ObFThz" TargetMode="External"/><Relationship Id="rId117" Type="http://schemas.openxmlformats.org/officeDocument/2006/relationships/hyperlink" Target="https://www.zotero.org/google-docs/?78Pdq3" TargetMode="External"/><Relationship Id="rId21" Type="http://schemas.openxmlformats.org/officeDocument/2006/relationships/hyperlink" Target="https://www.zotero.org/google-docs/?0awzfY" TargetMode="External"/><Relationship Id="rId42" Type="http://schemas.openxmlformats.org/officeDocument/2006/relationships/image" Target="media/image11.png"/><Relationship Id="rId47" Type="http://schemas.openxmlformats.org/officeDocument/2006/relationships/hyperlink" Target="https://www.zotero.org/google-docs/?ddoGb5" TargetMode="External"/><Relationship Id="rId63" Type="http://schemas.openxmlformats.org/officeDocument/2006/relationships/hyperlink" Target="https://www.zotero.org/google-docs/?78Pdq3" TargetMode="External"/><Relationship Id="rId68" Type="http://schemas.openxmlformats.org/officeDocument/2006/relationships/hyperlink" Target="https://www.zotero.org/google-docs/?78Pdq3" TargetMode="External"/><Relationship Id="rId84" Type="http://schemas.openxmlformats.org/officeDocument/2006/relationships/hyperlink" Target="https://www.zotero.org/google-docs/?78Pdq3" TargetMode="External"/><Relationship Id="rId89" Type="http://schemas.openxmlformats.org/officeDocument/2006/relationships/hyperlink" Target="https://www.zotero.org/google-docs/?78Pdq3" TargetMode="External"/><Relationship Id="rId112" Type="http://schemas.openxmlformats.org/officeDocument/2006/relationships/hyperlink" Target="https://www.zotero.org/google-docs/?78Pdq3" TargetMode="External"/><Relationship Id="rId16" Type="http://schemas.openxmlformats.org/officeDocument/2006/relationships/hyperlink" Target="https://assets.thermofisher.com/TFS-Assets/LSG/manuals/702963_Final_Ax_96FX_UG.pdf" TargetMode="External"/><Relationship Id="rId107" Type="http://schemas.openxmlformats.org/officeDocument/2006/relationships/hyperlink" Target="https://www.zotero.org/google-docs/?78Pdq3" TargetMode="External"/><Relationship Id="rId11" Type="http://schemas.openxmlformats.org/officeDocument/2006/relationships/hyperlink" Target="https://risteys.finngen.fi/" TargetMode="External"/><Relationship Id="rId32" Type="http://schemas.openxmlformats.org/officeDocument/2006/relationships/image" Target="media/image6.png"/><Relationship Id="rId37" Type="http://schemas.openxmlformats.org/officeDocument/2006/relationships/hyperlink" Target="https://findata.fi/en/" TargetMode="External"/><Relationship Id="rId53" Type="http://schemas.openxmlformats.org/officeDocument/2006/relationships/hyperlink" Target="https://www.zotero.org/google-docs/?78Pdq3" TargetMode="External"/><Relationship Id="rId58" Type="http://schemas.openxmlformats.org/officeDocument/2006/relationships/hyperlink" Target="https://www.zotero.org/google-docs/?78Pdq3" TargetMode="External"/><Relationship Id="rId74" Type="http://schemas.openxmlformats.org/officeDocument/2006/relationships/hyperlink" Target="https://www.zotero.org/google-docs/?78Pdq3" TargetMode="External"/><Relationship Id="rId79" Type="http://schemas.openxmlformats.org/officeDocument/2006/relationships/hyperlink" Target="https://www.zotero.org/google-docs/?78Pdq3" TargetMode="External"/><Relationship Id="rId102" Type="http://schemas.openxmlformats.org/officeDocument/2006/relationships/hyperlink" Target="https://www.zotero.org/google-docs/?78Pdq3" TargetMode="External"/><Relationship Id="rId5" Type="http://schemas.openxmlformats.org/officeDocument/2006/relationships/endnotes" Target="endnotes.xml"/><Relationship Id="rId90" Type="http://schemas.openxmlformats.org/officeDocument/2006/relationships/hyperlink" Target="https://www.zotero.org/google-docs/?78Pdq3" TargetMode="External"/><Relationship Id="rId95" Type="http://schemas.openxmlformats.org/officeDocument/2006/relationships/hyperlink" Target="https://www.zotero.org/google-docs/?78Pdq3" TargetMode="External"/><Relationship Id="rId22" Type="http://schemas.openxmlformats.org/officeDocument/2006/relationships/hyperlink" Target="https://www.zotero.org/google-docs/?Vl9tLW" TargetMode="External"/><Relationship Id="rId27" Type="http://schemas.openxmlformats.org/officeDocument/2006/relationships/hyperlink" Target="https://www.zotero.org/google-docs/?qp4kms" TargetMode="External"/><Relationship Id="rId43" Type="http://schemas.openxmlformats.org/officeDocument/2006/relationships/hyperlink" Target="https://www.zotero.org/google-docs/?vQQx6u" TargetMode="External"/><Relationship Id="rId48" Type="http://schemas.openxmlformats.org/officeDocument/2006/relationships/hyperlink" Target="https://www.zotero.org/google-docs/?78Pdq3" TargetMode="External"/><Relationship Id="rId64" Type="http://schemas.openxmlformats.org/officeDocument/2006/relationships/hyperlink" Target="https://www.zotero.org/google-docs/?78Pdq3" TargetMode="External"/><Relationship Id="rId69" Type="http://schemas.openxmlformats.org/officeDocument/2006/relationships/hyperlink" Target="https://www.zotero.org/google-docs/?78Pdq3" TargetMode="External"/><Relationship Id="rId113" Type="http://schemas.openxmlformats.org/officeDocument/2006/relationships/hyperlink" Target="https://www.zotero.org/google-docs/?78Pdq3" TargetMode="External"/><Relationship Id="rId118" Type="http://schemas.openxmlformats.org/officeDocument/2006/relationships/header" Target="header1.xml"/><Relationship Id="rId80" Type="http://schemas.openxmlformats.org/officeDocument/2006/relationships/hyperlink" Target="https://www.zotero.org/google-docs/?78Pdq3" TargetMode="External"/><Relationship Id="rId85" Type="http://schemas.openxmlformats.org/officeDocument/2006/relationships/hyperlink" Target="https://www.zotero.org/google-docs/?78Pdq3" TargetMode="External"/><Relationship Id="rId12" Type="http://schemas.openxmlformats.org/officeDocument/2006/relationships/image" Target="media/image1.png"/><Relationship Id="rId17" Type="http://schemas.openxmlformats.org/officeDocument/2006/relationships/hyperlink" Target="https://assets.thermofisher.com/TFS-Assets/LSG/manuals/axiom_genotyping_solution_analysis_guide.pdf" TargetMode="External"/><Relationship Id="rId33" Type="http://schemas.openxmlformats.org/officeDocument/2006/relationships/image" Target="media/image7.png"/><Relationship Id="rId38" Type="http://schemas.openxmlformats.org/officeDocument/2006/relationships/image" Target="media/image10.png"/><Relationship Id="rId59" Type="http://schemas.openxmlformats.org/officeDocument/2006/relationships/hyperlink" Target="https://www.zotero.org/google-docs/?78Pdq3" TargetMode="External"/><Relationship Id="rId103" Type="http://schemas.openxmlformats.org/officeDocument/2006/relationships/hyperlink" Target="https://www.zotero.org/google-docs/?78Pdq3" TargetMode="External"/><Relationship Id="rId108" Type="http://schemas.openxmlformats.org/officeDocument/2006/relationships/hyperlink" Target="https://www.zotero.org/google-docs/?78Pdq3" TargetMode="External"/><Relationship Id="rId54" Type="http://schemas.openxmlformats.org/officeDocument/2006/relationships/hyperlink" Target="https://www.zotero.org/google-docs/?78Pdq3" TargetMode="External"/><Relationship Id="rId70" Type="http://schemas.openxmlformats.org/officeDocument/2006/relationships/hyperlink" Target="https://www.zotero.org/google-docs/?78Pdq3" TargetMode="External"/><Relationship Id="rId75" Type="http://schemas.openxmlformats.org/officeDocument/2006/relationships/hyperlink" Target="https://www.zotero.org/google-docs/?78Pdq3" TargetMode="External"/><Relationship Id="rId91" Type="http://schemas.openxmlformats.org/officeDocument/2006/relationships/hyperlink" Target="https://www.zotero.org/google-docs/?78Pdq3" TargetMode="External"/><Relationship Id="rId96" Type="http://schemas.openxmlformats.org/officeDocument/2006/relationships/hyperlink" Target="https://www.zotero.org/google-docs/?78Pdq3" TargetMode="External"/><Relationship Id="rId1" Type="http://schemas.openxmlformats.org/officeDocument/2006/relationships/styles" Target="styles.xml"/><Relationship Id="rId6" Type="http://schemas.openxmlformats.org/officeDocument/2006/relationships/hyperlink" Target="https://dvv.fi/en/personal-identity-code" TargetMode="External"/><Relationship Id="rId23" Type="http://schemas.openxmlformats.org/officeDocument/2006/relationships/hyperlink" Target="https://www.zotero.org/google-docs/?t84RtH" TargetMode="External"/><Relationship Id="rId28" Type="http://schemas.openxmlformats.org/officeDocument/2006/relationships/hyperlink" Target="https://data.broadinstitute.org/alkesgroup/Eagle/" TargetMode="External"/><Relationship Id="rId49" Type="http://schemas.openxmlformats.org/officeDocument/2006/relationships/hyperlink" Target="https://www.zotero.org/google-docs/?78Pdq3" TargetMode="External"/><Relationship Id="rId114" Type="http://schemas.openxmlformats.org/officeDocument/2006/relationships/hyperlink" Target="https://www.zotero.org/google-docs/?78Pdq3" TargetMode="External"/><Relationship Id="rId119" Type="http://schemas.openxmlformats.org/officeDocument/2006/relationships/fontTable" Target="fontTable.xml"/><Relationship Id="rId10" Type="http://schemas.openxmlformats.org/officeDocument/2006/relationships/hyperlink" Target="https://www.zotero.org/google-docs/?dPuEGY" TargetMode="External"/><Relationship Id="rId31" Type="http://schemas.openxmlformats.org/officeDocument/2006/relationships/hyperlink" Target="https://www.zotero.org/google-docs/?Bi8pLP" TargetMode="External"/><Relationship Id="rId44" Type="http://schemas.openxmlformats.org/officeDocument/2006/relationships/hyperlink" Target="https://www.zotero.org/google-docs/?mSjxaD" TargetMode="External"/><Relationship Id="rId52" Type="http://schemas.openxmlformats.org/officeDocument/2006/relationships/hyperlink" Target="https://www.zotero.org/google-docs/?78Pdq3" TargetMode="External"/><Relationship Id="rId60" Type="http://schemas.openxmlformats.org/officeDocument/2006/relationships/hyperlink" Target="https://www.zotero.org/google-docs/?78Pdq3" TargetMode="External"/><Relationship Id="rId65" Type="http://schemas.openxmlformats.org/officeDocument/2006/relationships/hyperlink" Target="https://www.zotero.org/google-docs/?78Pdq3" TargetMode="External"/><Relationship Id="rId73" Type="http://schemas.openxmlformats.org/officeDocument/2006/relationships/hyperlink" Target="https://www.zotero.org/google-docs/?78Pdq3" TargetMode="External"/><Relationship Id="rId78" Type="http://schemas.openxmlformats.org/officeDocument/2006/relationships/hyperlink" Target="https://www.zotero.org/google-docs/?78Pdq3" TargetMode="External"/><Relationship Id="rId81" Type="http://schemas.openxmlformats.org/officeDocument/2006/relationships/hyperlink" Target="https://www.zotero.org/google-docs/?78Pdq3" TargetMode="External"/><Relationship Id="rId86" Type="http://schemas.openxmlformats.org/officeDocument/2006/relationships/hyperlink" Target="https://www.zotero.org/google-docs/?78Pdq3" TargetMode="External"/><Relationship Id="rId94" Type="http://schemas.openxmlformats.org/officeDocument/2006/relationships/hyperlink" Target="https://www.zotero.org/google-docs/?78Pdq3" TargetMode="External"/><Relationship Id="rId99" Type="http://schemas.openxmlformats.org/officeDocument/2006/relationships/hyperlink" Target="https://www.zotero.org/google-docs/?78Pdq3" TargetMode="External"/><Relationship Id="rId101" Type="http://schemas.openxmlformats.org/officeDocument/2006/relationships/hyperlink" Target="https://www.zotero.org/google-docs/?78Pdq3" TargetMode="External"/><Relationship Id="rId4" Type="http://schemas.openxmlformats.org/officeDocument/2006/relationships/footnotes" Target="footnotes.xml"/><Relationship Id="rId9" Type="http://schemas.openxmlformats.org/officeDocument/2006/relationships/hyperlink" Target="https://www.ohdsi.org/data-standardization/the-common-data-model/" TargetMode="External"/><Relationship Id="rId13" Type="http://schemas.openxmlformats.org/officeDocument/2006/relationships/image" Target="media/image2.png"/><Relationship Id="rId18" Type="http://schemas.openxmlformats.org/officeDocument/2006/relationships/hyperlink" Target="https://www.thermofisher.com/us/en/home/life-science/microarray-analysis/microarray-analysis-partners-programs/affymetrix-developers-network/affymetrix-power-tools.html" TargetMode="External"/><Relationship Id="rId39" Type="http://schemas.openxmlformats.org/officeDocument/2006/relationships/hyperlink" Target="https://www.zotero.org/google-docs/?Rsxh5U" TargetMode="External"/><Relationship Id="rId109" Type="http://schemas.openxmlformats.org/officeDocument/2006/relationships/hyperlink" Target="https://www.zotero.org/google-docs/?78Pdq3" TargetMode="External"/><Relationship Id="rId34" Type="http://schemas.openxmlformats.org/officeDocument/2006/relationships/image" Target="media/image8.png"/><Relationship Id="rId50" Type="http://schemas.openxmlformats.org/officeDocument/2006/relationships/hyperlink" Target="https://www.zotero.org/google-docs/?78Pdq3" TargetMode="External"/><Relationship Id="rId55" Type="http://schemas.openxmlformats.org/officeDocument/2006/relationships/hyperlink" Target="https://www.zotero.org/google-docs/?78Pdq3" TargetMode="External"/><Relationship Id="rId76" Type="http://schemas.openxmlformats.org/officeDocument/2006/relationships/hyperlink" Target="https://www.zotero.org/google-docs/?78Pdq3" TargetMode="External"/><Relationship Id="rId97" Type="http://schemas.openxmlformats.org/officeDocument/2006/relationships/hyperlink" Target="https://www.zotero.org/google-docs/?78Pdq3" TargetMode="External"/><Relationship Id="rId104" Type="http://schemas.openxmlformats.org/officeDocument/2006/relationships/hyperlink" Target="https://www.zotero.org/google-docs/?78Pdq3" TargetMode="External"/><Relationship Id="rId120" Type="http://schemas.openxmlformats.org/officeDocument/2006/relationships/theme" Target="theme/theme1.xml"/><Relationship Id="rId7" Type="http://schemas.openxmlformats.org/officeDocument/2006/relationships/hyperlink" Target="https://www.zotero.org/google-docs/?OfnzAM" TargetMode="External"/><Relationship Id="rId71" Type="http://schemas.openxmlformats.org/officeDocument/2006/relationships/hyperlink" Target="https://www.zotero.org/google-docs/?78Pdq3" TargetMode="External"/><Relationship Id="rId92" Type="http://schemas.openxmlformats.org/officeDocument/2006/relationships/hyperlink" Target="https://www.zotero.org/google-docs/?78Pdq3" TargetMode="External"/><Relationship Id="rId2" Type="http://schemas.openxmlformats.org/officeDocument/2006/relationships/settings" Target="settings.xml"/><Relationship Id="rId29" Type="http://schemas.openxmlformats.org/officeDocument/2006/relationships/hyperlink" Target="https://www.zotero.org/google-docs/?6SaIRP" TargetMode="External"/><Relationship Id="rId24" Type="http://schemas.openxmlformats.org/officeDocument/2006/relationships/hyperlink" Target="https://github.com/hail-is/hail" TargetMode="External"/><Relationship Id="rId40" Type="http://schemas.openxmlformats.org/officeDocument/2006/relationships/hyperlink" Target="https://www.zotero.org/google-docs/?RyWrAF" TargetMode="External"/><Relationship Id="rId45" Type="http://schemas.openxmlformats.org/officeDocument/2006/relationships/image" Target="media/image12.png"/><Relationship Id="rId66" Type="http://schemas.openxmlformats.org/officeDocument/2006/relationships/hyperlink" Target="https://www.zotero.org/google-docs/?78Pdq3" TargetMode="External"/><Relationship Id="rId87" Type="http://schemas.openxmlformats.org/officeDocument/2006/relationships/hyperlink" Target="https://www.zotero.org/google-docs/?78Pdq3" TargetMode="External"/><Relationship Id="rId110" Type="http://schemas.openxmlformats.org/officeDocument/2006/relationships/hyperlink" Target="https://www.zotero.org/google-docs/?78Pdq3" TargetMode="External"/><Relationship Id="rId115" Type="http://schemas.openxmlformats.org/officeDocument/2006/relationships/hyperlink" Target="https://www.zotero.org/google-docs/?78Pdq3" TargetMode="External"/><Relationship Id="rId61" Type="http://schemas.openxmlformats.org/officeDocument/2006/relationships/hyperlink" Target="https://www.zotero.org/google-docs/?78Pdq3" TargetMode="External"/><Relationship Id="rId82" Type="http://schemas.openxmlformats.org/officeDocument/2006/relationships/hyperlink" Target="https://www.zotero.org/google-docs/?78Pdq3" TargetMode="External"/><Relationship Id="rId19" Type="http://schemas.openxmlformats.org/officeDocument/2006/relationships/hyperlink" Target="https://assets.thermofisher.com/TFS-Assets/LSG/manuals/axiom_genotyping_solution_analysis_guide.pdf" TargetMode="External"/><Relationship Id="rId14"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image" Target="media/image9.emf"/><Relationship Id="rId56" Type="http://schemas.openxmlformats.org/officeDocument/2006/relationships/hyperlink" Target="https://www.zotero.org/google-docs/?78Pdq3" TargetMode="External"/><Relationship Id="rId77" Type="http://schemas.openxmlformats.org/officeDocument/2006/relationships/hyperlink" Target="https://www.zotero.org/google-docs/?78Pdq3" TargetMode="External"/><Relationship Id="rId100" Type="http://schemas.openxmlformats.org/officeDocument/2006/relationships/hyperlink" Target="https://www.zotero.org/google-docs/?78Pdq3" TargetMode="External"/><Relationship Id="rId105" Type="http://schemas.openxmlformats.org/officeDocument/2006/relationships/hyperlink" Target="https://www.zotero.org/google-docs/?78Pdq3" TargetMode="External"/><Relationship Id="rId8" Type="http://schemas.openxmlformats.org/officeDocument/2006/relationships/hyperlink" Target="https://www.zotero.org/google-docs/?waj0rw" TargetMode="External"/><Relationship Id="rId51" Type="http://schemas.openxmlformats.org/officeDocument/2006/relationships/hyperlink" Target="https://www.zotero.org/google-docs/?78Pdq3" TargetMode="External"/><Relationship Id="rId72" Type="http://schemas.openxmlformats.org/officeDocument/2006/relationships/hyperlink" Target="https://www.zotero.org/google-docs/?78Pdq3" TargetMode="External"/><Relationship Id="rId93" Type="http://schemas.openxmlformats.org/officeDocument/2006/relationships/hyperlink" Target="https://www.zotero.org/google-docs/?78Pdq3" TargetMode="External"/><Relationship Id="rId98" Type="http://schemas.openxmlformats.org/officeDocument/2006/relationships/hyperlink" Target="https://www.zotero.org/google-docs/?78Pdq3" TargetMode="External"/><Relationship Id="rId3" Type="http://schemas.openxmlformats.org/officeDocument/2006/relationships/webSettings" Target="webSettings.xml"/><Relationship Id="rId25" Type="http://schemas.openxmlformats.org/officeDocument/2006/relationships/hyperlink" Target="https://www.zotero.org/google-docs/?sXLdXK" TargetMode="External"/><Relationship Id="rId46" Type="http://schemas.openxmlformats.org/officeDocument/2006/relationships/image" Target="media/image13.png"/><Relationship Id="rId67" Type="http://schemas.openxmlformats.org/officeDocument/2006/relationships/hyperlink" Target="https://www.zotero.org/google-docs/?78Pdq3" TargetMode="External"/><Relationship Id="rId116" Type="http://schemas.openxmlformats.org/officeDocument/2006/relationships/hyperlink" Target="https://www.zotero.org/google-docs/?78Pdq3" TargetMode="External"/><Relationship Id="rId20" Type="http://schemas.openxmlformats.org/officeDocument/2006/relationships/hyperlink" Target="https://www.zotero.org/google-docs/?sZyipW" TargetMode="External"/><Relationship Id="rId41" Type="http://schemas.openxmlformats.org/officeDocument/2006/relationships/hyperlink" Target="https://www.zotero.org/google-docs/?bM6OEF" TargetMode="External"/><Relationship Id="rId62" Type="http://schemas.openxmlformats.org/officeDocument/2006/relationships/hyperlink" Target="https://www.zotero.org/google-docs/?78Pdq3" TargetMode="External"/><Relationship Id="rId83" Type="http://schemas.openxmlformats.org/officeDocument/2006/relationships/hyperlink" Target="https://www.zotero.org/google-docs/?78Pdq3" TargetMode="External"/><Relationship Id="rId88" Type="http://schemas.openxmlformats.org/officeDocument/2006/relationships/hyperlink" Target="https://www.zotero.org/google-docs/?78Pdq3" TargetMode="External"/><Relationship Id="rId111" Type="http://schemas.openxmlformats.org/officeDocument/2006/relationships/hyperlink" Target="https://www.zotero.org/google-docs/?78Pdq3" TargetMode="External"/><Relationship Id="rId15" Type="http://schemas.openxmlformats.org/officeDocument/2006/relationships/image" Target="media/image4.png"/><Relationship Id="rId36" Type="http://schemas.openxmlformats.org/officeDocument/2006/relationships/hyperlink" Target="https://results.finngen.fi/" TargetMode="External"/><Relationship Id="rId57" Type="http://schemas.openxmlformats.org/officeDocument/2006/relationships/hyperlink" Target="https://www.zotero.org/google-docs/?78Pdq3" TargetMode="External"/><Relationship Id="rId106" Type="http://schemas.openxmlformats.org/officeDocument/2006/relationships/hyperlink" Target="https://www.zotero.org/google-docs/?78Pdq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28</Pages>
  <Words>6103</Words>
  <Characters>34792</Characters>
  <Application>Microsoft Office Word</Application>
  <DocSecurity>0</DocSecurity>
  <Lines>289</Lines>
  <Paragraphs>81</Paragraphs>
  <ScaleCrop>false</ScaleCrop>
  <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Mitja Kurki</cp:lastModifiedBy>
  <cp:revision>6</cp:revision>
  <dcterms:created xsi:type="dcterms:W3CDTF">2022-10-03T19:39:00Z</dcterms:created>
  <dcterms:modified xsi:type="dcterms:W3CDTF">2022-10-20T18:41:00Z</dcterms:modified>
</cp:coreProperties>
</file>