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Fonts w:ascii="Times New Roman" w:cs="Times New Roman" w:eastAsia="Times New Roman" w:hAnsi="Times New Roman"/>
          <w:sz w:val="28"/>
          <w:szCs w:val="28"/>
          <w:rtl w:val="0"/>
        </w:rPr>
        <w:t xml:space="preserve">Supplementary Note 1</w:t>
      </w:r>
      <w:r w:rsidDel="00000000" w:rsidR="00000000" w:rsidRPr="00000000">
        <w:rPr>
          <w:rtl w:val="0"/>
        </w:rPr>
      </w:r>
    </w:p>
    <w:p w:rsidR="00000000" w:rsidDel="00000000" w:rsidP="00000000" w:rsidRDefault="00000000" w:rsidRPr="00000000" w14:paraId="00000002">
      <w:pPr>
        <w:widowControl w:val="0"/>
        <w:spacing w:line="36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Noteworthy novel findings from 15 previously well-studied benchmark diseases</w:t>
      </w:r>
    </w:p>
    <w:p w:rsidR="00000000" w:rsidDel="00000000" w:rsidP="00000000" w:rsidRDefault="00000000" w:rsidRPr="00000000" w14:paraId="00000003">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Age-related macular degeneration</w:t>
      </w:r>
    </w:p>
    <w:p w:rsidR="00000000" w:rsidDel="00000000" w:rsidP="00000000" w:rsidRDefault="00000000" w:rsidRPr="00000000" w14:paraId="0000000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Finnish enriched 3’ UTR variant in CFI  was associated with age-related macular degeneration (chr4_109740713_T_A, FinnGen OR 1.92. P: 1.8*10-7).  The variant has been observed almost exclusively in Finnish population (gnomAD AF 1.3%) but exists at a very low frequency in Estonian (gnomAD AF 0.02%) and `other` populations in gnomAD (AF 0.008%). Remarkably, the association was replicated in Estonian biobank (AF 0.05%, OR 6.75, p: 2.19*10-3) despite it being rare in Estonia. Consistent with the variant consequence, we observed an eQTL colocalization with strong gene expression lowering effect of CFI gene transcript  in adipose tissue (CLPP 0.46, beta -1.6) in a FUSION transcriptome</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study using Finnish samples. CFI codes for complement factor I, a regulator of classical and alternative complement pathways. Rare recessive missense and stop gained variants in CFI have been observed in complement factor I deficiency and, consistent with the eQTL directionality here, heterozygous carriers of such reduced function variants have been strongly associated with AMD in exome sequencing of AMD GWAS loci</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7">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Atrial fibrillation</w:t>
      </w:r>
    </w:p>
    <w:p w:rsidR="00000000" w:rsidDel="00000000" w:rsidP="00000000" w:rsidRDefault="00000000" w:rsidRPr="00000000" w14:paraId="0000000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Four novel low frequency (MAF 0.1%-2%) associations were observed for atrial fibrillation and flutter. In all four we identified a putative causal coding variant in credible sets. Two independent coding variants (chr16_1947063_G_A,chr16_1954141_C_T</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were observed in </w:t>
      </w:r>
      <w:r w:rsidDel="00000000" w:rsidR="00000000" w:rsidRPr="00000000">
        <w:rPr>
          <w:rFonts w:ascii="Times New Roman" w:cs="Times New Roman" w:eastAsia="Times New Roman" w:hAnsi="Times New Roman"/>
          <w:sz w:val="24"/>
          <w:szCs w:val="24"/>
          <w:rtl w:val="0"/>
        </w:rPr>
        <w:t xml:space="preserve">RPL3L</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Both variant associations were supported by Estonian and UKBB replication. Coding variants in </w:t>
      </w:r>
      <w:r w:rsidDel="00000000" w:rsidR="00000000" w:rsidRPr="00000000">
        <w:rPr>
          <w:rFonts w:ascii="Times New Roman" w:cs="Times New Roman" w:eastAsia="Times New Roman" w:hAnsi="Times New Roman"/>
          <w:sz w:val="24"/>
          <w:szCs w:val="24"/>
          <w:rtl w:val="0"/>
        </w:rPr>
        <w:t xml:space="preserve">RPL3L </w:t>
      </w:r>
      <w:r w:rsidDel="00000000" w:rsidR="00000000" w:rsidRPr="00000000">
        <w:rPr>
          <w:rFonts w:ascii="Times New Roman" w:cs="Times New Roman" w:eastAsia="Times New Roman" w:hAnsi="Times New Roman"/>
          <w:sz w:val="24"/>
          <w:szCs w:val="24"/>
          <w:rtl w:val="0"/>
        </w:rPr>
        <w:t xml:space="preserve">that are not in LD (r2&lt;0.005 to lead variants in FinnGen imputation panel) with our associations have been previously associated with atrial fibrillation. In a GWAS meta-analysis with 14,710 cases and 373,897 controls from Iceland and 14,792 cases and 393,863 controls from the UK Biobank, a missense and splice donor variants in </w:t>
      </w:r>
      <w:r w:rsidDel="00000000" w:rsidR="00000000" w:rsidRPr="00000000">
        <w:rPr>
          <w:rFonts w:ascii="Times New Roman" w:cs="Times New Roman" w:eastAsia="Times New Roman" w:hAnsi="Times New Roman"/>
          <w:sz w:val="24"/>
          <w:szCs w:val="24"/>
          <w:rtl w:val="0"/>
        </w:rPr>
        <w:t xml:space="preserve">RPL3L</w:t>
      </w:r>
      <w:r w:rsidDel="00000000" w:rsidR="00000000" w:rsidRPr="00000000">
        <w:rPr>
          <w:rFonts w:ascii="Times New Roman" w:cs="Times New Roman" w:eastAsia="Times New Roman" w:hAnsi="Times New Roman"/>
          <w:sz w:val="24"/>
          <w:szCs w:val="24"/>
          <w:rtl w:val="0"/>
        </w:rPr>
        <w:t xml:space="preserve"> were associated with atrial fibrillation</w:t>
      </w:r>
      <w:r w:rsidDel="00000000" w:rsidR="00000000" w:rsidRPr="00000000">
        <w:rPr>
          <w:rFonts w:ascii="Times New Roman" w:cs="Times New Roman" w:eastAsia="Times New Roman" w:hAnsi="Times New Roman"/>
          <w:sz w:val="24"/>
          <w:szCs w:val="24"/>
          <w:vertAlign w:val="superscript"/>
          <w:rtl w:val="0"/>
        </w:rPr>
        <w:t xml:space="preserve">3</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third atrial fibrillation association lead variant (chr19_50497261_C_T, AF 2%, OR 1.43, p 1.92 * 10</w:t>
      </w:r>
      <w:r w:rsidDel="00000000" w:rsidR="00000000" w:rsidRPr="00000000">
        <w:rPr>
          <w:rFonts w:ascii="Times New Roman" w:cs="Times New Roman" w:eastAsia="Times New Roman" w:hAnsi="Times New Roman"/>
          <w:sz w:val="24"/>
          <w:szCs w:val="24"/>
          <w:rtl w:val="0"/>
        </w:rPr>
        <w:t xml:space="preserve">-12</w:t>
      </w:r>
      <w:r w:rsidDel="00000000" w:rsidR="00000000" w:rsidRPr="00000000">
        <w:rPr>
          <w:rFonts w:ascii="Times New Roman" w:cs="Times New Roman" w:eastAsia="Times New Roman" w:hAnsi="Times New Roman"/>
          <w:sz w:val="24"/>
          <w:szCs w:val="24"/>
          <w:rtl w:val="0"/>
        </w:rPr>
        <w:t xml:space="preserve">) was 16.6 times enriched in Finland. The variant exists in the Estonian population and the effect size was consistent although markedly lower and not statistically significant ( AF 0.6%, OR 1.16, p 0.46). The variant did not exist in UKBB data (North-Western europeans in GnomAD AF 0.1%). We observed a missense variant (p.Arg1845Trp) in </w:t>
      </w:r>
      <w:r w:rsidDel="00000000" w:rsidR="00000000" w:rsidRPr="00000000">
        <w:rPr>
          <w:rFonts w:ascii="Times New Roman" w:cs="Times New Roman" w:eastAsia="Times New Roman" w:hAnsi="Times New Roman"/>
          <w:sz w:val="24"/>
          <w:szCs w:val="24"/>
          <w:rtl w:val="0"/>
        </w:rPr>
        <w:t xml:space="preserve">MYH14</w:t>
      </w:r>
      <w:r w:rsidDel="00000000" w:rsidR="00000000" w:rsidRPr="00000000">
        <w:rPr>
          <w:rFonts w:ascii="Times New Roman" w:cs="Times New Roman" w:eastAsia="Times New Roman" w:hAnsi="Times New Roman"/>
          <w:sz w:val="24"/>
          <w:szCs w:val="24"/>
          <w:rtl w:val="0"/>
        </w:rPr>
        <w:t xml:space="preserve"> in the credible set, as well as eQTL colocation with upregulation of putative long non-coding RNA (ENSG00000268518) in skeletal muscle in the Finnish FUSION study</w:t>
      </w: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sz w:val="24"/>
          <w:szCs w:val="24"/>
          <w:rtl w:val="0"/>
        </w:rPr>
        <w:t xml:space="preserve">. Variants in </w:t>
      </w:r>
      <w:r w:rsidDel="00000000" w:rsidR="00000000" w:rsidRPr="00000000">
        <w:rPr>
          <w:rFonts w:ascii="Times New Roman" w:cs="Times New Roman" w:eastAsia="Times New Roman" w:hAnsi="Times New Roman"/>
          <w:sz w:val="24"/>
          <w:szCs w:val="24"/>
          <w:rtl w:val="0"/>
        </w:rPr>
        <w:t xml:space="preserve">MYH14</w:t>
      </w:r>
      <w:r w:rsidDel="00000000" w:rsidR="00000000" w:rsidRPr="00000000">
        <w:rPr>
          <w:rFonts w:ascii="Times New Roman" w:cs="Times New Roman" w:eastAsia="Times New Roman" w:hAnsi="Times New Roman"/>
          <w:sz w:val="24"/>
          <w:szCs w:val="24"/>
          <w:rtl w:val="0"/>
        </w:rPr>
        <w:t xml:space="preserve"> can cause autosomal dominant peripheral neuropathy and deafness (https://www.omim.org/entry/608568) but no cardiac phenotype has been previously reported.</w:t>
      </w:r>
    </w:p>
    <w:p w:rsidR="00000000" w:rsidDel="00000000" w:rsidP="00000000" w:rsidRDefault="00000000" w:rsidRPr="00000000" w14:paraId="0000000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 the fourth association (AF 1.3%, OR 1.5, p 8.17*10</w:t>
      </w:r>
      <w:r w:rsidDel="00000000" w:rsidR="00000000" w:rsidRPr="00000000">
        <w:rPr>
          <w:rFonts w:ascii="Times New Roman" w:cs="Times New Roman" w:eastAsia="Times New Roman" w:hAnsi="Times New Roman"/>
          <w:sz w:val="24"/>
          <w:szCs w:val="24"/>
          <w:rtl w:val="0"/>
        </w:rPr>
        <w:t xml:space="preserve">-11</w:t>
      </w:r>
      <w:r w:rsidDel="00000000" w:rsidR="00000000" w:rsidRPr="00000000">
        <w:rPr>
          <w:rFonts w:ascii="Times New Roman" w:cs="Times New Roman" w:eastAsia="Times New Roman" w:hAnsi="Times New Roman"/>
          <w:sz w:val="24"/>
          <w:szCs w:val="24"/>
          <w:rtl w:val="0"/>
        </w:rPr>
        <w:t xml:space="preserve">) we observed a splice donor variant (c.105+1G&gt;T) in the </w:t>
      </w:r>
      <w:r w:rsidDel="00000000" w:rsidR="00000000" w:rsidRPr="00000000">
        <w:rPr>
          <w:rFonts w:ascii="Times New Roman" w:cs="Times New Roman" w:eastAsia="Times New Roman" w:hAnsi="Times New Roman"/>
          <w:sz w:val="24"/>
          <w:szCs w:val="24"/>
          <w:rtl w:val="0"/>
        </w:rPr>
        <w:t xml:space="preserve">SYNPO2L</w:t>
      </w:r>
      <w:r w:rsidDel="00000000" w:rsidR="00000000" w:rsidRPr="00000000">
        <w:rPr>
          <w:rFonts w:ascii="Times New Roman" w:cs="Times New Roman" w:eastAsia="Times New Roman" w:hAnsi="Times New Roman"/>
          <w:sz w:val="24"/>
          <w:szCs w:val="24"/>
          <w:rtl w:val="0"/>
        </w:rPr>
        <w:t xml:space="preserve"> gene (PIP 0.13). The variant was extremely rare in Estonia (0.05%) but showed consistent effect direction (OR 1.23) although not significant due to lack of power in such rare variant association. The variant was absent in UKBB and the AF in NFSEE in gnomad is extremely low (0.02%). An intronic common variant in </w:t>
      </w:r>
      <w:r w:rsidDel="00000000" w:rsidR="00000000" w:rsidRPr="00000000">
        <w:rPr>
          <w:rFonts w:ascii="Times New Roman" w:cs="Times New Roman" w:eastAsia="Times New Roman" w:hAnsi="Times New Roman"/>
          <w:sz w:val="24"/>
          <w:szCs w:val="24"/>
          <w:rtl w:val="0"/>
        </w:rPr>
        <w:t xml:space="preserve">SYNPO2L</w:t>
      </w:r>
      <w:r w:rsidDel="00000000" w:rsidR="00000000" w:rsidRPr="00000000">
        <w:rPr>
          <w:rFonts w:ascii="Times New Roman" w:cs="Times New Roman" w:eastAsia="Times New Roman" w:hAnsi="Times New Roman"/>
          <w:sz w:val="24"/>
          <w:szCs w:val="24"/>
          <w:rtl w:val="0"/>
        </w:rPr>
        <w:t xml:space="preserve"> has been previously associated with atrial fibrillation</w:t>
      </w:r>
      <w:r w:rsidDel="00000000" w:rsidR="00000000" w:rsidRPr="00000000">
        <w:rPr>
          <w:rFonts w:ascii="Times New Roman" w:cs="Times New Roman" w:eastAsia="Times New Roman" w:hAnsi="Times New Roman"/>
          <w:sz w:val="24"/>
          <w:szCs w:val="24"/>
          <w:vertAlign w:val="superscript"/>
          <w:rtl w:val="0"/>
        </w:rPr>
        <w:t xml:space="preserve">4</w:t>
      </w:r>
      <w:r w:rsidDel="00000000" w:rsidR="00000000" w:rsidRPr="00000000">
        <w:rPr>
          <w:rFonts w:ascii="Times New Roman" w:cs="Times New Roman" w:eastAsia="Times New Roman" w:hAnsi="Times New Roman"/>
          <w:sz w:val="24"/>
          <w:szCs w:val="24"/>
          <w:rtl w:val="0"/>
        </w:rPr>
        <w:t xml:space="preserve"> Our results provide direct coding variant evidence of </w:t>
      </w:r>
      <w:r w:rsidDel="00000000" w:rsidR="00000000" w:rsidRPr="00000000">
        <w:rPr>
          <w:rFonts w:ascii="Times New Roman" w:cs="Times New Roman" w:eastAsia="Times New Roman" w:hAnsi="Times New Roman"/>
          <w:sz w:val="24"/>
          <w:szCs w:val="24"/>
          <w:rtl w:val="0"/>
        </w:rPr>
        <w:t xml:space="preserve">SYNPO2L</w:t>
      </w:r>
      <w:r w:rsidDel="00000000" w:rsidR="00000000" w:rsidRPr="00000000">
        <w:rPr>
          <w:rFonts w:ascii="Times New Roman" w:cs="Times New Roman" w:eastAsia="Times New Roman" w:hAnsi="Times New Roman"/>
          <w:sz w:val="24"/>
          <w:szCs w:val="24"/>
          <w:rtl w:val="0"/>
        </w:rPr>
        <w:t xml:space="preserve"> being the causal gene in this locus. Further insights on atrial fibrillation from FinnGen coding variants have been described by Sun et al</w:t>
      </w:r>
      <w:r w:rsidDel="00000000" w:rsidR="00000000" w:rsidRPr="00000000">
        <w:rPr>
          <w:rFonts w:ascii="Times New Roman" w:cs="Times New Roman" w:eastAsia="Times New Roman" w:hAnsi="Times New Roman"/>
          <w:sz w:val="24"/>
          <w:szCs w:val="24"/>
          <w:vertAlign w:val="superscript"/>
          <w:rtl w:val="0"/>
        </w:rPr>
        <w:t xml:space="preserve">5</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Prostate cancer</w:t>
      </w:r>
    </w:p>
    <w:p w:rsidR="00000000" w:rsidDel="00000000" w:rsidP="00000000" w:rsidRDefault="00000000" w:rsidRPr="00000000" w14:paraId="0000000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Two novel associations were identified for prostate cancer. The first was a 16-fold Finnish-enriched variant ( chr22_43082544_C_T, AF 0.3%, OR 3.49, p 5.44*10</w:t>
      </w:r>
      <w:r w:rsidDel="00000000" w:rsidR="00000000" w:rsidRPr="00000000">
        <w:rPr>
          <w:rFonts w:ascii="Times New Roman" w:cs="Times New Roman" w:eastAsia="Times New Roman" w:hAnsi="Times New Roman"/>
          <w:sz w:val="24"/>
          <w:szCs w:val="24"/>
          <w:rtl w:val="0"/>
        </w:rPr>
        <w:t xml:space="preserve">-8</w:t>
      </w:r>
      <w:r w:rsidDel="00000000" w:rsidR="00000000" w:rsidRPr="00000000">
        <w:rPr>
          <w:rFonts w:ascii="Times New Roman" w:cs="Times New Roman" w:eastAsia="Times New Roman" w:hAnsi="Times New Roman"/>
          <w:sz w:val="24"/>
          <w:szCs w:val="24"/>
          <w:rtl w:val="0"/>
        </w:rPr>
        <w:t xml:space="preserve">) and showed consistent effect size in Estonia (AF 0.09%, OR 3, p 0.2) but was absent in UKBB (meta-analysis p 2.45*10</w:t>
      </w:r>
      <w:r w:rsidDel="00000000" w:rsidR="00000000" w:rsidRPr="00000000">
        <w:rPr>
          <w:rFonts w:ascii="Times New Roman" w:cs="Times New Roman" w:eastAsia="Times New Roman" w:hAnsi="Times New Roman"/>
          <w:sz w:val="24"/>
          <w:szCs w:val="24"/>
          <w:rtl w:val="0"/>
        </w:rPr>
        <w:t xml:space="preserve">-8</w:t>
      </w:r>
      <w:r w:rsidDel="00000000" w:rsidR="00000000" w:rsidRPr="00000000">
        <w:rPr>
          <w:rFonts w:ascii="Times New Roman" w:cs="Times New Roman" w:eastAsia="Times New Roman" w:hAnsi="Times New Roman"/>
          <w:sz w:val="24"/>
          <w:szCs w:val="24"/>
          <w:rtl w:val="0"/>
        </w:rPr>
        <w:t xml:space="preserve">).  An inframe deletion variant (p.Ala139_Leu148del) in </w:t>
      </w:r>
      <w:r w:rsidDel="00000000" w:rsidR="00000000" w:rsidRPr="00000000">
        <w:rPr>
          <w:rFonts w:ascii="Times New Roman" w:cs="Times New Roman" w:eastAsia="Times New Roman" w:hAnsi="Times New Roman"/>
          <w:sz w:val="24"/>
          <w:szCs w:val="24"/>
          <w:rtl w:val="0"/>
        </w:rPr>
        <w:t xml:space="preserve">BIK</w:t>
      </w:r>
      <w:r w:rsidDel="00000000" w:rsidR="00000000" w:rsidRPr="00000000">
        <w:rPr>
          <w:rFonts w:ascii="Times New Roman" w:cs="Times New Roman" w:eastAsia="Times New Roman" w:hAnsi="Times New Roman"/>
          <w:sz w:val="24"/>
          <w:szCs w:val="24"/>
          <w:rtl w:val="0"/>
        </w:rPr>
        <w:t xml:space="preserve"> gene was observed in the credible set (PIP 0.44). Common variants in the locus have been previously associated with prostate cancer</w:t>
      </w:r>
      <w:r w:rsidDel="00000000" w:rsidR="00000000" w:rsidRPr="00000000">
        <w:rPr>
          <w:rFonts w:ascii="Times New Roman" w:cs="Times New Roman" w:eastAsia="Times New Roman" w:hAnsi="Times New Roman"/>
          <w:sz w:val="24"/>
          <w:szCs w:val="24"/>
          <w:vertAlign w:val="superscript"/>
          <w:rtl w:val="0"/>
        </w:rPr>
        <w:t xml:space="preserve">6</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BIK</w:t>
      </w:r>
      <w:r w:rsidDel="00000000" w:rsidR="00000000" w:rsidRPr="00000000">
        <w:rPr>
          <w:rFonts w:ascii="Times New Roman" w:cs="Times New Roman" w:eastAsia="Times New Roman" w:hAnsi="Times New Roman"/>
          <w:sz w:val="24"/>
          <w:szCs w:val="24"/>
          <w:rtl w:val="0"/>
        </w:rPr>
        <w:t xml:space="preserve"> (BCL-2 interacting killer) gene product is a pro-apoptotic protein that has been suggested to  act as a  tumor suppressor gene</w:t>
      </w:r>
      <w:r w:rsidDel="00000000" w:rsidR="00000000" w:rsidRPr="00000000">
        <w:rPr>
          <w:rFonts w:ascii="Times New Roman" w:cs="Times New Roman" w:eastAsia="Times New Roman" w:hAnsi="Times New Roman"/>
          <w:sz w:val="24"/>
          <w:szCs w:val="24"/>
          <w:vertAlign w:val="superscript"/>
          <w:rtl w:val="0"/>
        </w:rPr>
        <w:t xml:space="preserve">7</w:t>
      </w:r>
      <w:r w:rsidDel="00000000" w:rsidR="00000000" w:rsidRPr="00000000">
        <w:rPr>
          <w:rFonts w:ascii="Times New Roman" w:cs="Times New Roman" w:eastAsia="Times New Roman" w:hAnsi="Times New Roman"/>
          <w:sz w:val="24"/>
          <w:szCs w:val="24"/>
          <w:rtl w:val="0"/>
        </w:rPr>
        <w:t xml:space="preserve"> and to be a marker for a more aggressive breast cancer</w:t>
      </w:r>
      <w:r w:rsidDel="00000000" w:rsidR="00000000" w:rsidRPr="00000000">
        <w:rPr>
          <w:rFonts w:ascii="Times New Roman" w:cs="Times New Roman" w:eastAsia="Times New Roman" w:hAnsi="Times New Roman"/>
          <w:sz w:val="24"/>
          <w:szCs w:val="24"/>
          <w:vertAlign w:val="superscript"/>
          <w:rtl w:val="0"/>
        </w:rPr>
        <w:t xml:space="preserve">8</w:t>
      </w:r>
      <w:r w:rsidDel="00000000" w:rsidR="00000000" w:rsidRPr="00000000">
        <w:rPr>
          <w:rFonts w:ascii="Times New Roman" w:cs="Times New Roman" w:eastAsia="Times New Roman" w:hAnsi="Times New Roman"/>
          <w:sz w:val="24"/>
          <w:szCs w:val="24"/>
          <w:rtl w:val="0"/>
        </w:rPr>
        <w:t xml:space="preserve">.  Somatic prostate cancer mutations in </w:t>
      </w:r>
      <w:r w:rsidDel="00000000" w:rsidR="00000000" w:rsidRPr="00000000">
        <w:rPr>
          <w:rFonts w:ascii="Times New Roman" w:cs="Times New Roman" w:eastAsia="Times New Roman" w:hAnsi="Times New Roman"/>
          <w:sz w:val="24"/>
          <w:szCs w:val="24"/>
          <w:rtl w:val="0"/>
        </w:rPr>
        <w:t xml:space="preserve">BIK</w:t>
      </w:r>
      <w:r w:rsidDel="00000000" w:rsidR="00000000" w:rsidRPr="00000000">
        <w:rPr>
          <w:rFonts w:ascii="Times New Roman" w:cs="Times New Roman" w:eastAsia="Times New Roman" w:hAnsi="Times New Roman"/>
          <w:sz w:val="24"/>
          <w:szCs w:val="24"/>
          <w:rtl w:val="0"/>
        </w:rPr>
        <w:t xml:space="preserve"> have been observed, however no direct evidence of inherited coding variation has previously been reported as associated with prostate cancer.</w:t>
      </w:r>
    </w:p>
    <w:p w:rsidR="00000000" w:rsidDel="00000000" w:rsidP="00000000" w:rsidRDefault="00000000" w:rsidRPr="00000000" w14:paraId="0000000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other prostate cancer association (chr17_42937117_C_G, OR 7.1 p 1.21 * 10</w:t>
      </w:r>
      <w:r w:rsidDel="00000000" w:rsidR="00000000" w:rsidRPr="00000000">
        <w:rPr>
          <w:rFonts w:ascii="Times New Roman" w:cs="Times New Roman" w:eastAsia="Times New Roman" w:hAnsi="Times New Roman"/>
          <w:sz w:val="24"/>
          <w:szCs w:val="24"/>
          <w:rtl w:val="0"/>
        </w:rPr>
        <w:t xml:space="preserve">-8</w:t>
      </w:r>
      <w:r w:rsidDel="00000000" w:rsidR="00000000" w:rsidRPr="00000000">
        <w:rPr>
          <w:rFonts w:ascii="Times New Roman" w:cs="Times New Roman" w:eastAsia="Times New Roman" w:hAnsi="Times New Roman"/>
          <w:sz w:val="24"/>
          <w:szCs w:val="24"/>
          <w:rtl w:val="0"/>
        </w:rPr>
        <w:t xml:space="preserve">, MAF 0.1%) was a very rare variant with only 3 copies observed in gnomAD (2 in Finns and 1 in ‘Other’ gnomAd population). Replication of the association was not possible due to the variant’s rarity in other populations and replication in an independent cohort is warranted. The lead variant (PIP 0.62) is a non-coding variant downstream from </w:t>
      </w:r>
      <w:r w:rsidDel="00000000" w:rsidR="00000000" w:rsidRPr="00000000">
        <w:rPr>
          <w:rFonts w:ascii="Times New Roman" w:cs="Times New Roman" w:eastAsia="Times New Roman" w:hAnsi="Times New Roman"/>
          <w:sz w:val="24"/>
          <w:szCs w:val="24"/>
          <w:rtl w:val="0"/>
        </w:rPr>
        <w:t xml:space="preserve">SNORA40 </w:t>
      </w:r>
      <w:r w:rsidDel="00000000" w:rsidR="00000000" w:rsidRPr="00000000">
        <w:rPr>
          <w:rFonts w:ascii="Times New Roman" w:cs="Times New Roman" w:eastAsia="Times New Roman" w:hAnsi="Times New Roman"/>
          <w:sz w:val="24"/>
          <w:szCs w:val="24"/>
          <w:rtl w:val="0"/>
        </w:rPr>
        <w:t xml:space="preserve">and the other equally rare (3 copies in Finns and 1 in ‘Other’ populations in gnomAD) variant (chr17_42372576_G_C, </w:t>
      </w:r>
      <w:r w:rsidDel="00000000" w:rsidR="00000000" w:rsidRPr="00000000">
        <w:rPr>
          <w:rFonts w:ascii="Times New Roman" w:cs="Times New Roman" w:eastAsia="Times New Roman" w:hAnsi="Times New Roman"/>
          <w:sz w:val="24"/>
          <w:szCs w:val="24"/>
          <w:rtl w:val="0"/>
        </w:rPr>
        <w:t xml:space="preserve">rs1202093388, MAF 0.09%, OR 9.4, 5.1*10</w:t>
      </w:r>
      <w:r w:rsidDel="00000000" w:rsidR="00000000" w:rsidRPr="00000000">
        <w:rPr>
          <w:rFonts w:ascii="Times New Roman" w:cs="Times New Roman" w:eastAsia="Times New Roman" w:hAnsi="Times New Roman"/>
          <w:sz w:val="24"/>
          <w:szCs w:val="24"/>
          <w:rtl w:val="0"/>
        </w:rPr>
        <w:t xml:space="preserve">-8</w:t>
      </w:r>
      <w:r w:rsidDel="00000000" w:rsidR="00000000" w:rsidRPr="00000000">
        <w:rPr>
          <w:rFonts w:ascii="Times New Roman" w:cs="Times New Roman" w:eastAsia="Times New Roman" w:hAnsi="Times New Roman"/>
          <w:sz w:val="24"/>
          <w:szCs w:val="24"/>
          <w:rtl w:val="0"/>
        </w:rPr>
        <w:t xml:space="preserve">, PIP 0.37</w:t>
      </w:r>
      <w:r w:rsidDel="00000000" w:rsidR="00000000" w:rsidRPr="00000000">
        <w:rPr>
          <w:rFonts w:ascii="Times New Roman" w:cs="Times New Roman" w:eastAsia="Times New Roman" w:hAnsi="Times New Roman"/>
          <w:sz w:val="24"/>
          <w:szCs w:val="24"/>
          <w:rtl w:val="0"/>
        </w:rPr>
        <w:t xml:space="preserve">) in 95% credible set resides 600kb away in an intron of </w:t>
      </w:r>
      <w:r w:rsidDel="00000000" w:rsidR="00000000" w:rsidRPr="00000000">
        <w:rPr>
          <w:rFonts w:ascii="Times New Roman" w:cs="Times New Roman" w:eastAsia="Times New Roman" w:hAnsi="Times New Roman"/>
          <w:sz w:val="24"/>
          <w:szCs w:val="24"/>
          <w:rtl w:val="0"/>
        </w:rPr>
        <w:t xml:space="preserve">STAT3.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SNORA40</w:t>
      </w:r>
      <w:r w:rsidDel="00000000" w:rsidR="00000000" w:rsidRPr="00000000">
        <w:rPr>
          <w:rFonts w:ascii="Times New Roman" w:cs="Times New Roman" w:eastAsia="Times New Roman" w:hAnsi="Times New Roman"/>
          <w:sz w:val="24"/>
          <w:szCs w:val="24"/>
          <w:rtl w:val="0"/>
        </w:rPr>
        <w:t xml:space="preserve"> codes for small nucleolar RNA (SNORA), the role of which in cancer are not very well characterized but differential expression associations of several SNORAs with different cancers have been observed</w:t>
      </w:r>
      <w:r w:rsidDel="00000000" w:rsidR="00000000" w:rsidRPr="00000000">
        <w:rPr>
          <w:rFonts w:ascii="Times New Roman" w:cs="Times New Roman" w:eastAsia="Times New Roman" w:hAnsi="Times New Roman"/>
          <w:sz w:val="24"/>
          <w:szCs w:val="24"/>
          <w:vertAlign w:val="superscript"/>
          <w:rtl w:val="0"/>
        </w:rPr>
        <w:t xml:space="preserve">9</w:t>
      </w:r>
      <w:r w:rsidDel="00000000" w:rsidR="00000000" w:rsidRPr="00000000">
        <w:rPr>
          <w:rFonts w:ascii="Times New Roman" w:cs="Times New Roman" w:eastAsia="Times New Roman" w:hAnsi="Times New Roman"/>
          <w:sz w:val="24"/>
          <w:szCs w:val="24"/>
          <w:rtl w:val="0"/>
        </w:rPr>
        <w:t xml:space="preserve">. Hyperactivation of </w:t>
      </w:r>
      <w:r w:rsidDel="00000000" w:rsidR="00000000" w:rsidRPr="00000000">
        <w:rPr>
          <w:rFonts w:ascii="Times New Roman" w:cs="Times New Roman" w:eastAsia="Times New Roman" w:hAnsi="Times New Roman"/>
          <w:sz w:val="24"/>
          <w:szCs w:val="24"/>
          <w:rtl w:val="0"/>
        </w:rPr>
        <w:t xml:space="preserve">STAT3</w:t>
      </w:r>
      <w:r w:rsidDel="00000000" w:rsidR="00000000" w:rsidRPr="00000000">
        <w:rPr>
          <w:rFonts w:ascii="Times New Roman" w:cs="Times New Roman" w:eastAsia="Times New Roman" w:hAnsi="Times New Roman"/>
          <w:sz w:val="24"/>
          <w:szCs w:val="24"/>
          <w:rtl w:val="0"/>
        </w:rPr>
        <w:t xml:space="preserve"> however has been observed in the majority of cancers and their prognosis including prostate cancer</w:t>
      </w:r>
      <w:r w:rsidDel="00000000" w:rsidR="00000000" w:rsidRPr="00000000">
        <w:rPr>
          <w:rFonts w:ascii="Times New Roman" w:cs="Times New Roman" w:eastAsia="Times New Roman" w:hAnsi="Times New Roman"/>
          <w:sz w:val="24"/>
          <w:szCs w:val="24"/>
          <w:vertAlign w:val="superscript"/>
          <w:rtl w:val="0"/>
        </w:rPr>
        <w:t xml:space="preserve">10</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STAT3</w:t>
      </w:r>
      <w:r w:rsidDel="00000000" w:rsidR="00000000" w:rsidRPr="00000000">
        <w:rPr>
          <w:rFonts w:ascii="Times New Roman" w:cs="Times New Roman" w:eastAsia="Times New Roman" w:hAnsi="Times New Roman"/>
          <w:sz w:val="24"/>
          <w:szCs w:val="24"/>
          <w:rtl w:val="0"/>
        </w:rPr>
        <w:t xml:space="preserve"> is a transcription factor activated by IL6/JAK/STAT3-pathway and mediates many inflammatory processes. Chronic inflammation can induce development and progression of tumors</w:t>
      </w:r>
      <w:r w:rsidDel="00000000" w:rsidR="00000000" w:rsidRPr="00000000">
        <w:rPr>
          <w:rFonts w:ascii="Times New Roman" w:cs="Times New Roman" w:eastAsia="Times New Roman" w:hAnsi="Times New Roman"/>
          <w:sz w:val="24"/>
          <w:szCs w:val="24"/>
          <w:vertAlign w:val="superscript"/>
          <w:rtl w:val="0"/>
        </w:rPr>
        <w:t xml:space="preserve">10</w:t>
      </w:r>
      <w:r w:rsidDel="00000000" w:rsidR="00000000" w:rsidRPr="00000000">
        <w:rPr>
          <w:rFonts w:ascii="Times New Roman" w:cs="Times New Roman" w:eastAsia="Times New Roman" w:hAnsi="Times New Roman"/>
          <w:sz w:val="24"/>
          <w:szCs w:val="24"/>
          <w:rtl w:val="0"/>
        </w:rPr>
        <w:t xml:space="preserve">.  Protein-truncating and missense variants in </w:t>
      </w:r>
      <w:r w:rsidDel="00000000" w:rsidR="00000000" w:rsidRPr="00000000">
        <w:rPr>
          <w:rFonts w:ascii="Times New Roman" w:cs="Times New Roman" w:eastAsia="Times New Roman" w:hAnsi="Times New Roman"/>
          <w:sz w:val="24"/>
          <w:szCs w:val="24"/>
          <w:rtl w:val="0"/>
        </w:rPr>
        <w:t xml:space="preserve">STAT3</w:t>
      </w:r>
      <w:r w:rsidDel="00000000" w:rsidR="00000000" w:rsidRPr="00000000">
        <w:rPr>
          <w:rFonts w:ascii="Times New Roman" w:cs="Times New Roman" w:eastAsia="Times New Roman" w:hAnsi="Times New Roman"/>
          <w:sz w:val="24"/>
          <w:szCs w:val="24"/>
          <w:rtl w:val="0"/>
        </w:rPr>
        <w:t xml:space="preserve"> are depleted in human populations ( PTV observed/expected upper bound 0.1, missense observed/expected upped bound 0.36; gnomAD v2.1.1</w:t>
      </w:r>
      <w:r w:rsidDel="00000000" w:rsidR="00000000" w:rsidRPr="00000000">
        <w:rPr>
          <w:rFonts w:ascii="Times New Roman" w:cs="Times New Roman" w:eastAsia="Times New Roman" w:hAnsi="Times New Roman"/>
          <w:sz w:val="24"/>
          <w:szCs w:val="24"/>
          <w:rtl w:val="0"/>
        </w:rPr>
        <w:t xml:space="preserve">11</w:t>
      </w:r>
      <w:r w:rsidDel="00000000" w:rsidR="00000000" w:rsidRPr="00000000">
        <w:rPr>
          <w:rFonts w:ascii="Times New Roman" w:cs="Times New Roman" w:eastAsia="Times New Roman" w:hAnsi="Times New Roman"/>
          <w:sz w:val="24"/>
          <w:szCs w:val="24"/>
          <w:rtl w:val="0"/>
        </w:rPr>
        <w:t xml:space="preserve">). No effect on survival was observed in cases only survival analysis from diagnosis to death (hazard ratio 1.04, p 0.94). </w:t>
        <w:tab/>
      </w:r>
    </w:p>
    <w:p w:rsidR="00000000" w:rsidDel="00000000" w:rsidP="00000000" w:rsidRDefault="00000000" w:rsidRPr="00000000" w14:paraId="0000001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Asthma</w:t>
      </w:r>
    </w:p>
    <w:p w:rsidR="00000000" w:rsidDel="00000000" w:rsidP="00000000" w:rsidRDefault="00000000" w:rsidRPr="00000000" w14:paraId="00000013">
      <w:pPr>
        <w:spacing w:line="360" w:lineRule="auto"/>
        <w:rPr>
          <w:rFonts w:ascii="Roboto" w:cs="Roboto" w:eastAsia="Roboto" w:hAnsi="Roboto"/>
          <w:sz w:val="21"/>
          <w:szCs w:val="21"/>
          <w:shd w:fill="fafafa" w:val="clear"/>
        </w:rPr>
      </w:pPr>
      <w:r w:rsidDel="00000000" w:rsidR="00000000" w:rsidRPr="00000000">
        <w:rPr>
          <w:rFonts w:ascii="Times New Roman" w:cs="Times New Roman" w:eastAsia="Times New Roman" w:hAnsi="Times New Roman"/>
          <w:sz w:val="24"/>
          <w:szCs w:val="24"/>
          <w:rtl w:val="0"/>
        </w:rPr>
        <w:t xml:space="preserve">Another interesting locus where we observed coding variants (missense in </w:t>
      </w:r>
      <w:r w:rsidDel="00000000" w:rsidR="00000000" w:rsidRPr="00000000">
        <w:rPr>
          <w:rFonts w:ascii="Times New Roman" w:cs="Times New Roman" w:eastAsia="Times New Roman" w:hAnsi="Times New Roman"/>
          <w:sz w:val="24"/>
          <w:szCs w:val="24"/>
          <w:rtl w:val="0"/>
        </w:rPr>
        <w:t xml:space="preserve">IL4R</w:t>
      </w:r>
      <w:r w:rsidDel="00000000" w:rsidR="00000000" w:rsidRPr="00000000">
        <w:rPr>
          <w:rFonts w:ascii="Times New Roman" w:cs="Times New Roman" w:eastAsia="Times New Roman" w:hAnsi="Times New Roman"/>
          <w:sz w:val="24"/>
          <w:szCs w:val="24"/>
          <w:rtl w:val="0"/>
        </w:rPr>
        <w:t xml:space="preserve">, p.Ala82Thr,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PIP 0.21</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within credible sets was associated with both asthma (FinnGen AF 8.2%, OR 0.86, p 2.5*10</w:t>
      </w:r>
      <w:r w:rsidDel="00000000" w:rsidR="00000000" w:rsidRPr="00000000">
        <w:rPr>
          <w:rFonts w:ascii="Times New Roman" w:cs="Times New Roman" w:eastAsia="Times New Roman" w:hAnsi="Times New Roman"/>
          <w:sz w:val="24"/>
          <w:szCs w:val="24"/>
          <w:rtl w:val="0"/>
        </w:rPr>
        <w:t xml:space="preserve">-12</w:t>
      </w:r>
      <w:r w:rsidDel="00000000" w:rsidR="00000000" w:rsidRPr="00000000">
        <w:rPr>
          <w:rFonts w:ascii="Times New Roman" w:cs="Times New Roman" w:eastAsia="Times New Roman" w:hAnsi="Times New Roman"/>
          <w:sz w:val="24"/>
          <w:szCs w:val="24"/>
          <w:rtl w:val="0"/>
        </w:rPr>
        <w:t xml:space="preserve">, meta p 5.31*10</w:t>
      </w:r>
      <w:r w:rsidDel="00000000" w:rsidR="00000000" w:rsidRPr="00000000">
        <w:rPr>
          <w:rFonts w:ascii="Times New Roman" w:cs="Times New Roman" w:eastAsia="Times New Roman" w:hAnsi="Times New Roman"/>
          <w:sz w:val="24"/>
          <w:szCs w:val="24"/>
          <w:rtl w:val="0"/>
        </w:rPr>
        <w:t xml:space="preserve">-9</w:t>
      </w:r>
      <w:r w:rsidDel="00000000" w:rsidR="00000000" w:rsidRPr="00000000">
        <w:rPr>
          <w:rFonts w:ascii="Times New Roman" w:cs="Times New Roman" w:eastAsia="Times New Roman" w:hAnsi="Times New Roman"/>
          <w:sz w:val="24"/>
          <w:szCs w:val="24"/>
          <w:rtl w:val="0"/>
        </w:rPr>
        <w:t xml:space="preserve"> ) and  psoriasis  (FinnGen OR 1.28, p 3.48*</w:t>
      </w:r>
      <w:r w:rsidDel="00000000" w:rsidR="00000000" w:rsidRPr="00000000">
        <w:rPr>
          <w:rFonts w:ascii="Times New Roman" w:cs="Times New Roman" w:eastAsia="Times New Roman" w:hAnsi="Times New Roman"/>
          <w:sz w:val="24"/>
          <w:szCs w:val="24"/>
          <w:rtl w:val="0"/>
        </w:rPr>
        <w:t xml:space="preserve">10-9</w:t>
      </w:r>
      <w:r w:rsidDel="00000000" w:rsidR="00000000" w:rsidRPr="00000000">
        <w:rPr>
          <w:rFonts w:ascii="Times New Roman" w:cs="Times New Roman" w:eastAsia="Times New Roman" w:hAnsi="Times New Roman"/>
          <w:sz w:val="24"/>
          <w:szCs w:val="24"/>
          <w:rtl w:val="0"/>
        </w:rPr>
        <w:t xml:space="preserve">, meta p 1.92*10</w:t>
      </w:r>
      <w:r w:rsidDel="00000000" w:rsidR="00000000" w:rsidRPr="00000000">
        <w:rPr>
          <w:rFonts w:ascii="Times New Roman" w:cs="Times New Roman" w:eastAsia="Times New Roman" w:hAnsi="Times New Roman"/>
          <w:sz w:val="24"/>
          <w:szCs w:val="24"/>
          <w:rtl w:val="0"/>
        </w:rPr>
        <w:t xml:space="preserve">-11</w:t>
      </w:r>
      <w:r w:rsidDel="00000000" w:rsidR="00000000" w:rsidRPr="00000000">
        <w:rPr>
          <w:rFonts w:ascii="Times New Roman" w:cs="Times New Roman" w:eastAsia="Times New Roman" w:hAnsi="Times New Roman"/>
          <w:sz w:val="24"/>
          <w:szCs w:val="24"/>
          <w:rtl w:val="0"/>
        </w:rPr>
        <w:t xml:space="preserve">)  but with an opposing direction of effect. </w:t>
      </w:r>
      <w:r w:rsidDel="00000000" w:rsidR="00000000" w:rsidRPr="00000000">
        <w:rPr>
          <w:rFonts w:ascii="Times New Roman" w:cs="Times New Roman" w:eastAsia="Times New Roman" w:hAnsi="Times New Roman"/>
          <w:sz w:val="24"/>
          <w:szCs w:val="24"/>
          <w:rtl w:val="0"/>
        </w:rPr>
        <w:t xml:space="preserve">IL4R</w:t>
      </w:r>
      <w:r w:rsidDel="00000000" w:rsidR="00000000" w:rsidRPr="00000000">
        <w:rPr>
          <w:rFonts w:ascii="Times New Roman" w:cs="Times New Roman" w:eastAsia="Times New Roman" w:hAnsi="Times New Roman"/>
          <w:sz w:val="24"/>
          <w:szCs w:val="24"/>
          <w:rtl w:val="0"/>
        </w:rPr>
        <w:t xml:space="preserve"> codes for IL4α subunit that is part of receptor complexes for both cytokines </w:t>
      </w:r>
      <w:r w:rsidDel="00000000" w:rsidR="00000000" w:rsidRPr="00000000">
        <w:rPr>
          <w:rFonts w:ascii="Times New Roman" w:cs="Times New Roman" w:eastAsia="Times New Roman" w:hAnsi="Times New Roman"/>
          <w:sz w:val="24"/>
          <w:szCs w:val="24"/>
          <w:rtl w:val="0"/>
        </w:rPr>
        <w:t xml:space="preserve">IL4</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IL13</w:t>
      </w:r>
      <w:r w:rsidDel="00000000" w:rsidR="00000000" w:rsidRPr="00000000">
        <w:rPr>
          <w:rFonts w:ascii="Times New Roman" w:cs="Times New Roman" w:eastAsia="Times New Roman" w:hAnsi="Times New Roman"/>
          <w:sz w:val="24"/>
          <w:szCs w:val="24"/>
          <w:rtl w:val="0"/>
        </w:rPr>
        <w:t xml:space="preserve">, which are key cytokines in the type ​​II inflammatory response triggered by allergens or parasites (see</w:t>
      </w:r>
      <w:r w:rsidDel="00000000" w:rsidR="00000000" w:rsidRPr="00000000">
        <w:rPr>
          <w:rFonts w:ascii="Times New Roman" w:cs="Times New Roman" w:eastAsia="Times New Roman" w:hAnsi="Times New Roman"/>
          <w:sz w:val="24"/>
          <w:szCs w:val="24"/>
          <w:vertAlign w:val="superscript"/>
          <w:rtl w:val="0"/>
        </w:rPr>
        <w:t xml:space="preserve">12</w:t>
      </w:r>
      <w:r w:rsidDel="00000000" w:rsidR="00000000" w:rsidRPr="00000000">
        <w:rPr>
          <w:rFonts w:ascii="Times New Roman" w:cs="Times New Roman" w:eastAsia="Times New Roman" w:hAnsi="Times New Roman"/>
          <w:sz w:val="24"/>
          <w:szCs w:val="24"/>
          <w:rtl w:val="0"/>
        </w:rPr>
        <w:t xml:space="preserve"> for a detailed review). The key role of type II inflammatory response in asthma has long been recognized</w:t>
      </w:r>
      <w:r w:rsidDel="00000000" w:rsidR="00000000" w:rsidRPr="00000000">
        <w:rPr>
          <w:rFonts w:ascii="Times New Roman" w:cs="Times New Roman" w:eastAsia="Times New Roman" w:hAnsi="Times New Roman"/>
          <w:sz w:val="24"/>
          <w:szCs w:val="24"/>
          <w:rtl w:val="0"/>
        </w:rPr>
        <w:t xml:space="preserve">13</w:t>
      </w:r>
      <w:r w:rsidDel="00000000" w:rsidR="00000000" w:rsidRPr="00000000">
        <w:rPr>
          <w:rFonts w:ascii="Times New Roman" w:cs="Times New Roman" w:eastAsia="Times New Roman" w:hAnsi="Times New Roman"/>
          <w:sz w:val="24"/>
          <w:szCs w:val="24"/>
          <w:rtl w:val="0"/>
        </w:rPr>
        <w:t xml:space="preserve"> and variants in 5q31 locus containing the genes coding for </w:t>
      </w:r>
      <w:r w:rsidDel="00000000" w:rsidR="00000000" w:rsidRPr="00000000">
        <w:rPr>
          <w:rFonts w:ascii="Times New Roman" w:cs="Times New Roman" w:eastAsia="Times New Roman" w:hAnsi="Times New Roman"/>
          <w:sz w:val="24"/>
          <w:szCs w:val="24"/>
          <w:rtl w:val="0"/>
        </w:rPr>
        <w:t xml:space="preserve">IL4</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IL13</w:t>
      </w:r>
      <w:r w:rsidDel="00000000" w:rsidR="00000000" w:rsidRPr="00000000">
        <w:rPr>
          <w:rFonts w:ascii="Times New Roman" w:cs="Times New Roman" w:eastAsia="Times New Roman" w:hAnsi="Times New Roman"/>
          <w:sz w:val="24"/>
          <w:szCs w:val="24"/>
          <w:rtl w:val="0"/>
        </w:rPr>
        <w:t xml:space="preserve"> have been associated with asthma in GWA studies</w:t>
      </w:r>
      <w:r w:rsidDel="00000000" w:rsidR="00000000" w:rsidRPr="00000000">
        <w:rPr>
          <w:rFonts w:ascii="Times New Roman" w:cs="Times New Roman" w:eastAsia="Times New Roman" w:hAnsi="Times New Roman"/>
          <w:sz w:val="24"/>
          <w:szCs w:val="24"/>
          <w:vertAlign w:val="superscript"/>
          <w:rtl w:val="0"/>
        </w:rPr>
        <w:t xml:space="preserve">14</w:t>
      </w:r>
      <w:r w:rsidDel="00000000" w:rsidR="00000000" w:rsidRPr="00000000">
        <w:rPr>
          <w:rFonts w:ascii="Times New Roman" w:cs="Times New Roman" w:eastAsia="Times New Roman" w:hAnsi="Times New Roman"/>
          <w:sz w:val="24"/>
          <w:szCs w:val="24"/>
          <w:rtl w:val="0"/>
        </w:rPr>
        <w:t xml:space="preserve">. Asthma, atopic dermatitis and hay fever often co-occur and are referred collectively to as atopic diseases</w:t>
      </w:r>
      <w:r w:rsidDel="00000000" w:rsidR="00000000" w:rsidRPr="00000000">
        <w:rPr>
          <w:rFonts w:ascii="Times New Roman" w:cs="Times New Roman" w:eastAsia="Times New Roman" w:hAnsi="Times New Roman"/>
          <w:sz w:val="24"/>
          <w:szCs w:val="24"/>
          <w:vertAlign w:val="superscript"/>
          <w:rtl w:val="0"/>
        </w:rPr>
        <w:t xml:space="preserve">15</w:t>
      </w:r>
      <w:r w:rsidDel="00000000" w:rsidR="00000000" w:rsidRPr="00000000">
        <w:rPr>
          <w:rFonts w:ascii="Times New Roman" w:cs="Times New Roman" w:eastAsia="Times New Roman" w:hAnsi="Times New Roman"/>
          <w:sz w:val="24"/>
          <w:szCs w:val="24"/>
          <w:rtl w:val="0"/>
        </w:rPr>
        <w:t xml:space="preserve">.  The effect direction of this association was consistent with that of asthma in atopic dermatitis (OR 0.9, p 2.4 * 10</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24"/>
          <w:szCs w:val="24"/>
          <w:rtl w:val="0"/>
        </w:rPr>
        <w:t xml:space="preserve">). The reversed effect direction in psoriasis was surprising as there is no evidence that in psoriasis there would be a contribution of  type II inflammation but type | and Th17 mediated inflammation</w:t>
      </w:r>
      <w:r w:rsidDel="00000000" w:rsidR="00000000" w:rsidRPr="00000000">
        <w:rPr>
          <w:rFonts w:ascii="Times New Roman" w:cs="Times New Roman" w:eastAsia="Times New Roman" w:hAnsi="Times New Roman"/>
          <w:sz w:val="24"/>
          <w:szCs w:val="24"/>
          <w:vertAlign w:val="superscript"/>
          <w:rtl w:val="0"/>
        </w:rPr>
        <w:t xml:space="preserve">16</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4">
      <w:pPr>
        <w:spacing w:line="360" w:lineRule="auto"/>
        <w:rPr>
          <w:rFonts w:ascii="Roboto" w:cs="Roboto" w:eastAsia="Roboto" w:hAnsi="Roboto"/>
          <w:sz w:val="21"/>
          <w:szCs w:val="21"/>
          <w:shd w:fill="fafafa" w:val="clear"/>
        </w:rPr>
      </w:pPr>
      <w:r w:rsidDel="00000000" w:rsidR="00000000" w:rsidRPr="00000000">
        <w:rPr>
          <w:rtl w:val="0"/>
        </w:rPr>
      </w:r>
    </w:p>
    <w:p w:rsidR="00000000" w:rsidDel="00000000" w:rsidP="00000000" w:rsidRDefault="00000000" w:rsidRPr="00000000" w14:paraId="00000015">
      <w:pPr>
        <w:spacing w:line="480" w:lineRule="auto"/>
        <w:ind w:left="384.00000000000006" w:hanging="384.00000000000006"/>
        <w:rPr>
          <w:rFonts w:ascii="Roboto" w:cs="Roboto" w:eastAsia="Roboto" w:hAnsi="Roboto"/>
          <w:sz w:val="21"/>
          <w:szCs w:val="21"/>
          <w:shd w:fill="fafafa" w:val="clear"/>
        </w:rPr>
      </w:pPr>
      <w:r w:rsidDel="00000000" w:rsidR="00000000" w:rsidRPr="00000000">
        <w:rPr>
          <w:vertAlign w:val="baseline"/>
          <w:rtl w:val="0"/>
        </w:rPr>
        <w:t xml:space="preserve">1.</w:t>
        <w:tab/>
        <w:t xml:space="preserve">Taylor, D. L. </w:t>
      </w:r>
      <w:r w:rsidDel="00000000" w:rsidR="00000000" w:rsidRPr="00000000">
        <w:rPr>
          <w:i w:val="1"/>
          <w:vertAlign w:val="baseline"/>
          <w:rtl w:val="0"/>
        </w:rPr>
        <w:t xml:space="preserve">et al.</w:t>
      </w:r>
      <w:r w:rsidDel="00000000" w:rsidR="00000000" w:rsidRPr="00000000">
        <w:rPr>
          <w:vertAlign w:val="baseline"/>
          <w:rtl w:val="0"/>
        </w:rPr>
        <w:t xml:space="preserve"> Integrative analysis of gene expression, DNA methylation, physiological traits, and genetic variation in human skeletal muscle. </w:t>
      </w:r>
      <w:r w:rsidDel="00000000" w:rsidR="00000000" w:rsidRPr="00000000">
        <w:rPr>
          <w:i w:val="1"/>
          <w:vertAlign w:val="baseline"/>
          <w:rtl w:val="0"/>
        </w:rPr>
        <w:t xml:space="preserve">Proc. Natl. Acad. Sci. </w:t>
      </w:r>
      <w:r w:rsidDel="00000000" w:rsidR="00000000" w:rsidRPr="00000000">
        <w:rPr>
          <w:b w:val="1"/>
          <w:vertAlign w:val="baseline"/>
          <w:rtl w:val="0"/>
        </w:rPr>
        <w:t xml:space="preserve">116</w:t>
      </w:r>
      <w:r w:rsidDel="00000000" w:rsidR="00000000" w:rsidRPr="00000000">
        <w:rPr>
          <w:vertAlign w:val="baseline"/>
          <w:rtl w:val="0"/>
        </w:rPr>
        <w:t xml:space="preserve">, 10883–10888 (2019).</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rFonts w:ascii="Roboto" w:cs="Roboto" w:eastAsia="Roboto" w:hAnsi="Roboto"/>
          <w:sz w:val="21"/>
          <w:szCs w:val="21"/>
          <w:shd w:fill="fafafa" w:val="clear"/>
        </w:rPr>
      </w:pPr>
      <w:r w:rsidDel="00000000" w:rsidR="00000000" w:rsidRPr="00000000">
        <w:rPr>
          <w:vertAlign w:val="baseline"/>
          <w:rtl w:val="0"/>
        </w:rPr>
        <w:t xml:space="preserve">2.</w:t>
        <w:tab/>
        <w:t xml:space="preserve">Seddon, J. M. </w:t>
      </w:r>
      <w:r w:rsidDel="00000000" w:rsidR="00000000" w:rsidRPr="00000000">
        <w:rPr>
          <w:i w:val="1"/>
          <w:vertAlign w:val="baseline"/>
          <w:rtl w:val="0"/>
        </w:rPr>
        <w:t xml:space="preserve">et al.</w:t>
      </w:r>
      <w:r w:rsidDel="00000000" w:rsidR="00000000" w:rsidRPr="00000000">
        <w:rPr>
          <w:vertAlign w:val="baseline"/>
          <w:rtl w:val="0"/>
        </w:rPr>
        <w:t xml:space="preserve"> Rare variants in CFI , C3 and C9 are associated with high risk of advanced age-related macular degeneration. </w:t>
      </w:r>
      <w:r w:rsidDel="00000000" w:rsidR="00000000" w:rsidRPr="00000000">
        <w:rPr>
          <w:i w:val="1"/>
          <w:vertAlign w:val="baseline"/>
          <w:rtl w:val="0"/>
        </w:rPr>
        <w:t xml:space="preserve">Nat. Genet. </w:t>
      </w:r>
      <w:r w:rsidDel="00000000" w:rsidR="00000000" w:rsidRPr="00000000">
        <w:rPr>
          <w:b w:val="1"/>
          <w:vertAlign w:val="baseline"/>
          <w:rtl w:val="0"/>
        </w:rPr>
        <w:t xml:space="preserve">45</w:t>
      </w:r>
      <w:r w:rsidDel="00000000" w:rsidR="00000000" w:rsidRPr="00000000">
        <w:rPr>
          <w:vertAlign w:val="baseline"/>
          <w:rtl w:val="0"/>
        </w:rPr>
        <w:t xml:space="preserve">, 1366–1370 (2013).</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rFonts w:ascii="Roboto" w:cs="Roboto" w:eastAsia="Roboto" w:hAnsi="Roboto"/>
          <w:sz w:val="21"/>
          <w:szCs w:val="21"/>
          <w:shd w:fill="fafafa" w:val="clear"/>
        </w:rPr>
      </w:pPr>
      <w:r w:rsidDel="00000000" w:rsidR="00000000" w:rsidRPr="00000000">
        <w:rPr>
          <w:vertAlign w:val="baseline"/>
          <w:rtl w:val="0"/>
        </w:rPr>
        <w:t xml:space="preserve">3.</w:t>
        <w:tab/>
        <w:t xml:space="preserve">Thorolfsdottir, R. B. </w:t>
      </w:r>
      <w:r w:rsidDel="00000000" w:rsidR="00000000" w:rsidRPr="00000000">
        <w:rPr>
          <w:i w:val="1"/>
          <w:vertAlign w:val="baseline"/>
          <w:rtl w:val="0"/>
        </w:rPr>
        <w:t xml:space="preserve">et al.</w:t>
      </w:r>
      <w:r w:rsidDel="00000000" w:rsidR="00000000" w:rsidRPr="00000000">
        <w:rPr>
          <w:vertAlign w:val="baseline"/>
          <w:rtl w:val="0"/>
        </w:rPr>
        <w:t xml:space="preserve"> Coding variants in RPL3L and MYZAP increase risk of atrial fibrillation. </w:t>
      </w:r>
      <w:r w:rsidDel="00000000" w:rsidR="00000000" w:rsidRPr="00000000">
        <w:rPr>
          <w:i w:val="1"/>
          <w:vertAlign w:val="baseline"/>
          <w:rtl w:val="0"/>
        </w:rPr>
        <w:t xml:space="preserve">Commun. Biol. </w:t>
      </w:r>
      <w:r w:rsidDel="00000000" w:rsidR="00000000" w:rsidRPr="00000000">
        <w:rPr>
          <w:b w:val="1"/>
          <w:vertAlign w:val="baseline"/>
          <w:rtl w:val="0"/>
        </w:rPr>
        <w:t xml:space="preserve">1</w:t>
      </w:r>
      <w:r w:rsidDel="00000000" w:rsidR="00000000" w:rsidRPr="00000000">
        <w:rPr>
          <w:vertAlign w:val="baseline"/>
          <w:rtl w:val="0"/>
        </w:rPr>
        <w:t xml:space="preserve">, 1–9 (2018).</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rFonts w:ascii="Roboto" w:cs="Roboto" w:eastAsia="Roboto" w:hAnsi="Roboto"/>
          <w:sz w:val="21"/>
          <w:szCs w:val="21"/>
          <w:shd w:fill="fafafa" w:val="clear"/>
        </w:rPr>
      </w:pPr>
      <w:r w:rsidDel="00000000" w:rsidR="00000000" w:rsidRPr="00000000">
        <w:rPr>
          <w:vertAlign w:val="baseline"/>
          <w:rtl w:val="0"/>
        </w:rPr>
        <w:t xml:space="preserve">4.</w:t>
        <w:tab/>
        <w:t xml:space="preserve">Roselli, C. </w:t>
      </w:r>
      <w:r w:rsidDel="00000000" w:rsidR="00000000" w:rsidRPr="00000000">
        <w:rPr>
          <w:i w:val="1"/>
          <w:vertAlign w:val="baseline"/>
          <w:rtl w:val="0"/>
        </w:rPr>
        <w:t xml:space="preserve">et al.</w:t>
      </w:r>
      <w:r w:rsidDel="00000000" w:rsidR="00000000" w:rsidRPr="00000000">
        <w:rPr>
          <w:vertAlign w:val="baseline"/>
          <w:rtl w:val="0"/>
        </w:rPr>
        <w:t xml:space="preserve"> Multi-ethnic genome-wide association study for atrial fibrillation. </w:t>
      </w:r>
      <w:r w:rsidDel="00000000" w:rsidR="00000000" w:rsidRPr="00000000">
        <w:rPr>
          <w:i w:val="1"/>
          <w:vertAlign w:val="baseline"/>
          <w:rtl w:val="0"/>
        </w:rPr>
        <w:t xml:space="preserve">Nat. Genet. </w:t>
      </w:r>
      <w:r w:rsidDel="00000000" w:rsidR="00000000" w:rsidRPr="00000000">
        <w:rPr>
          <w:b w:val="1"/>
          <w:vertAlign w:val="baseline"/>
          <w:rtl w:val="0"/>
        </w:rPr>
        <w:t xml:space="preserve">50</w:t>
      </w:r>
      <w:r w:rsidDel="00000000" w:rsidR="00000000" w:rsidRPr="00000000">
        <w:rPr>
          <w:vertAlign w:val="baseline"/>
          <w:rtl w:val="0"/>
        </w:rPr>
        <w:t xml:space="preserve">, 1225–1233 (2018).</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rFonts w:ascii="Roboto" w:cs="Roboto" w:eastAsia="Roboto" w:hAnsi="Roboto"/>
          <w:sz w:val="21"/>
          <w:szCs w:val="21"/>
          <w:shd w:fill="fafafa" w:val="clear"/>
        </w:rPr>
      </w:pPr>
      <w:r w:rsidDel="00000000" w:rsidR="00000000" w:rsidRPr="00000000">
        <w:rPr>
          <w:vertAlign w:val="baseline"/>
          <w:rtl w:val="0"/>
        </w:rPr>
        <w:t xml:space="preserve">5.</w:t>
        <w:tab/>
        <w:t xml:space="preserve">Sun, B. B. </w:t>
      </w:r>
      <w:r w:rsidDel="00000000" w:rsidR="00000000" w:rsidRPr="00000000">
        <w:rPr>
          <w:i w:val="1"/>
          <w:vertAlign w:val="baseline"/>
          <w:rtl w:val="0"/>
        </w:rPr>
        <w:t xml:space="preserve">et al.</w:t>
      </w:r>
      <w:r w:rsidDel="00000000" w:rsidR="00000000" w:rsidRPr="00000000">
        <w:rPr>
          <w:vertAlign w:val="baseline"/>
          <w:rtl w:val="0"/>
        </w:rPr>
        <w:t xml:space="preserve"> Genetic associations of protein-coding variants in human disease. </w:t>
      </w:r>
      <w:r w:rsidDel="00000000" w:rsidR="00000000" w:rsidRPr="00000000">
        <w:rPr>
          <w:i w:val="1"/>
          <w:vertAlign w:val="baseline"/>
          <w:rtl w:val="0"/>
        </w:rPr>
        <w:t xml:space="preserve">Nature </w:t>
      </w:r>
      <w:r w:rsidDel="00000000" w:rsidR="00000000" w:rsidRPr="00000000">
        <w:rPr>
          <w:b w:val="1"/>
          <w:vertAlign w:val="baseline"/>
          <w:rtl w:val="0"/>
        </w:rPr>
        <w:t xml:space="preserve">603</w:t>
      </w:r>
      <w:r w:rsidDel="00000000" w:rsidR="00000000" w:rsidRPr="00000000">
        <w:rPr>
          <w:vertAlign w:val="baseline"/>
          <w:rtl w:val="0"/>
        </w:rPr>
        <w:t xml:space="preserve">, 95–102 (2022).</w:t>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rFonts w:ascii="Roboto" w:cs="Roboto" w:eastAsia="Roboto" w:hAnsi="Roboto"/>
          <w:sz w:val="21"/>
          <w:szCs w:val="21"/>
          <w:shd w:fill="fafafa" w:val="clear"/>
        </w:rPr>
      </w:pPr>
      <w:r w:rsidDel="00000000" w:rsidR="00000000" w:rsidRPr="00000000">
        <w:rPr>
          <w:vertAlign w:val="baseline"/>
          <w:rtl w:val="0"/>
        </w:rPr>
        <w:t xml:space="preserve">6.</w:t>
        <w:tab/>
        <w:t xml:space="preserve">Eeles, R. A. </w:t>
      </w:r>
      <w:r w:rsidDel="00000000" w:rsidR="00000000" w:rsidRPr="00000000">
        <w:rPr>
          <w:i w:val="1"/>
          <w:vertAlign w:val="baseline"/>
          <w:rtl w:val="0"/>
        </w:rPr>
        <w:t xml:space="preserve">et al.</w:t>
      </w:r>
      <w:r w:rsidDel="00000000" w:rsidR="00000000" w:rsidRPr="00000000">
        <w:rPr>
          <w:vertAlign w:val="baseline"/>
          <w:rtl w:val="0"/>
        </w:rPr>
        <w:t xml:space="preserve"> Identification of seven new prostate cancer susceptibility loci through a genome-wide association study. </w:t>
      </w:r>
      <w:r w:rsidDel="00000000" w:rsidR="00000000" w:rsidRPr="00000000">
        <w:rPr>
          <w:i w:val="1"/>
          <w:vertAlign w:val="baseline"/>
          <w:rtl w:val="0"/>
        </w:rPr>
        <w:t xml:space="preserve">Nat. Genet. </w:t>
      </w:r>
      <w:r w:rsidDel="00000000" w:rsidR="00000000" w:rsidRPr="00000000">
        <w:rPr>
          <w:b w:val="1"/>
          <w:vertAlign w:val="baseline"/>
          <w:rtl w:val="0"/>
        </w:rPr>
        <w:t xml:space="preserve">41</w:t>
      </w:r>
      <w:r w:rsidDel="00000000" w:rsidR="00000000" w:rsidRPr="00000000">
        <w:rPr>
          <w:vertAlign w:val="baseline"/>
          <w:rtl w:val="0"/>
        </w:rPr>
        <w:t xml:space="preserve">, 1116–1121 (2009).</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rFonts w:ascii="Roboto" w:cs="Roboto" w:eastAsia="Roboto" w:hAnsi="Roboto"/>
          <w:sz w:val="21"/>
          <w:szCs w:val="21"/>
          <w:shd w:fill="fafafa" w:val="clear"/>
        </w:rPr>
      </w:pPr>
      <w:r w:rsidDel="00000000" w:rsidR="00000000" w:rsidRPr="00000000">
        <w:rPr>
          <w:vertAlign w:val="baseline"/>
          <w:rtl w:val="0"/>
        </w:rPr>
        <w:t xml:space="preserve">7.</w:t>
        <w:tab/>
        <w:t xml:space="preserve">Chinnadurai, G., Vijayalingam, S. &amp; Rashmi, R. BIK, the founding member of the BH3-only family proteins: mechanisms of cell death and role in cancer and pathogenic processes. </w:t>
      </w:r>
      <w:r w:rsidDel="00000000" w:rsidR="00000000" w:rsidRPr="00000000">
        <w:rPr>
          <w:i w:val="1"/>
          <w:vertAlign w:val="baseline"/>
          <w:rtl w:val="0"/>
        </w:rPr>
        <w:t xml:space="preserve">Oncogene </w:t>
      </w:r>
      <w:r w:rsidDel="00000000" w:rsidR="00000000" w:rsidRPr="00000000">
        <w:rPr>
          <w:b w:val="1"/>
          <w:vertAlign w:val="baseline"/>
          <w:rtl w:val="0"/>
        </w:rPr>
        <w:t xml:space="preserve">27</w:t>
      </w:r>
      <w:r w:rsidDel="00000000" w:rsidR="00000000" w:rsidRPr="00000000">
        <w:rPr>
          <w:vertAlign w:val="baseline"/>
          <w:rtl w:val="0"/>
        </w:rPr>
        <w:t xml:space="preserve">, S20–S29 (2008).</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rFonts w:ascii="Roboto" w:cs="Roboto" w:eastAsia="Roboto" w:hAnsi="Roboto"/>
          <w:sz w:val="21"/>
          <w:szCs w:val="21"/>
          <w:shd w:fill="fafafa" w:val="clear"/>
        </w:rPr>
      </w:pPr>
      <w:r w:rsidDel="00000000" w:rsidR="00000000" w:rsidRPr="00000000">
        <w:rPr>
          <w:vertAlign w:val="baseline"/>
          <w:rtl w:val="0"/>
        </w:rPr>
        <w:t xml:space="preserve">8.</w:t>
        <w:tab/>
        <w:t xml:space="preserve">Pandya, V. </w:t>
      </w:r>
      <w:r w:rsidDel="00000000" w:rsidR="00000000" w:rsidRPr="00000000">
        <w:rPr>
          <w:i w:val="1"/>
          <w:vertAlign w:val="baseline"/>
          <w:rtl w:val="0"/>
        </w:rPr>
        <w:t xml:space="preserve">et al.</w:t>
      </w:r>
      <w:r w:rsidDel="00000000" w:rsidR="00000000" w:rsidRPr="00000000">
        <w:rPr>
          <w:vertAlign w:val="baseline"/>
          <w:rtl w:val="0"/>
        </w:rPr>
        <w:t xml:space="preserve"> BIK drives an aggressive breast cancer phenotype through sublethal apoptosis and predicts poor prognosis of ER-positive breast cancer. </w:t>
      </w:r>
      <w:r w:rsidDel="00000000" w:rsidR="00000000" w:rsidRPr="00000000">
        <w:rPr>
          <w:i w:val="1"/>
          <w:vertAlign w:val="baseline"/>
          <w:rtl w:val="0"/>
        </w:rPr>
        <w:t xml:space="preserve">Cell Death Dis. </w:t>
      </w:r>
      <w:r w:rsidDel="00000000" w:rsidR="00000000" w:rsidRPr="00000000">
        <w:rPr>
          <w:b w:val="1"/>
          <w:vertAlign w:val="baseline"/>
          <w:rtl w:val="0"/>
        </w:rPr>
        <w:t xml:space="preserve">11</w:t>
      </w:r>
      <w:r w:rsidDel="00000000" w:rsidR="00000000" w:rsidRPr="00000000">
        <w:rPr>
          <w:vertAlign w:val="baseline"/>
          <w:rtl w:val="0"/>
        </w:rPr>
        <w:t xml:space="preserve">, 1–19 (2020).</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rFonts w:ascii="Roboto" w:cs="Roboto" w:eastAsia="Roboto" w:hAnsi="Roboto"/>
          <w:sz w:val="21"/>
          <w:szCs w:val="21"/>
          <w:shd w:fill="fafafa" w:val="clear"/>
        </w:rPr>
      </w:pPr>
      <w:r w:rsidDel="00000000" w:rsidR="00000000" w:rsidRPr="00000000">
        <w:rPr>
          <w:vertAlign w:val="baseline"/>
          <w:rtl w:val="0"/>
        </w:rPr>
        <w:t xml:space="preserve">9.</w:t>
        <w:tab/>
        <w:t xml:space="preserve">Deogharia, M. &amp; Majumder, M. Guide snoRNAs: Drivers or Passengers in Human Disease? </w:t>
      </w:r>
      <w:r w:rsidDel="00000000" w:rsidR="00000000" w:rsidRPr="00000000">
        <w:rPr>
          <w:i w:val="1"/>
          <w:vertAlign w:val="baseline"/>
          <w:rtl w:val="0"/>
        </w:rPr>
        <w:t xml:space="preserve">Biology </w:t>
      </w:r>
      <w:r w:rsidDel="00000000" w:rsidR="00000000" w:rsidRPr="00000000">
        <w:rPr>
          <w:b w:val="1"/>
          <w:vertAlign w:val="baseline"/>
          <w:rtl w:val="0"/>
        </w:rPr>
        <w:t xml:space="preserve">8</w:t>
      </w:r>
      <w:r w:rsidDel="00000000" w:rsidR="00000000" w:rsidRPr="00000000">
        <w:rPr>
          <w:vertAlign w:val="baseline"/>
          <w:rtl w:val="0"/>
        </w:rPr>
        <w:t xml:space="preserve">, (2018).</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rFonts w:ascii="Roboto" w:cs="Roboto" w:eastAsia="Roboto" w:hAnsi="Roboto"/>
          <w:sz w:val="21"/>
          <w:szCs w:val="21"/>
          <w:shd w:fill="fafafa" w:val="clear"/>
        </w:rPr>
      </w:pPr>
      <w:r w:rsidDel="00000000" w:rsidR="00000000" w:rsidRPr="00000000">
        <w:rPr>
          <w:vertAlign w:val="baseline"/>
          <w:rtl w:val="0"/>
        </w:rPr>
        <w:t xml:space="preserve">10.</w:t>
        <w:tab/>
        <w:t xml:space="preserve">Abdulghani, J. </w:t>
      </w:r>
      <w:r w:rsidDel="00000000" w:rsidR="00000000" w:rsidRPr="00000000">
        <w:rPr>
          <w:i w:val="1"/>
          <w:vertAlign w:val="baseline"/>
          <w:rtl w:val="0"/>
        </w:rPr>
        <w:t xml:space="preserve">et al.</w:t>
      </w:r>
      <w:r w:rsidDel="00000000" w:rsidR="00000000" w:rsidRPr="00000000">
        <w:rPr>
          <w:vertAlign w:val="baseline"/>
          <w:rtl w:val="0"/>
        </w:rPr>
        <w:t xml:space="preserve"> Stat3 Promotes Metastatic Progression of Prostate Cancer. </w:t>
      </w:r>
      <w:r w:rsidDel="00000000" w:rsidR="00000000" w:rsidRPr="00000000">
        <w:rPr>
          <w:i w:val="1"/>
          <w:vertAlign w:val="baseline"/>
          <w:rtl w:val="0"/>
        </w:rPr>
        <w:t xml:space="preserve">Am. J. Pathol. </w:t>
      </w:r>
      <w:r w:rsidDel="00000000" w:rsidR="00000000" w:rsidRPr="00000000">
        <w:rPr>
          <w:b w:val="1"/>
          <w:vertAlign w:val="baseline"/>
          <w:rtl w:val="0"/>
        </w:rPr>
        <w:t xml:space="preserve">172</w:t>
      </w:r>
      <w:r w:rsidDel="00000000" w:rsidR="00000000" w:rsidRPr="00000000">
        <w:rPr>
          <w:vertAlign w:val="baseline"/>
          <w:rtl w:val="0"/>
        </w:rPr>
        <w:t xml:space="preserve">, 1717–1728 (2008).</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rFonts w:ascii="Roboto" w:cs="Roboto" w:eastAsia="Roboto" w:hAnsi="Roboto"/>
          <w:sz w:val="21"/>
          <w:szCs w:val="21"/>
          <w:shd w:fill="fafafa" w:val="clear"/>
        </w:rPr>
      </w:pPr>
      <w:r w:rsidDel="00000000" w:rsidR="00000000" w:rsidRPr="00000000">
        <w:rPr>
          <w:vertAlign w:val="baseline"/>
          <w:rtl w:val="0"/>
        </w:rPr>
        <w:t xml:space="preserve">11.</w:t>
        <w:tab/>
        <w:t xml:space="preserve">Karczewski, K. J. </w:t>
      </w:r>
      <w:r w:rsidDel="00000000" w:rsidR="00000000" w:rsidRPr="00000000">
        <w:rPr>
          <w:i w:val="1"/>
          <w:vertAlign w:val="baseline"/>
          <w:rtl w:val="0"/>
        </w:rPr>
        <w:t xml:space="preserve">et al.</w:t>
      </w:r>
      <w:r w:rsidDel="00000000" w:rsidR="00000000" w:rsidRPr="00000000">
        <w:rPr>
          <w:vertAlign w:val="baseline"/>
          <w:rtl w:val="0"/>
        </w:rPr>
        <w:t xml:space="preserve"> The mutational constraint spectrum quantified from variation in 141,456 humans. </w:t>
      </w:r>
      <w:r w:rsidDel="00000000" w:rsidR="00000000" w:rsidRPr="00000000">
        <w:rPr>
          <w:i w:val="1"/>
          <w:vertAlign w:val="baseline"/>
          <w:rtl w:val="0"/>
        </w:rPr>
        <w:t xml:space="preserve">Nature </w:t>
      </w:r>
      <w:r w:rsidDel="00000000" w:rsidR="00000000" w:rsidRPr="00000000">
        <w:rPr>
          <w:b w:val="1"/>
          <w:vertAlign w:val="baseline"/>
          <w:rtl w:val="0"/>
        </w:rPr>
        <w:t xml:space="preserve">581</w:t>
      </w:r>
      <w:r w:rsidDel="00000000" w:rsidR="00000000" w:rsidRPr="00000000">
        <w:rPr>
          <w:vertAlign w:val="baseline"/>
          <w:rtl w:val="0"/>
        </w:rPr>
        <w:t xml:space="preserve">, 434–443 (2020).</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rFonts w:ascii="Roboto" w:cs="Roboto" w:eastAsia="Roboto" w:hAnsi="Roboto"/>
          <w:sz w:val="21"/>
          <w:szCs w:val="21"/>
          <w:shd w:fill="fafafa" w:val="clear"/>
        </w:rPr>
      </w:pPr>
      <w:r w:rsidDel="00000000" w:rsidR="00000000" w:rsidRPr="00000000">
        <w:rPr>
          <w:vertAlign w:val="baseline"/>
          <w:rtl w:val="0"/>
        </w:rPr>
        <w:t xml:space="preserve">12.</w:t>
        <w:tab/>
        <w:t xml:space="preserve">Junttila, I. S. Tuning the Cytokine Responses: An Update on Interleukin (IL)-4 and IL-13 Receptor Complexes. </w:t>
      </w:r>
      <w:r w:rsidDel="00000000" w:rsidR="00000000" w:rsidRPr="00000000">
        <w:rPr>
          <w:i w:val="1"/>
          <w:vertAlign w:val="baseline"/>
          <w:rtl w:val="0"/>
        </w:rPr>
        <w:t xml:space="preserve">Front. Immunol. </w:t>
      </w:r>
      <w:r w:rsidDel="00000000" w:rsidR="00000000" w:rsidRPr="00000000">
        <w:rPr>
          <w:b w:val="1"/>
          <w:vertAlign w:val="baseline"/>
          <w:rtl w:val="0"/>
        </w:rPr>
        <w:t xml:space="preserve">9</w:t>
      </w:r>
      <w:r w:rsidDel="00000000" w:rsidR="00000000" w:rsidRPr="00000000">
        <w:rPr>
          <w:vertAlign w:val="baseline"/>
          <w:rtl w:val="0"/>
        </w:rPr>
        <w:t xml:space="preserve">, (2018).</w: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rFonts w:ascii="Roboto" w:cs="Roboto" w:eastAsia="Roboto" w:hAnsi="Roboto"/>
          <w:sz w:val="21"/>
          <w:szCs w:val="21"/>
          <w:shd w:fill="fafafa" w:val="clear"/>
        </w:rPr>
      </w:pPr>
      <w:r w:rsidDel="00000000" w:rsidR="00000000" w:rsidRPr="00000000">
        <w:rPr>
          <w:vertAlign w:val="baseline"/>
          <w:rtl w:val="0"/>
        </w:rPr>
        <w:t xml:space="preserve">13.</w:t>
        <w:tab/>
        <w:t xml:space="preserve">Lambrecht, B. N., Hammad, H. &amp; Fahy, J. V. The Cytokines of Asthma. </w:t>
      </w:r>
      <w:r w:rsidDel="00000000" w:rsidR="00000000" w:rsidRPr="00000000">
        <w:rPr>
          <w:i w:val="1"/>
          <w:vertAlign w:val="baseline"/>
          <w:rtl w:val="0"/>
        </w:rPr>
        <w:t xml:space="preserve">Immunity </w:t>
      </w:r>
      <w:r w:rsidDel="00000000" w:rsidR="00000000" w:rsidRPr="00000000">
        <w:rPr>
          <w:b w:val="1"/>
          <w:vertAlign w:val="baseline"/>
          <w:rtl w:val="0"/>
        </w:rPr>
        <w:t xml:space="preserve">50</w:t>
      </w:r>
      <w:r w:rsidDel="00000000" w:rsidR="00000000" w:rsidRPr="00000000">
        <w:rPr>
          <w:vertAlign w:val="baseline"/>
          <w:rtl w:val="0"/>
        </w:rPr>
        <w:t xml:space="preserve">, 975–991 (2019).</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rFonts w:ascii="Roboto" w:cs="Roboto" w:eastAsia="Roboto" w:hAnsi="Roboto"/>
          <w:sz w:val="21"/>
          <w:szCs w:val="21"/>
          <w:shd w:fill="fafafa" w:val="clear"/>
        </w:rPr>
      </w:pPr>
      <w:r w:rsidDel="00000000" w:rsidR="00000000" w:rsidRPr="00000000">
        <w:rPr>
          <w:vertAlign w:val="baseline"/>
          <w:rtl w:val="0"/>
        </w:rPr>
        <w:t xml:space="preserve">14.</w:t>
        <w:tab/>
        <w:t xml:space="preserve">Demenais, F. </w:t>
      </w:r>
      <w:r w:rsidDel="00000000" w:rsidR="00000000" w:rsidRPr="00000000">
        <w:rPr>
          <w:i w:val="1"/>
          <w:vertAlign w:val="baseline"/>
          <w:rtl w:val="0"/>
        </w:rPr>
        <w:t xml:space="preserve">et al.</w:t>
      </w:r>
      <w:r w:rsidDel="00000000" w:rsidR="00000000" w:rsidRPr="00000000">
        <w:rPr>
          <w:vertAlign w:val="baseline"/>
          <w:rtl w:val="0"/>
        </w:rPr>
        <w:t xml:space="preserve"> Multiancestry association study identifies new asthma risk loci that colocalize with immune-cell enhancer marks. </w:t>
      </w:r>
      <w:r w:rsidDel="00000000" w:rsidR="00000000" w:rsidRPr="00000000">
        <w:rPr>
          <w:i w:val="1"/>
          <w:vertAlign w:val="baseline"/>
          <w:rtl w:val="0"/>
        </w:rPr>
        <w:t xml:space="preserve">Nat. Genet. </w:t>
      </w:r>
      <w:r w:rsidDel="00000000" w:rsidR="00000000" w:rsidRPr="00000000">
        <w:rPr>
          <w:b w:val="1"/>
          <w:vertAlign w:val="baseline"/>
          <w:rtl w:val="0"/>
        </w:rPr>
        <w:t xml:space="preserve">50</w:t>
      </w:r>
      <w:r w:rsidDel="00000000" w:rsidR="00000000" w:rsidRPr="00000000">
        <w:rPr>
          <w:vertAlign w:val="baseline"/>
          <w:rtl w:val="0"/>
        </w:rPr>
        <w:t xml:space="preserve">, 42–53 (2018).</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rFonts w:ascii="Roboto" w:cs="Roboto" w:eastAsia="Roboto" w:hAnsi="Roboto"/>
          <w:sz w:val="21"/>
          <w:szCs w:val="21"/>
          <w:shd w:fill="fafafa" w:val="clear"/>
        </w:rPr>
      </w:pPr>
      <w:r w:rsidDel="00000000" w:rsidR="00000000" w:rsidRPr="00000000">
        <w:rPr>
          <w:vertAlign w:val="baseline"/>
          <w:rtl w:val="0"/>
        </w:rPr>
        <w:t xml:space="preserve">15.</w:t>
        <w:tab/>
        <w:t xml:space="preserve">Thomsen, S. F. Epidemiology and natural history of atopic diseases. </w:t>
      </w:r>
      <w:r w:rsidDel="00000000" w:rsidR="00000000" w:rsidRPr="00000000">
        <w:rPr>
          <w:i w:val="1"/>
          <w:vertAlign w:val="baseline"/>
          <w:rtl w:val="0"/>
        </w:rPr>
        <w:t xml:space="preserve">Eur. Clin. Respir. J. </w:t>
      </w:r>
      <w:r w:rsidDel="00000000" w:rsidR="00000000" w:rsidRPr="00000000">
        <w:rPr>
          <w:b w:val="1"/>
          <w:vertAlign w:val="baseline"/>
          <w:rtl w:val="0"/>
        </w:rPr>
        <w:t xml:space="preserve">2</w:t>
      </w:r>
      <w:r w:rsidDel="00000000" w:rsidR="00000000" w:rsidRPr="00000000">
        <w:rPr>
          <w:vertAlign w:val="baseline"/>
          <w:rtl w:val="0"/>
        </w:rPr>
        <w:t xml:space="preserve">, (2015).</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84.00000000000006" w:right="0" w:hanging="384.00000000000006"/>
        <w:jc w:val="left"/>
        <w:rPr>
          <w:rFonts w:ascii="Roboto" w:cs="Roboto" w:eastAsia="Roboto" w:hAnsi="Roboto"/>
          <w:sz w:val="21"/>
          <w:szCs w:val="21"/>
          <w:shd w:fill="fafafa" w:val="clear"/>
        </w:rPr>
      </w:pPr>
      <w:r w:rsidDel="00000000" w:rsidR="00000000" w:rsidRPr="00000000">
        <w:rPr>
          <w:vertAlign w:val="baseline"/>
          <w:rtl w:val="0"/>
        </w:rPr>
        <w:t xml:space="preserve">16.</w:t>
        <w:tab/>
        <w:t xml:space="preserve">Boehncke, W.-H. &amp; Schön, M. P. Psoriasis. </w:t>
      </w:r>
      <w:r w:rsidDel="00000000" w:rsidR="00000000" w:rsidRPr="00000000">
        <w:rPr>
          <w:i w:val="1"/>
          <w:vertAlign w:val="baseline"/>
          <w:rtl w:val="0"/>
        </w:rPr>
        <w:t xml:space="preserve">Lancet Lond. Engl. </w:t>
      </w:r>
      <w:r w:rsidDel="00000000" w:rsidR="00000000" w:rsidRPr="00000000">
        <w:rPr>
          <w:b w:val="1"/>
          <w:vertAlign w:val="baseline"/>
          <w:rtl w:val="0"/>
        </w:rPr>
        <w:t xml:space="preserve">386</w:t>
      </w:r>
      <w:r w:rsidDel="00000000" w:rsidR="00000000" w:rsidRPr="00000000">
        <w:rPr>
          <w:vertAlign w:val="baseline"/>
          <w:rtl w:val="0"/>
        </w:rPr>
        <w:t xml:space="preserve">, 983–994 (2015).</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